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88F4" w14:textId="77777777" w:rsidR="00896896" w:rsidRPr="003F5CC5" w:rsidRDefault="005B6A56" w:rsidP="00CD7967">
      <w:pPr>
        <w:jc w:val="center"/>
        <w:rPr>
          <w:b/>
          <w:bCs/>
          <w:sz w:val="24"/>
          <w:szCs w:val="24"/>
          <w:lang w:val="en-GB"/>
        </w:rPr>
      </w:pPr>
      <w:r w:rsidRPr="003F5CC5">
        <w:rPr>
          <w:b/>
          <w:bCs/>
          <w:sz w:val="24"/>
          <w:szCs w:val="24"/>
          <w:lang w:val="en-GB"/>
        </w:rPr>
        <w:t>Rules of Procedure</w:t>
      </w:r>
    </w:p>
    <w:p w14:paraId="7CD8E98E" w14:textId="0DA77606" w:rsidR="00896896" w:rsidRPr="003F5CC5" w:rsidRDefault="00D53289" w:rsidP="00CD7967">
      <w:pPr>
        <w:jc w:val="center"/>
        <w:rPr>
          <w:b/>
          <w:bCs/>
          <w:sz w:val="24"/>
          <w:szCs w:val="24"/>
          <w:lang w:val="en-GB"/>
        </w:rPr>
      </w:pPr>
      <w:r w:rsidRPr="003F5CC5">
        <w:rPr>
          <w:b/>
          <w:bCs/>
          <w:sz w:val="24"/>
          <w:szCs w:val="24"/>
          <w:lang w:val="en-GB"/>
        </w:rPr>
        <w:t xml:space="preserve">for </w:t>
      </w:r>
      <w:r w:rsidR="00896896" w:rsidRPr="003F5CC5">
        <w:rPr>
          <w:b/>
          <w:bCs/>
          <w:sz w:val="24"/>
          <w:szCs w:val="24"/>
          <w:lang w:val="en-GB"/>
        </w:rPr>
        <w:t>Thematic Steering Group</w:t>
      </w:r>
    </w:p>
    <w:p w14:paraId="16313830" w14:textId="62CA20C6" w:rsidR="002328B8" w:rsidRPr="003F5CC5" w:rsidRDefault="002328B8" w:rsidP="00CD7967">
      <w:pPr>
        <w:jc w:val="center"/>
        <w:rPr>
          <w:b/>
          <w:bCs/>
          <w:sz w:val="24"/>
          <w:szCs w:val="24"/>
          <w:lang w:val="en-GB"/>
        </w:rPr>
      </w:pPr>
      <w:r w:rsidRPr="003F5CC5">
        <w:rPr>
          <w:b/>
          <w:bCs/>
          <w:sz w:val="24"/>
          <w:szCs w:val="24"/>
          <w:lang w:val="en-GB"/>
        </w:rPr>
        <w:t>for Pillar</w:t>
      </w:r>
      <w:r w:rsidR="0005115F" w:rsidRPr="003F5CC5">
        <w:rPr>
          <w:b/>
          <w:bCs/>
          <w:sz w:val="24"/>
          <w:szCs w:val="24"/>
          <w:lang w:val="en-GB"/>
        </w:rPr>
        <w:t xml:space="preserve"> XX</w:t>
      </w:r>
    </w:p>
    <w:p w14:paraId="0CF304ED" w14:textId="77777777" w:rsidR="00896896" w:rsidRPr="003F5CC5" w:rsidRDefault="00896896" w:rsidP="00CD7967">
      <w:pPr>
        <w:jc w:val="center"/>
        <w:rPr>
          <w:b/>
          <w:bCs/>
          <w:sz w:val="24"/>
          <w:szCs w:val="24"/>
          <w:lang w:val="en-GB"/>
        </w:rPr>
      </w:pPr>
      <w:r w:rsidRPr="003F5CC5">
        <w:rPr>
          <w:b/>
          <w:bCs/>
          <w:sz w:val="24"/>
          <w:szCs w:val="24"/>
          <w:lang w:val="en-GB"/>
        </w:rPr>
        <w:t>under the EU Strategy for the Adriatic and Ionian Region</w:t>
      </w:r>
    </w:p>
    <w:p w14:paraId="6210AE32" w14:textId="2E0D686B" w:rsidR="00896896" w:rsidRPr="00F80328" w:rsidRDefault="00896896" w:rsidP="00F80328">
      <w:pPr>
        <w:jc w:val="center"/>
        <w:rPr>
          <w:sz w:val="24"/>
          <w:szCs w:val="24"/>
          <w:lang w:val="en-GB"/>
        </w:rPr>
      </w:pPr>
      <w:r w:rsidRPr="00F80328">
        <w:rPr>
          <w:sz w:val="24"/>
          <w:szCs w:val="24"/>
          <w:lang w:val="en-GB"/>
        </w:rPr>
        <w:t>adopted on</w:t>
      </w:r>
      <w:r w:rsidR="00633E7B" w:rsidRPr="00F80328">
        <w:rPr>
          <w:sz w:val="24"/>
          <w:szCs w:val="24"/>
          <w:lang w:val="en-GB"/>
        </w:rPr>
        <w:t xml:space="preserve"> XX</w:t>
      </w:r>
    </w:p>
    <w:p w14:paraId="18E44478" w14:textId="77777777" w:rsidR="00160FE4" w:rsidRPr="002E1B0F" w:rsidRDefault="00160FE4" w:rsidP="00F80328">
      <w:pPr>
        <w:jc w:val="both"/>
        <w:rPr>
          <w:lang w:val="en-GB"/>
        </w:rPr>
      </w:pPr>
    </w:p>
    <w:p w14:paraId="08236492" w14:textId="6865AF6F" w:rsidR="00896896" w:rsidRPr="006D2E71" w:rsidRDefault="00896896" w:rsidP="00CD7967">
      <w:pPr>
        <w:pStyle w:val="Heading1"/>
      </w:pPr>
      <w:r w:rsidRPr="006D2E71">
        <w:t>Preamble</w:t>
      </w:r>
    </w:p>
    <w:p w14:paraId="50D5F8A0" w14:textId="3C74A6B4" w:rsidR="00896896" w:rsidRPr="002E1B0F" w:rsidRDefault="00896896" w:rsidP="00F80328">
      <w:pPr>
        <w:jc w:val="both"/>
        <w:rPr>
          <w:lang w:val="en-GB"/>
        </w:rPr>
      </w:pPr>
      <w:r w:rsidRPr="002E1B0F">
        <w:rPr>
          <w:lang w:val="en-GB"/>
        </w:rPr>
        <w:t>The EU Strategy for the Adriatic and Ionian Region</w:t>
      </w:r>
      <w:r w:rsidRPr="002E1B0F">
        <w:rPr>
          <w:rStyle w:val="FootnoteReference"/>
          <w:sz w:val="24"/>
          <w:szCs w:val="24"/>
          <w:lang w:val="en-GB"/>
        </w:rPr>
        <w:footnoteReference w:id="1"/>
      </w:r>
      <w:r w:rsidRPr="002E1B0F">
        <w:rPr>
          <w:lang w:val="en-GB"/>
        </w:rPr>
        <w:t xml:space="preserve"> </w:t>
      </w:r>
      <w:r w:rsidR="005B6A56" w:rsidRPr="002E1B0F">
        <w:rPr>
          <w:lang w:val="en-GB"/>
        </w:rPr>
        <w:t xml:space="preserve">(EUSAIR) </w:t>
      </w:r>
      <w:r w:rsidRPr="002E1B0F">
        <w:rPr>
          <w:lang w:val="en-GB"/>
        </w:rPr>
        <w:t xml:space="preserve">was adopted by the European Commission </w:t>
      </w:r>
      <w:r w:rsidR="003F3C11">
        <w:rPr>
          <w:lang w:val="en-GB"/>
        </w:rPr>
        <w:t xml:space="preserve">(EC) </w:t>
      </w:r>
      <w:r w:rsidRPr="002E1B0F">
        <w:rPr>
          <w:lang w:val="en-GB"/>
        </w:rPr>
        <w:t>on 17 June 2014 and endorsed by the EU General Affairs Council on 29 September 2014 and by the European Council on 23-24 October 2014.</w:t>
      </w:r>
      <w:r w:rsidR="00633E7B" w:rsidRPr="00633E7B">
        <w:t xml:space="preserve"> </w:t>
      </w:r>
      <w:r w:rsidR="00633E7B" w:rsidRPr="00633E7B">
        <w:rPr>
          <w:lang w:val="en-GB"/>
        </w:rPr>
        <w:t>The Addendum to the EUSAIR Communication formally included in the EUSAIR the Republic of North Macedonia</w:t>
      </w:r>
      <w:r w:rsidR="001B7378">
        <w:rPr>
          <w:rStyle w:val="FootnoteReference"/>
          <w:sz w:val="24"/>
          <w:szCs w:val="24"/>
          <w:lang w:val="en-GB"/>
        </w:rPr>
        <w:footnoteReference w:id="2"/>
      </w:r>
      <w:r w:rsidR="00633E7B" w:rsidRPr="00633E7B">
        <w:rPr>
          <w:lang w:val="en-GB"/>
        </w:rPr>
        <w:t xml:space="preserve"> in April 2020</w:t>
      </w:r>
      <w:r w:rsidR="00633E7B">
        <w:rPr>
          <w:lang w:val="en-GB"/>
        </w:rPr>
        <w:t xml:space="preserve"> </w:t>
      </w:r>
      <w:r w:rsidR="00633E7B" w:rsidRPr="00633E7B">
        <w:rPr>
          <w:lang w:val="en-GB"/>
        </w:rPr>
        <w:t>and the Republic of San Marino</w:t>
      </w:r>
      <w:r w:rsidR="00633E7B">
        <w:rPr>
          <w:rStyle w:val="FootnoteReference"/>
          <w:sz w:val="24"/>
          <w:szCs w:val="24"/>
          <w:lang w:val="en-GB"/>
        </w:rPr>
        <w:footnoteReference w:id="3"/>
      </w:r>
      <w:r w:rsidR="00633E7B">
        <w:rPr>
          <w:lang w:val="en-GB"/>
        </w:rPr>
        <w:t xml:space="preserve"> </w:t>
      </w:r>
      <w:r w:rsidR="00633E7B" w:rsidRPr="00633E7B">
        <w:rPr>
          <w:lang w:val="en-GB"/>
        </w:rPr>
        <w:t>in February 2022.</w:t>
      </w:r>
    </w:p>
    <w:p w14:paraId="3BAFE5D2" w14:textId="31F972A9" w:rsidR="00896896" w:rsidRPr="0005115F" w:rsidRDefault="00CD7967" w:rsidP="00F80328">
      <w:pPr>
        <w:jc w:val="both"/>
        <w:rPr>
          <w:lang w:val="en-GB" w:eastAsia="en-GB"/>
        </w:rPr>
      </w:pPr>
      <w:r>
        <w:rPr>
          <w:lang w:val="en-GB"/>
        </w:rPr>
        <w:t xml:space="preserve">In 2025 a new </w:t>
      </w:r>
      <w:r w:rsidR="00896896" w:rsidRPr="002E1B0F">
        <w:rPr>
          <w:lang w:val="en-GB"/>
        </w:rPr>
        <w:t>EUSAIR Communication</w:t>
      </w:r>
      <w:r>
        <w:rPr>
          <w:rStyle w:val="FootnoteReference"/>
          <w:lang w:val="en-GB"/>
        </w:rPr>
        <w:footnoteReference w:id="4"/>
      </w:r>
      <w:r w:rsidR="00896896" w:rsidRPr="002E1B0F">
        <w:rPr>
          <w:lang w:val="en-GB"/>
        </w:rPr>
        <w:t xml:space="preserve"> </w:t>
      </w:r>
      <w:r>
        <w:rPr>
          <w:lang w:val="en-GB"/>
        </w:rPr>
        <w:t xml:space="preserve">was adopted </w:t>
      </w:r>
      <w:r w:rsidR="00896896" w:rsidRPr="002E1B0F">
        <w:rPr>
          <w:lang w:val="en-GB"/>
        </w:rPr>
        <w:t>identif</w:t>
      </w:r>
      <w:r>
        <w:rPr>
          <w:lang w:val="en-GB"/>
        </w:rPr>
        <w:t>ying</w:t>
      </w:r>
      <w:r w:rsidR="00896896" w:rsidRPr="002E1B0F">
        <w:rPr>
          <w:lang w:val="en-GB"/>
        </w:rPr>
        <w:t xml:space="preserve"> f</w:t>
      </w:r>
      <w:r w:rsidR="009A0706">
        <w:rPr>
          <w:lang w:val="en-GB"/>
        </w:rPr>
        <w:t>ive</w:t>
      </w:r>
      <w:r w:rsidR="00896896" w:rsidRPr="002E1B0F">
        <w:rPr>
          <w:lang w:val="en-GB"/>
        </w:rPr>
        <w:t xml:space="preserve"> interdependent </w:t>
      </w:r>
      <w:r>
        <w:rPr>
          <w:lang w:val="en-GB"/>
        </w:rPr>
        <w:t>P</w:t>
      </w:r>
      <w:r w:rsidR="00896896" w:rsidRPr="002E1B0F">
        <w:rPr>
          <w:lang w:val="en-GB"/>
        </w:rPr>
        <w:t xml:space="preserve">illars of strategic importance: </w:t>
      </w:r>
      <w:r w:rsidR="00896896" w:rsidRPr="002E1B0F">
        <w:rPr>
          <w:lang w:val="en-GB" w:eastAsia="en-GB"/>
        </w:rPr>
        <w:t xml:space="preserve">Blue </w:t>
      </w:r>
      <w:r w:rsidR="009A0706">
        <w:rPr>
          <w:lang w:val="en-GB" w:eastAsia="en-GB"/>
        </w:rPr>
        <w:t>Sustainable Economy</w:t>
      </w:r>
      <w:r w:rsidR="009A0706" w:rsidRPr="002E1B0F">
        <w:rPr>
          <w:lang w:val="en-GB" w:eastAsia="en-GB"/>
        </w:rPr>
        <w:t xml:space="preserve"> </w:t>
      </w:r>
      <w:r w:rsidR="00896896" w:rsidRPr="002E1B0F">
        <w:rPr>
          <w:lang w:val="en-GB" w:eastAsia="en-GB"/>
        </w:rPr>
        <w:t>- Pillar 1; Connecting the Region (</w:t>
      </w:r>
      <w:r w:rsidR="009A0706">
        <w:rPr>
          <w:lang w:val="en-GB" w:eastAsia="en-GB"/>
        </w:rPr>
        <w:t>T</w:t>
      </w:r>
      <w:r w:rsidR="00896896" w:rsidRPr="002E1B0F">
        <w:rPr>
          <w:lang w:val="en-GB" w:eastAsia="en-GB"/>
        </w:rPr>
        <w:t xml:space="preserve">ransport and </w:t>
      </w:r>
      <w:r w:rsidR="009A0706">
        <w:rPr>
          <w:lang w:val="en-GB" w:eastAsia="en-GB"/>
        </w:rPr>
        <w:t>E</w:t>
      </w:r>
      <w:r w:rsidR="00896896" w:rsidRPr="002E1B0F">
        <w:rPr>
          <w:lang w:val="en-GB" w:eastAsia="en-GB"/>
        </w:rPr>
        <w:t>nergy) - Pillar 2; Environmental quality - Pillar 3; Sustainable tourism - Pillar 4</w:t>
      </w:r>
      <w:r w:rsidR="009A0706">
        <w:rPr>
          <w:lang w:val="en-GB" w:eastAsia="en-GB"/>
        </w:rPr>
        <w:t xml:space="preserve"> </w:t>
      </w:r>
      <w:r w:rsidR="009A0706" w:rsidRPr="0005115F">
        <w:rPr>
          <w:lang w:val="en-GB" w:eastAsia="en-GB"/>
        </w:rPr>
        <w:t>and Improved Social Cohesion – Pillar 5.</w:t>
      </w:r>
    </w:p>
    <w:p w14:paraId="4F370B88" w14:textId="49B07CDC" w:rsidR="00813FA8" w:rsidRDefault="00896896" w:rsidP="00F80328">
      <w:pPr>
        <w:jc w:val="both"/>
        <w:rPr>
          <w:lang w:val="en-GB"/>
        </w:rPr>
      </w:pPr>
      <w:r w:rsidRPr="0005115F">
        <w:rPr>
          <w:lang w:val="en-GB" w:eastAsia="en-GB"/>
        </w:rPr>
        <w:t>The EUSAIR governance and management architecture, endorsed by the Ministers of Foreign Affairs of the</w:t>
      </w:r>
      <w:r w:rsidR="00633E7B">
        <w:rPr>
          <w:lang w:val="en-GB" w:eastAsia="en-GB"/>
        </w:rPr>
        <w:t xml:space="preserve"> then</w:t>
      </w:r>
      <w:r w:rsidRPr="0005115F">
        <w:rPr>
          <w:lang w:val="en-GB" w:eastAsia="en-GB"/>
        </w:rPr>
        <w:t xml:space="preserve"> eight participating</w:t>
      </w:r>
      <w:r w:rsidR="00633E7B">
        <w:rPr>
          <w:lang w:val="en-GB" w:eastAsia="en-GB"/>
        </w:rPr>
        <w:t xml:space="preserve"> countries</w:t>
      </w:r>
      <w:r w:rsidRPr="0005115F">
        <w:rPr>
          <w:lang w:val="en-GB" w:eastAsia="en-GB"/>
        </w:rPr>
        <w:t xml:space="preserve"> at the launch event of 18 November 2014, </w:t>
      </w:r>
      <w:r w:rsidR="00160FE4" w:rsidRPr="0005115F">
        <w:rPr>
          <w:lang w:val="en-GB" w:eastAsia="en-GB"/>
        </w:rPr>
        <w:t xml:space="preserve">includes </w:t>
      </w:r>
      <w:r w:rsidRPr="0005115F">
        <w:rPr>
          <w:lang w:val="en-GB" w:eastAsia="en-GB"/>
        </w:rPr>
        <w:t>the setting</w:t>
      </w:r>
      <w:r w:rsidRPr="0005115F">
        <w:rPr>
          <w:lang w:val="en-GB"/>
        </w:rPr>
        <w:t xml:space="preserve"> up of one </w:t>
      </w:r>
      <w:r w:rsidR="00953E16" w:rsidRPr="0005115F">
        <w:rPr>
          <w:lang w:val="en-GB"/>
        </w:rPr>
        <w:t>T</w:t>
      </w:r>
      <w:r w:rsidRPr="0005115F">
        <w:rPr>
          <w:lang w:val="en-GB"/>
        </w:rPr>
        <w:t xml:space="preserve">hematic Steering Group (TSG) for each of the pillars of the Strategy. </w:t>
      </w:r>
    </w:p>
    <w:p w14:paraId="6099D325" w14:textId="77777777" w:rsidR="00F45507" w:rsidRDefault="00F45507" w:rsidP="00F80328">
      <w:pPr>
        <w:jc w:val="both"/>
        <w:rPr>
          <w:lang w:val="en-GB"/>
        </w:rPr>
      </w:pPr>
    </w:p>
    <w:p w14:paraId="3FD5C3F4" w14:textId="4C7C329F" w:rsidR="005847A7" w:rsidRPr="001B7378" w:rsidRDefault="005847A7" w:rsidP="00CD7967">
      <w:pPr>
        <w:pStyle w:val="Heading1"/>
      </w:pPr>
      <w:r w:rsidRPr="001B7378">
        <w:t>Scope</w:t>
      </w:r>
    </w:p>
    <w:p w14:paraId="3F946F60" w14:textId="5EB0C8CB" w:rsidR="006551C2" w:rsidRDefault="005847A7" w:rsidP="00F80328">
      <w:pPr>
        <w:jc w:val="both"/>
        <w:rPr>
          <w:lang w:val="en-GB"/>
        </w:rPr>
      </w:pPr>
      <w:r w:rsidRPr="001B7378">
        <w:rPr>
          <w:lang w:val="en-GB"/>
        </w:rPr>
        <w:t>Th</w:t>
      </w:r>
      <w:r w:rsidR="00CD7967">
        <w:rPr>
          <w:lang w:val="en-GB"/>
        </w:rPr>
        <w:t>is</w:t>
      </w:r>
      <w:r w:rsidRPr="001B7378">
        <w:rPr>
          <w:lang w:val="en-GB"/>
        </w:rPr>
        <w:t xml:space="preserve"> R</w:t>
      </w:r>
      <w:r w:rsidR="0005115F">
        <w:rPr>
          <w:lang w:val="en-GB"/>
        </w:rPr>
        <w:t>ules of Procedure (</w:t>
      </w:r>
      <w:proofErr w:type="spellStart"/>
      <w:r w:rsidR="0005115F">
        <w:rPr>
          <w:lang w:val="en-GB"/>
        </w:rPr>
        <w:t>R</w:t>
      </w:r>
      <w:r w:rsidRPr="001B7378">
        <w:rPr>
          <w:lang w:val="en-GB"/>
        </w:rPr>
        <w:t>oPs</w:t>
      </w:r>
      <w:proofErr w:type="spellEnd"/>
      <w:r w:rsidR="0005115F">
        <w:rPr>
          <w:lang w:val="en-GB"/>
        </w:rPr>
        <w:t>)</w:t>
      </w:r>
      <w:r w:rsidRPr="001B7378">
        <w:rPr>
          <w:lang w:val="en-GB"/>
        </w:rPr>
        <w:t xml:space="preserve"> </w:t>
      </w:r>
      <w:r w:rsidR="00CD7967">
        <w:rPr>
          <w:lang w:val="en-GB"/>
        </w:rPr>
        <w:t xml:space="preserve">template </w:t>
      </w:r>
      <w:r w:rsidRPr="001B7378">
        <w:rPr>
          <w:lang w:val="en-GB"/>
        </w:rPr>
        <w:t>define</w:t>
      </w:r>
      <w:r w:rsidR="00CD7967">
        <w:rPr>
          <w:lang w:val="en-GB"/>
        </w:rPr>
        <w:t>s</w:t>
      </w:r>
      <w:r w:rsidRPr="001B7378">
        <w:rPr>
          <w:lang w:val="en-GB"/>
        </w:rPr>
        <w:t xml:space="preserve"> a </w:t>
      </w:r>
      <w:r w:rsidR="0005115F">
        <w:rPr>
          <w:lang w:val="en-GB"/>
        </w:rPr>
        <w:t xml:space="preserve">general </w:t>
      </w:r>
      <w:r w:rsidRPr="001B7378">
        <w:rPr>
          <w:lang w:val="en-GB"/>
        </w:rPr>
        <w:t xml:space="preserve">framework of the </w:t>
      </w:r>
      <w:r w:rsidR="006D2E71">
        <w:rPr>
          <w:lang w:val="en-GB"/>
        </w:rPr>
        <w:t xml:space="preserve">EUSAIR </w:t>
      </w:r>
      <w:r w:rsidRPr="001B7378">
        <w:rPr>
          <w:lang w:val="en-GB"/>
        </w:rPr>
        <w:t xml:space="preserve">TSG, which can be adapted </w:t>
      </w:r>
      <w:r w:rsidR="006551C2">
        <w:rPr>
          <w:lang w:val="en-GB"/>
        </w:rPr>
        <w:t>t</w:t>
      </w:r>
      <w:r w:rsidR="006551C2" w:rsidRPr="006551C2">
        <w:rPr>
          <w:lang w:val="en-GB"/>
        </w:rPr>
        <w:t xml:space="preserve">o reflect the specific </w:t>
      </w:r>
      <w:r w:rsidR="006551C2">
        <w:rPr>
          <w:lang w:val="en-GB"/>
        </w:rPr>
        <w:t>needs</w:t>
      </w:r>
      <w:r w:rsidR="006551C2" w:rsidRPr="006551C2">
        <w:rPr>
          <w:lang w:val="en-GB"/>
        </w:rPr>
        <w:t xml:space="preserve"> and requirements of each individual TSG.</w:t>
      </w:r>
    </w:p>
    <w:p w14:paraId="02204347" w14:textId="77777777" w:rsidR="00F45507" w:rsidRDefault="00F45507" w:rsidP="00CD7967">
      <w:pPr>
        <w:jc w:val="both"/>
        <w:rPr>
          <w:lang w:val="en-GB"/>
        </w:rPr>
      </w:pPr>
    </w:p>
    <w:p w14:paraId="6DAC0B05" w14:textId="77777777" w:rsidR="00CD7967" w:rsidRDefault="00CD7967" w:rsidP="00F80328">
      <w:pPr>
        <w:jc w:val="both"/>
        <w:rPr>
          <w:lang w:val="en-GB"/>
        </w:rPr>
      </w:pPr>
    </w:p>
    <w:p w14:paraId="23C70D97" w14:textId="3F14087C" w:rsidR="0005115F" w:rsidRPr="002E1B0F" w:rsidRDefault="00A434F5" w:rsidP="00CD7967">
      <w:pPr>
        <w:pStyle w:val="Heading1"/>
      </w:pPr>
      <w:r w:rsidRPr="002E1B0F">
        <w:lastRenderedPageBreak/>
        <w:t>R</w:t>
      </w:r>
      <w:r w:rsidR="00634EA2">
        <w:t>ole and r</w:t>
      </w:r>
      <w:r w:rsidRPr="002E1B0F">
        <w:t>esponsibilit</w:t>
      </w:r>
      <w:r w:rsidR="007952C3">
        <w:t>ie</w:t>
      </w:r>
      <w:r w:rsidR="0005115F">
        <w:t>s</w:t>
      </w:r>
    </w:p>
    <w:p w14:paraId="297C98F0" w14:textId="592ECF34" w:rsidR="0005115F" w:rsidRDefault="0005115F" w:rsidP="00F80328">
      <w:pPr>
        <w:jc w:val="both"/>
      </w:pPr>
      <w:r w:rsidRPr="0005115F">
        <w:t>TSG</w:t>
      </w:r>
      <w:r w:rsidR="00633E7B">
        <w:t xml:space="preserve"> XX</w:t>
      </w:r>
      <w:r w:rsidRPr="0005115F">
        <w:t xml:space="preserve"> </w:t>
      </w:r>
      <w:r w:rsidR="00633E7B">
        <w:t>is</w:t>
      </w:r>
      <w:r w:rsidRPr="0005115F">
        <w:t xml:space="preserve"> in charge of proposing and consolidating (among participating countries, stakeholders and EC) the priorities and Actions under </w:t>
      </w:r>
      <w:r w:rsidR="00633E7B">
        <w:t>its</w:t>
      </w:r>
      <w:r w:rsidRPr="0005115F">
        <w:t xml:space="preserve"> Pillar in the Action Plan</w:t>
      </w:r>
      <w:r w:rsidR="00D00F73">
        <w:rPr>
          <w:rStyle w:val="FootnoteReference"/>
          <w:sz w:val="24"/>
          <w:szCs w:val="24"/>
        </w:rPr>
        <w:footnoteReference w:id="5"/>
      </w:r>
      <w:r w:rsidRPr="0005115F">
        <w:t xml:space="preserve">. In cooperation with the </w:t>
      </w:r>
      <w:r w:rsidR="00633E7B">
        <w:t xml:space="preserve">EUSAIR </w:t>
      </w:r>
      <w:r w:rsidRPr="0005115F">
        <w:t>National Coordinators</w:t>
      </w:r>
      <w:r w:rsidR="00302263">
        <w:t xml:space="preserve"> (NC)</w:t>
      </w:r>
      <w:r w:rsidRPr="0005115F">
        <w:t>, stakeholders and supported by the E</w:t>
      </w:r>
      <w:r w:rsidR="00633E7B">
        <w:t xml:space="preserve">USAIR </w:t>
      </w:r>
      <w:r w:rsidRPr="0005115F">
        <w:t>G</w:t>
      </w:r>
      <w:r w:rsidR="00633E7B">
        <w:t xml:space="preserve">overnance </w:t>
      </w:r>
      <w:r w:rsidRPr="0005115F">
        <w:t>P</w:t>
      </w:r>
      <w:r w:rsidR="00633E7B">
        <w:t>oint (EGP)</w:t>
      </w:r>
      <w:r w:rsidRPr="0005115F">
        <w:t xml:space="preserve">, </w:t>
      </w:r>
      <w:r w:rsidR="009B5B9D">
        <w:t xml:space="preserve">it </w:t>
      </w:r>
      <w:r w:rsidR="00633E7B">
        <w:t>is</w:t>
      </w:r>
      <w:r w:rsidRPr="0005115F">
        <w:t xml:space="preserve"> also in charge of Action Plan implementation, on all governance levels (macro-regional, national, regional and local). This is done through policy coordination and consolidation processes followed by operational implementation achieved by engagement of relevant managing authorities and stakeholder partnerships/networks. They also cooperate with members of other </w:t>
      </w:r>
      <w:r w:rsidR="00486B44">
        <w:t>TSGs</w:t>
      </w:r>
      <w:r w:rsidRPr="0005115F">
        <w:t xml:space="preserve"> on the operational level to achieve synergies and complementarities.</w:t>
      </w:r>
    </w:p>
    <w:p w14:paraId="60CDB992" w14:textId="77777777" w:rsidR="00FE41F5" w:rsidRDefault="00FE41F5" w:rsidP="00F80328">
      <w:pPr>
        <w:jc w:val="both"/>
      </w:pPr>
    </w:p>
    <w:p w14:paraId="25BF5818" w14:textId="0A909035" w:rsidR="00EB3FBB" w:rsidRDefault="00634EA2" w:rsidP="00CD7967">
      <w:pPr>
        <w:pStyle w:val="Heading1"/>
      </w:pPr>
      <w:r>
        <w:t>Composition of the Thematic Steering Group</w:t>
      </w:r>
      <w:r w:rsidR="00EB3FBB" w:rsidRPr="002E1B0F">
        <w:t xml:space="preserve"> </w:t>
      </w:r>
    </w:p>
    <w:p w14:paraId="52BD378D" w14:textId="56209276" w:rsidR="00A50348" w:rsidRPr="002E1B0F" w:rsidRDefault="00171FD4" w:rsidP="00F80328">
      <w:pPr>
        <w:jc w:val="both"/>
        <w:rPr>
          <w:lang w:val="en-GB"/>
        </w:rPr>
      </w:pPr>
      <w:r w:rsidRPr="00171FD4">
        <w:t>TSG</w:t>
      </w:r>
      <w:r w:rsidR="00764F1E">
        <w:t xml:space="preserve"> XX </w:t>
      </w:r>
      <w:r w:rsidRPr="00171FD4">
        <w:t>compos</w:t>
      </w:r>
      <w:r w:rsidR="004D5074">
        <w:t>ition</w:t>
      </w:r>
      <w:r w:rsidRPr="00171FD4">
        <w:t xml:space="preserve"> reflect</w:t>
      </w:r>
      <w:r w:rsidR="004D5074">
        <w:t>s</w:t>
      </w:r>
      <w:r w:rsidRPr="00171FD4">
        <w:t xml:space="preserve"> the governance principles of EUSAIR, ensuring broad representation and thematic competence. </w:t>
      </w:r>
      <w:r w:rsidR="00DC7D04">
        <w:t>It</w:t>
      </w:r>
      <w:r w:rsidRPr="00171FD4">
        <w:t xml:space="preserve"> bring</w:t>
      </w:r>
      <w:r w:rsidR="00DC7D04">
        <w:t>s</w:t>
      </w:r>
      <w:r w:rsidRPr="00171FD4">
        <w:t xml:space="preserve"> together representatives from national and regional administrations of participating countries, the </w:t>
      </w:r>
      <w:r w:rsidR="003F3C11">
        <w:t xml:space="preserve">EC </w:t>
      </w:r>
      <w:r w:rsidRPr="00171FD4">
        <w:t>and, where relevant, external stakeholders. This composition is intended to support coordination, policy alignment, and shared responsibility in delivering the Strategy’s objectives.</w:t>
      </w:r>
    </w:p>
    <w:p w14:paraId="6B09E12A" w14:textId="77777777" w:rsidR="007B38F7" w:rsidRDefault="007B38F7" w:rsidP="00F80328">
      <w:pPr>
        <w:jc w:val="both"/>
        <w:rPr>
          <w:lang w:val="en-GB"/>
        </w:rPr>
      </w:pPr>
    </w:p>
    <w:p w14:paraId="675971D3" w14:textId="1FFE00D1" w:rsidR="00171FD4" w:rsidRPr="00FE41F5" w:rsidRDefault="00A434F5" w:rsidP="00F80328">
      <w:pPr>
        <w:pStyle w:val="ListParagraph"/>
        <w:numPr>
          <w:ilvl w:val="1"/>
          <w:numId w:val="25"/>
        </w:numPr>
        <w:jc w:val="both"/>
        <w:rPr>
          <w:lang w:val="en-GB"/>
        </w:rPr>
      </w:pPr>
      <w:r w:rsidRPr="00FE41F5">
        <w:rPr>
          <w:lang w:val="en-GB"/>
        </w:rPr>
        <w:t>C</w:t>
      </w:r>
      <w:r w:rsidR="00C66B38" w:rsidRPr="00FE41F5">
        <w:rPr>
          <w:lang w:val="en-GB"/>
        </w:rPr>
        <w:t>oordinators</w:t>
      </w:r>
    </w:p>
    <w:p w14:paraId="57438260" w14:textId="2A8F86B2" w:rsidR="00171FD4" w:rsidRDefault="00171FD4" w:rsidP="00F80328">
      <w:pPr>
        <w:jc w:val="both"/>
        <w:rPr>
          <w:lang w:val="en-GB"/>
        </w:rPr>
      </w:pPr>
      <w:r w:rsidRPr="001B7378">
        <w:rPr>
          <w:lang w:val="en-GB"/>
        </w:rPr>
        <w:t>Each TSG is co-c</w:t>
      </w:r>
      <w:r w:rsidR="00C66B38">
        <w:rPr>
          <w:lang w:val="en-GB"/>
        </w:rPr>
        <w:t>oordinated</w:t>
      </w:r>
      <w:r w:rsidRPr="001B7378">
        <w:rPr>
          <w:lang w:val="en-GB"/>
        </w:rPr>
        <w:t xml:space="preserve"> by two Pillar Coordinators</w:t>
      </w:r>
      <w:r w:rsidR="00302263">
        <w:rPr>
          <w:lang w:val="en-GB"/>
        </w:rPr>
        <w:t xml:space="preserve"> (PC)</w:t>
      </w:r>
      <w:r w:rsidRPr="001B7378">
        <w:rPr>
          <w:lang w:val="en-GB"/>
        </w:rPr>
        <w:t xml:space="preserve">, each formally appointed and duly empowered by their respective national authorities. Coordinators should be based in competent administrations </w:t>
      </w:r>
      <w:r w:rsidR="003238B5">
        <w:rPr>
          <w:lang w:val="en-GB"/>
        </w:rPr>
        <w:t xml:space="preserve">and </w:t>
      </w:r>
      <w:r w:rsidR="00C66B38">
        <w:rPr>
          <w:lang w:val="en-GB"/>
        </w:rPr>
        <w:t xml:space="preserve">should poses </w:t>
      </w:r>
      <w:r w:rsidRPr="001B7378">
        <w:rPr>
          <w:lang w:val="en-GB"/>
        </w:rPr>
        <w:t xml:space="preserve">proven experience in the specific thematic area. </w:t>
      </w:r>
      <w:r w:rsidR="00196870" w:rsidRPr="000D26FC">
        <w:rPr>
          <w:lang w:val="en-GB"/>
        </w:rPr>
        <w:t xml:space="preserve">Pillar Coordinators </w:t>
      </w:r>
      <w:r w:rsidR="000E543E">
        <w:rPr>
          <w:lang w:val="en-GB"/>
        </w:rPr>
        <w:t>represent the TSG</w:t>
      </w:r>
      <w:r w:rsidR="00E77018">
        <w:rPr>
          <w:lang w:val="en-GB"/>
        </w:rPr>
        <w:t xml:space="preserve"> at </w:t>
      </w:r>
      <w:r w:rsidR="009276A9">
        <w:rPr>
          <w:lang w:val="en-GB"/>
        </w:rPr>
        <w:t xml:space="preserve">EUSAIR </w:t>
      </w:r>
      <w:r w:rsidR="00E77018">
        <w:rPr>
          <w:lang w:val="en-GB"/>
        </w:rPr>
        <w:t>G</w:t>
      </w:r>
      <w:r w:rsidR="009276A9">
        <w:rPr>
          <w:lang w:val="en-GB"/>
        </w:rPr>
        <w:t>overning Board,</w:t>
      </w:r>
      <w:r w:rsidR="00E77018">
        <w:rPr>
          <w:lang w:val="en-GB"/>
        </w:rPr>
        <w:t xml:space="preserve"> Technical meetings of </w:t>
      </w:r>
      <w:r w:rsidR="009276A9">
        <w:rPr>
          <w:lang w:val="en-GB"/>
        </w:rPr>
        <w:t xml:space="preserve">EUSAIR </w:t>
      </w:r>
      <w:r w:rsidR="00E77018">
        <w:rPr>
          <w:lang w:val="en-GB"/>
        </w:rPr>
        <w:t>P</w:t>
      </w:r>
      <w:r w:rsidR="009276A9">
        <w:rPr>
          <w:lang w:val="en-GB"/>
        </w:rPr>
        <w:t xml:space="preserve">illar </w:t>
      </w:r>
      <w:r w:rsidR="00E77018">
        <w:rPr>
          <w:lang w:val="en-GB"/>
        </w:rPr>
        <w:t>C</w:t>
      </w:r>
      <w:r w:rsidR="009276A9">
        <w:rPr>
          <w:lang w:val="en-GB"/>
        </w:rPr>
        <w:t>oordinators</w:t>
      </w:r>
      <w:r w:rsidR="00E77018">
        <w:rPr>
          <w:lang w:val="en-GB"/>
        </w:rPr>
        <w:t xml:space="preserve"> and other events/meetings/workshops</w:t>
      </w:r>
      <w:r w:rsidR="000E543E">
        <w:rPr>
          <w:lang w:val="en-GB"/>
        </w:rPr>
        <w:t xml:space="preserve">, </w:t>
      </w:r>
      <w:r w:rsidR="00196870" w:rsidRPr="000D26FC">
        <w:rPr>
          <w:lang w:val="en-GB"/>
        </w:rPr>
        <w:t>coordinate the work of the TSG and</w:t>
      </w:r>
      <w:r w:rsidR="000E543E" w:rsidRPr="000E543E">
        <w:rPr>
          <w:rFonts w:ascii="CIDFont+F3" w:eastAsia="CIDFont+F3" w:hAnsiTheme="minorHAnsi" w:cs="CIDFont+F3"/>
          <w:lang w:val="sl-SI"/>
        </w:rPr>
        <w:t xml:space="preserve"> </w:t>
      </w:r>
      <w:r w:rsidR="009B5B9D" w:rsidRPr="009B5B9D">
        <w:rPr>
          <w:lang w:val="en-GB"/>
        </w:rPr>
        <w:t>support</w:t>
      </w:r>
      <w:r w:rsidR="009B5B9D">
        <w:rPr>
          <w:lang w:val="sl-SI"/>
        </w:rPr>
        <w:t xml:space="preserve"> </w:t>
      </w:r>
      <w:proofErr w:type="spellStart"/>
      <w:r w:rsidR="000E543E" w:rsidRPr="000E543E">
        <w:rPr>
          <w:lang w:val="sl-SI"/>
        </w:rPr>
        <w:t>effective</w:t>
      </w:r>
      <w:proofErr w:type="spellEnd"/>
      <w:r w:rsidR="000E543E" w:rsidRPr="000E543E">
        <w:rPr>
          <w:lang w:val="sl-SI"/>
        </w:rPr>
        <w:t xml:space="preserve"> </w:t>
      </w:r>
      <w:proofErr w:type="spellStart"/>
      <w:r w:rsidR="000E543E" w:rsidRPr="000E543E">
        <w:rPr>
          <w:lang w:val="sl-SI"/>
        </w:rPr>
        <w:t>implementation</w:t>
      </w:r>
      <w:proofErr w:type="spellEnd"/>
      <w:r w:rsidR="000E543E" w:rsidRPr="000E543E">
        <w:rPr>
          <w:lang w:val="sl-SI"/>
        </w:rPr>
        <w:t xml:space="preserve"> of </w:t>
      </w:r>
      <w:proofErr w:type="spellStart"/>
      <w:r w:rsidR="0050351D">
        <w:rPr>
          <w:lang w:val="sl-SI"/>
        </w:rPr>
        <w:t>A</w:t>
      </w:r>
      <w:r w:rsidR="000E543E" w:rsidRPr="000E543E">
        <w:rPr>
          <w:lang w:val="sl-SI"/>
        </w:rPr>
        <w:t>ctions</w:t>
      </w:r>
      <w:proofErr w:type="spellEnd"/>
      <w:r w:rsidR="000E543E" w:rsidRPr="000E543E">
        <w:rPr>
          <w:lang w:val="sl-SI"/>
        </w:rPr>
        <w:t xml:space="preserve"> </w:t>
      </w:r>
      <w:proofErr w:type="spellStart"/>
      <w:r w:rsidR="0050351D">
        <w:rPr>
          <w:lang w:val="sl-SI"/>
        </w:rPr>
        <w:t>from</w:t>
      </w:r>
      <w:proofErr w:type="spellEnd"/>
      <w:r w:rsidR="0050351D">
        <w:rPr>
          <w:lang w:val="sl-SI"/>
        </w:rPr>
        <w:t xml:space="preserve"> </w:t>
      </w:r>
      <w:r w:rsidR="000E543E" w:rsidRPr="000E543E">
        <w:rPr>
          <w:lang w:val="sl-SI"/>
        </w:rPr>
        <w:t xml:space="preserve">the </w:t>
      </w:r>
      <w:proofErr w:type="spellStart"/>
      <w:r w:rsidR="000E543E" w:rsidRPr="000E543E">
        <w:rPr>
          <w:lang w:val="sl-SI"/>
        </w:rPr>
        <w:t>Action</w:t>
      </w:r>
      <w:proofErr w:type="spellEnd"/>
      <w:r w:rsidR="000E543E">
        <w:rPr>
          <w:lang w:val="sl-SI"/>
        </w:rPr>
        <w:t xml:space="preserve"> </w:t>
      </w:r>
      <w:r w:rsidR="000E543E" w:rsidRPr="000E543E">
        <w:rPr>
          <w:lang w:val="sl-SI"/>
        </w:rPr>
        <w:t xml:space="preserve">Plan </w:t>
      </w:r>
      <w:proofErr w:type="spellStart"/>
      <w:r w:rsidR="000E543E" w:rsidRPr="000E543E">
        <w:rPr>
          <w:lang w:val="sl-SI"/>
        </w:rPr>
        <w:t>under</w:t>
      </w:r>
      <w:proofErr w:type="spellEnd"/>
      <w:r w:rsidR="000E543E" w:rsidRPr="000E543E">
        <w:rPr>
          <w:lang w:val="sl-SI"/>
        </w:rPr>
        <w:t xml:space="preserve"> </w:t>
      </w:r>
      <w:r w:rsidR="0050351D">
        <w:rPr>
          <w:lang w:val="sl-SI"/>
        </w:rPr>
        <w:t xml:space="preserve">the </w:t>
      </w:r>
      <w:proofErr w:type="spellStart"/>
      <w:r w:rsidR="000E543E">
        <w:rPr>
          <w:lang w:val="sl-SI"/>
        </w:rPr>
        <w:t>respective</w:t>
      </w:r>
      <w:proofErr w:type="spellEnd"/>
      <w:r w:rsidR="000E543E" w:rsidRPr="000E543E">
        <w:rPr>
          <w:lang w:val="sl-SI"/>
        </w:rPr>
        <w:t xml:space="preserve"> Pillar</w:t>
      </w:r>
      <w:r w:rsidR="000E543E">
        <w:rPr>
          <w:lang w:val="sl-SI"/>
        </w:rPr>
        <w:t>.</w:t>
      </w:r>
    </w:p>
    <w:p w14:paraId="2A4F997E" w14:textId="77777777" w:rsidR="00A50348" w:rsidRPr="00196870" w:rsidRDefault="00A50348" w:rsidP="00F80328">
      <w:pPr>
        <w:jc w:val="both"/>
        <w:rPr>
          <w:lang w:val="en-GB"/>
        </w:rPr>
      </w:pPr>
    </w:p>
    <w:p w14:paraId="01636F60" w14:textId="096B4534" w:rsidR="00E671ED" w:rsidRDefault="008D6C7D" w:rsidP="00F80328">
      <w:pPr>
        <w:jc w:val="both"/>
        <w:rPr>
          <w:lang w:val="en-GB"/>
        </w:rPr>
      </w:pPr>
      <w:r w:rsidRPr="001B7378">
        <w:rPr>
          <w:lang w:val="en-GB"/>
        </w:rPr>
        <w:t>4.2</w:t>
      </w:r>
      <w:r w:rsidR="00FE41F5">
        <w:rPr>
          <w:lang w:val="en-GB"/>
        </w:rPr>
        <w:t xml:space="preserve"> </w:t>
      </w:r>
      <w:r w:rsidR="003B5D9A">
        <w:rPr>
          <w:lang w:val="en-GB"/>
        </w:rPr>
        <w:t xml:space="preserve">Each TSG </w:t>
      </w:r>
      <w:r w:rsidR="00E671ED">
        <w:rPr>
          <w:lang w:val="en-GB"/>
        </w:rPr>
        <w:t>is composed of</w:t>
      </w:r>
      <w:r w:rsidR="007D74AF" w:rsidRPr="007D74AF">
        <w:rPr>
          <w:lang w:val="en-GB"/>
        </w:rPr>
        <w:t xml:space="preserve"> </w:t>
      </w:r>
      <w:r w:rsidR="007D74AF" w:rsidRPr="001B7378">
        <w:rPr>
          <w:lang w:val="en-GB"/>
        </w:rPr>
        <w:t>Standing Members</w:t>
      </w:r>
      <w:r w:rsidR="007D74AF">
        <w:rPr>
          <w:lang w:val="en-GB"/>
        </w:rPr>
        <w:t xml:space="preserve"> with decision-making right</w:t>
      </w:r>
      <w:r w:rsidR="00E671ED">
        <w:rPr>
          <w:lang w:val="en-GB"/>
        </w:rPr>
        <w:t>:</w:t>
      </w:r>
    </w:p>
    <w:p w14:paraId="4C8A13B7" w14:textId="0427FB00" w:rsidR="00FF4148" w:rsidRPr="00F80328" w:rsidRDefault="00E671ED" w:rsidP="00F80328">
      <w:pPr>
        <w:pStyle w:val="ListParagraph"/>
        <w:numPr>
          <w:ilvl w:val="0"/>
          <w:numId w:val="5"/>
        </w:numPr>
        <w:jc w:val="both"/>
        <w:rPr>
          <w:lang w:val="en-GB"/>
        </w:rPr>
      </w:pPr>
      <w:r w:rsidRPr="001B7378">
        <w:rPr>
          <w:lang w:val="en-GB"/>
        </w:rPr>
        <w:t>R</w:t>
      </w:r>
      <w:r w:rsidR="00A434F5" w:rsidRPr="001B7378">
        <w:rPr>
          <w:lang w:val="en-GB"/>
        </w:rPr>
        <w:t xml:space="preserve">epresentatives from the relevant administrations </w:t>
      </w:r>
      <w:r w:rsidR="0050351D">
        <w:rPr>
          <w:lang w:val="en-GB"/>
        </w:rPr>
        <w:t xml:space="preserve">from each </w:t>
      </w:r>
      <w:r w:rsidR="00A434F5" w:rsidRPr="001B7378">
        <w:rPr>
          <w:lang w:val="en-GB"/>
        </w:rPr>
        <w:t>participating countr</w:t>
      </w:r>
      <w:r w:rsidR="0050351D">
        <w:rPr>
          <w:lang w:val="en-GB"/>
        </w:rPr>
        <w:t>y</w:t>
      </w:r>
      <w:r w:rsidR="00A434F5" w:rsidRPr="001B7378">
        <w:rPr>
          <w:lang w:val="en-GB"/>
        </w:rPr>
        <w:t xml:space="preserve">, including sub-national (regional) representatives according to each country's institutional structure, all of whom are duly empowered </w:t>
      </w:r>
      <w:r w:rsidR="00836755" w:rsidRPr="001B7378">
        <w:rPr>
          <w:lang w:val="en-GB"/>
        </w:rPr>
        <w:t>by their mandating authorities.</w:t>
      </w:r>
      <w:r w:rsidR="00836755" w:rsidRPr="00A80C61">
        <w:t xml:space="preserve"> </w:t>
      </w:r>
      <w:r w:rsidR="00A80C61" w:rsidRPr="001B7378">
        <w:t xml:space="preserve">Representatives should come from key </w:t>
      </w:r>
      <w:r w:rsidRPr="001B7378">
        <w:t xml:space="preserve">ministries or </w:t>
      </w:r>
      <w:r w:rsidR="00A80C61" w:rsidRPr="001B7378">
        <w:t xml:space="preserve">authorities </w:t>
      </w:r>
      <w:r w:rsidR="003B5D9A" w:rsidRPr="001B7378">
        <w:t xml:space="preserve">directly responsible for the </w:t>
      </w:r>
      <w:r w:rsidRPr="001B7378">
        <w:t>topic</w:t>
      </w:r>
      <w:r w:rsidR="003238B5">
        <w:t>s</w:t>
      </w:r>
      <w:r w:rsidR="003B5D9A" w:rsidRPr="001B7378">
        <w:t xml:space="preserve"> covered by the respective TSG, ensuring relevant policy expertise and mandate for </w:t>
      </w:r>
      <w:r w:rsidR="00F31FF7">
        <w:t>decision-making</w:t>
      </w:r>
      <w:r w:rsidR="003B5D9A" w:rsidRPr="001B7378">
        <w:t>.</w:t>
      </w:r>
      <w:r w:rsidR="0050351D">
        <w:t xml:space="preserve"> </w:t>
      </w:r>
    </w:p>
    <w:p w14:paraId="71A621D0" w14:textId="4EA436FD" w:rsidR="00E671ED" w:rsidRPr="007D74AF" w:rsidRDefault="007D74AF" w:rsidP="00F80328">
      <w:pPr>
        <w:ind w:firstLine="284"/>
        <w:jc w:val="both"/>
        <w:rPr>
          <w:lang w:val="en-GB"/>
        </w:rPr>
      </w:pPr>
      <w:r>
        <w:rPr>
          <w:lang w:val="en-GB"/>
        </w:rPr>
        <w:lastRenderedPageBreak/>
        <w:t>And Standing Members in advisory role without decision-making right:</w:t>
      </w:r>
    </w:p>
    <w:p w14:paraId="0B4B58D6" w14:textId="464AD277" w:rsidR="007D74AF" w:rsidRDefault="007D74AF" w:rsidP="00F80328">
      <w:pPr>
        <w:pStyle w:val="ListParagraph"/>
        <w:numPr>
          <w:ilvl w:val="0"/>
          <w:numId w:val="5"/>
        </w:numPr>
        <w:jc w:val="both"/>
        <w:rPr>
          <w:lang w:val="en-GB"/>
        </w:rPr>
      </w:pPr>
      <w:r>
        <w:rPr>
          <w:lang w:val="en-GB"/>
        </w:rPr>
        <w:t>r</w:t>
      </w:r>
      <w:r w:rsidR="00A434F5" w:rsidRPr="001B7378">
        <w:rPr>
          <w:lang w:val="en-GB"/>
        </w:rPr>
        <w:t>e</w:t>
      </w:r>
      <w:r w:rsidR="00836755" w:rsidRPr="001B7378">
        <w:rPr>
          <w:lang w:val="en-GB"/>
        </w:rPr>
        <w:t>presentatives of the EC (DG REGIO and other relevant DGs)</w:t>
      </w:r>
      <w:r w:rsidR="00A434F5" w:rsidRPr="00836755">
        <w:rPr>
          <w:rStyle w:val="FootnoteReference"/>
          <w:sz w:val="24"/>
          <w:szCs w:val="24"/>
          <w:lang w:val="en-GB"/>
        </w:rPr>
        <w:footnoteReference w:id="6"/>
      </w:r>
      <w:r w:rsidR="00836755" w:rsidRPr="001B7378">
        <w:rPr>
          <w:lang w:val="en-GB"/>
        </w:rPr>
        <w:t xml:space="preserve">, </w:t>
      </w:r>
    </w:p>
    <w:p w14:paraId="60831B90" w14:textId="3F790821" w:rsidR="007D74AF" w:rsidRPr="007D74AF" w:rsidRDefault="007D74AF" w:rsidP="00F80328">
      <w:pPr>
        <w:pStyle w:val="ListParagraph"/>
        <w:numPr>
          <w:ilvl w:val="0"/>
          <w:numId w:val="5"/>
        </w:numPr>
        <w:jc w:val="both"/>
        <w:rPr>
          <w:lang w:val="en-GB"/>
        </w:rPr>
      </w:pPr>
      <w:r>
        <w:t xml:space="preserve">representatives of </w:t>
      </w:r>
      <w:r w:rsidR="00836755" w:rsidRPr="007D74AF">
        <w:t xml:space="preserve">the EUSAIR Governance Point and </w:t>
      </w:r>
    </w:p>
    <w:p w14:paraId="1F72A372" w14:textId="77777777" w:rsidR="007D74AF" w:rsidRPr="007D74AF" w:rsidRDefault="007D74AF" w:rsidP="00F80328">
      <w:pPr>
        <w:pStyle w:val="ListParagraph"/>
        <w:numPr>
          <w:ilvl w:val="0"/>
          <w:numId w:val="5"/>
        </w:numPr>
        <w:jc w:val="both"/>
        <w:rPr>
          <w:lang w:val="en-GB"/>
        </w:rPr>
      </w:pPr>
      <w:r>
        <w:rPr>
          <w:lang w:val="en-GB"/>
        </w:rPr>
        <w:t xml:space="preserve">representatives of </w:t>
      </w:r>
      <w:r w:rsidR="00836755" w:rsidRPr="007D74AF">
        <w:t>the EUSAIR Youth Council (EYC)</w:t>
      </w:r>
      <w:r w:rsidR="00E671ED">
        <w:t>.</w:t>
      </w:r>
      <w:r w:rsidR="00E671ED" w:rsidRPr="00E671ED">
        <w:t xml:space="preserve"> </w:t>
      </w:r>
    </w:p>
    <w:p w14:paraId="6F078409" w14:textId="77777777" w:rsidR="00825DC1" w:rsidRDefault="00825DC1" w:rsidP="00F80328">
      <w:pPr>
        <w:jc w:val="both"/>
        <w:rPr>
          <w:lang w:val="en-GB" w:eastAsia="hu-HU"/>
        </w:rPr>
      </w:pPr>
    </w:p>
    <w:p w14:paraId="5BE4AB29" w14:textId="441B7AA0" w:rsidR="002434F2" w:rsidRPr="002434F2" w:rsidRDefault="002434F2" w:rsidP="00CD7967">
      <w:pPr>
        <w:pStyle w:val="Heading1"/>
      </w:pPr>
      <w:r w:rsidRPr="002434F2">
        <w:t xml:space="preserve">Administrative, operational and substantive support to the </w:t>
      </w:r>
      <w:r>
        <w:t>TSG</w:t>
      </w:r>
    </w:p>
    <w:p w14:paraId="6E873063" w14:textId="4864A564" w:rsidR="002434F2" w:rsidRPr="007E0A9E" w:rsidRDefault="002434F2" w:rsidP="00F80328">
      <w:pPr>
        <w:pStyle w:val="ListParagraph"/>
        <w:numPr>
          <w:ilvl w:val="1"/>
          <w:numId w:val="12"/>
        </w:numPr>
        <w:ind w:left="357" w:hanging="357"/>
        <w:contextualSpacing w:val="0"/>
        <w:jc w:val="both"/>
      </w:pPr>
      <w:r w:rsidRPr="007E0A9E">
        <w:t xml:space="preserve">The EUSAIR Facility Point supports the TSG and the </w:t>
      </w:r>
      <w:r w:rsidR="00966BF3">
        <w:t>Pillar Coordinators</w:t>
      </w:r>
      <w:r w:rsidRPr="007E0A9E">
        <w:t xml:space="preserve"> administratively and operationally in their functions, including decision support. Decision support for functions </w:t>
      </w:r>
      <w:r w:rsidR="003238B5" w:rsidRPr="0085278B">
        <w:t xml:space="preserve">b), c), l) </w:t>
      </w:r>
      <w:r w:rsidRPr="0085278B">
        <w:t xml:space="preserve">in </w:t>
      </w:r>
      <w:r w:rsidR="003238B5" w:rsidRPr="0085278B">
        <w:t xml:space="preserve">§ </w:t>
      </w:r>
      <w:r w:rsidRPr="0085278B">
        <w:t>7 are</w:t>
      </w:r>
      <w:r w:rsidRPr="007E0A9E">
        <w:t xml:space="preserve"> provided</w:t>
      </w:r>
      <w:r w:rsidR="004B3E95" w:rsidRPr="007E0A9E">
        <w:t xml:space="preserve"> also</w:t>
      </w:r>
      <w:r w:rsidRPr="007E0A9E">
        <w:t xml:space="preserve"> by projects EUSAIR StEP and SP4EUSAIR, </w:t>
      </w:r>
      <w:r w:rsidR="004B3E95" w:rsidRPr="007E0A9E">
        <w:t>each project according to its assigned functions</w:t>
      </w:r>
      <w:r w:rsidRPr="007E0A9E">
        <w:t>.</w:t>
      </w:r>
    </w:p>
    <w:p w14:paraId="493BC1C4" w14:textId="12A76D1D" w:rsidR="000B1436" w:rsidRDefault="002434F2" w:rsidP="00F80328">
      <w:pPr>
        <w:pStyle w:val="ListParagraph"/>
        <w:numPr>
          <w:ilvl w:val="1"/>
          <w:numId w:val="12"/>
        </w:numPr>
        <w:ind w:left="357" w:hanging="357"/>
        <w:contextualSpacing w:val="0"/>
        <w:jc w:val="both"/>
      </w:pPr>
      <w:r w:rsidRPr="002434F2">
        <w:t xml:space="preserve">The EUSAIR Facility Point maintains all documentation related to </w:t>
      </w:r>
      <w:r>
        <w:t>TSG</w:t>
      </w:r>
      <w:r w:rsidRPr="002434F2">
        <w:t xml:space="preserve"> meetings and decisions in an online repository to ensure institutional memory.</w:t>
      </w:r>
    </w:p>
    <w:p w14:paraId="08222E66" w14:textId="1DA98705" w:rsidR="00754D94" w:rsidRPr="001B7378" w:rsidRDefault="00754D94" w:rsidP="00F80328">
      <w:pPr>
        <w:pStyle w:val="ListParagraph"/>
        <w:numPr>
          <w:ilvl w:val="1"/>
          <w:numId w:val="12"/>
        </w:numPr>
        <w:ind w:left="357" w:hanging="357"/>
        <w:contextualSpacing w:val="0"/>
        <w:jc w:val="both"/>
      </w:pPr>
      <w:r w:rsidRPr="00754D94">
        <w:t xml:space="preserve">The meetings will be administratively and operationally supported by the EUSAIR Facility Point. The Facility Point </w:t>
      </w:r>
      <w:r>
        <w:t>Project</w:t>
      </w:r>
      <w:r w:rsidRPr="00754D94">
        <w:t xml:space="preserve"> Partner</w:t>
      </w:r>
      <w:r>
        <w:t xml:space="preserve"> from the country</w:t>
      </w:r>
      <w:r w:rsidR="00107F29">
        <w:t>(ies)</w:t>
      </w:r>
      <w:r>
        <w:t xml:space="preserve"> </w:t>
      </w:r>
      <w:r w:rsidR="00107F29">
        <w:t xml:space="preserve">where the Pillar Coordinators come from </w:t>
      </w:r>
      <w:r w:rsidRPr="00754D94">
        <w:t xml:space="preserve">provides administrative support to </w:t>
      </w:r>
      <w:r>
        <w:t>TSG</w:t>
      </w:r>
      <w:r w:rsidRPr="00754D94">
        <w:t xml:space="preserve"> meetings, (e.g. preparation of agenda and issue papers/documents, registration of participants, drafting of minutes/operational conclusions and other secretarial services). The Facility Point Project Partner from the country where the </w:t>
      </w:r>
      <w:r>
        <w:t>TSG</w:t>
      </w:r>
      <w:r w:rsidRPr="00754D94">
        <w:t xml:space="preserve"> meeting is held provides operational support (e.g. venue, catering, etc.).</w:t>
      </w:r>
    </w:p>
    <w:p w14:paraId="1E9E6395" w14:textId="77777777" w:rsidR="00F45507" w:rsidRDefault="00F45507" w:rsidP="00F80328">
      <w:pPr>
        <w:jc w:val="both"/>
        <w:rPr>
          <w:lang w:val="en-GB"/>
        </w:rPr>
      </w:pPr>
    </w:p>
    <w:p w14:paraId="70A6A8C0" w14:textId="7EB7299D" w:rsidR="0005115F" w:rsidRDefault="00DA0407" w:rsidP="00CD7967">
      <w:pPr>
        <w:pStyle w:val="Heading1"/>
      </w:pPr>
      <w:r>
        <w:t xml:space="preserve"> </w:t>
      </w:r>
      <w:r w:rsidR="0005115F" w:rsidRPr="004C149C">
        <w:t>Mandate</w:t>
      </w:r>
    </w:p>
    <w:p w14:paraId="2BC85737" w14:textId="32F75CE7" w:rsidR="00302263" w:rsidRDefault="00DA0407" w:rsidP="00F80328">
      <w:pPr>
        <w:jc w:val="both"/>
      </w:pPr>
      <w:r>
        <w:t xml:space="preserve">All </w:t>
      </w:r>
      <w:r w:rsidRPr="001B7378">
        <w:t xml:space="preserve">TSGs members </w:t>
      </w:r>
      <w:r w:rsidR="00236CF5">
        <w:t xml:space="preserve">(including Pillar Coordinators) </w:t>
      </w:r>
      <w:r>
        <w:t>shall be</w:t>
      </w:r>
      <w:r w:rsidRPr="001B7378">
        <w:t xml:space="preserve"> appointed (upon the request of the NC to the ministry responsible for the certain policy/sector) and replaced in written form by their ministries</w:t>
      </w:r>
      <w:r w:rsidR="00302263">
        <w:t xml:space="preserve">. </w:t>
      </w:r>
      <w:r w:rsidR="00302263" w:rsidRPr="00A94571">
        <w:t>Appointments and replacements of TSG members are communicated to EUSAIR Facility Point via National Coordinators.</w:t>
      </w:r>
    </w:p>
    <w:p w14:paraId="2045EC87" w14:textId="4E7CC371" w:rsidR="00302263" w:rsidRDefault="00302263" w:rsidP="00F80328">
      <w:pPr>
        <w:jc w:val="both"/>
      </w:pPr>
      <w:r>
        <w:t xml:space="preserve">The </w:t>
      </w:r>
      <w:r w:rsidR="006D52BC">
        <w:t xml:space="preserve">nominating country shall ensure that </w:t>
      </w:r>
      <w:r>
        <w:t>TSG members</w:t>
      </w:r>
      <w:r w:rsidR="006F0075">
        <w:t xml:space="preserve"> </w:t>
      </w:r>
      <w:r w:rsidR="00DA0407" w:rsidRPr="00F80328">
        <w:t>have the mandate</w:t>
      </w:r>
      <w:r w:rsidR="006D52BC">
        <w:t>,</w:t>
      </w:r>
      <w:r w:rsidR="00DA0407" w:rsidRPr="00F80328">
        <w:t xml:space="preserve"> sufficient capa</w:t>
      </w:r>
      <w:r w:rsidR="006D52BC">
        <w:t xml:space="preserve">city, time </w:t>
      </w:r>
      <w:r w:rsidR="00DA0407" w:rsidRPr="00F80328">
        <w:t xml:space="preserve">and resources to fulfil their tasks for the Strategy </w:t>
      </w:r>
      <w:r w:rsidR="006D52BC">
        <w:t xml:space="preserve">such as </w:t>
      </w:r>
      <w:r w:rsidR="00DA0407" w:rsidRPr="00F80328">
        <w:t>organis</w:t>
      </w:r>
      <w:r w:rsidR="006D52BC">
        <w:t>ing</w:t>
      </w:r>
      <w:r w:rsidR="00DA0407" w:rsidRPr="00F80328">
        <w:t xml:space="preserve"> in-country consultations</w:t>
      </w:r>
      <w:r w:rsidR="006D52BC">
        <w:t>, mobilising relevant stakeholders and experts,</w:t>
      </w:r>
      <w:r w:rsidR="006F0075">
        <w:t xml:space="preserve"> </w:t>
      </w:r>
      <w:r w:rsidR="00DA0407" w:rsidRPr="00F80328">
        <w:t>express</w:t>
      </w:r>
      <w:r w:rsidR="006D52BC">
        <w:t>ing</w:t>
      </w:r>
      <w:r w:rsidR="00DA0407" w:rsidRPr="006D52BC">
        <w:t xml:space="preserve"> national positions, tak</w:t>
      </w:r>
      <w:r w:rsidR="006D52BC">
        <w:t>ing</w:t>
      </w:r>
      <w:r w:rsidR="00DA0407" w:rsidRPr="00F80328">
        <w:t xml:space="preserve"> decisions and vot</w:t>
      </w:r>
      <w:r w:rsidR="006D52BC">
        <w:t>ing</w:t>
      </w:r>
      <w:r w:rsidR="00DA0407" w:rsidRPr="00F80328">
        <w:t xml:space="preserve"> in a TSG meeting</w:t>
      </w:r>
      <w:r w:rsidR="00236CF5">
        <w:t xml:space="preserve"> in the name of the nominating country</w:t>
      </w:r>
      <w:r w:rsidR="00DA0407" w:rsidRPr="00F80328">
        <w:t xml:space="preserve">. </w:t>
      </w:r>
    </w:p>
    <w:p w14:paraId="106A7F33" w14:textId="5D646792" w:rsidR="00DA0407" w:rsidRPr="001B7378" w:rsidRDefault="00302263" w:rsidP="00F80328">
      <w:pPr>
        <w:jc w:val="both"/>
      </w:pPr>
      <w:r w:rsidRPr="008D2C3D">
        <w:lastRenderedPageBreak/>
        <w:t>TSG members s</w:t>
      </w:r>
      <w:r w:rsidR="00236CF5">
        <w:t>hall</w:t>
      </w:r>
      <w:r w:rsidRPr="008D2C3D">
        <w:t xml:space="preserve"> have a good knowledge and awareness of their assigned </w:t>
      </w:r>
      <w:r w:rsidR="00236CF5">
        <w:t xml:space="preserve">functions and </w:t>
      </w:r>
      <w:r w:rsidRPr="008D2C3D">
        <w:t>tasks</w:t>
      </w:r>
      <w:r>
        <w:t>.</w:t>
      </w:r>
    </w:p>
    <w:p w14:paraId="21316EF5" w14:textId="3EB7443A" w:rsidR="00DA0407" w:rsidRPr="00DA0407" w:rsidRDefault="00DA0407" w:rsidP="00F80328">
      <w:pPr>
        <w:jc w:val="both"/>
        <w:rPr>
          <w:lang w:val="en-GB"/>
        </w:rPr>
      </w:pPr>
    </w:p>
    <w:p w14:paraId="25C185E9" w14:textId="726AD01D" w:rsidR="00A434F5" w:rsidRDefault="00A434F5" w:rsidP="00CD7967">
      <w:pPr>
        <w:pStyle w:val="Heading1"/>
      </w:pPr>
      <w:r w:rsidRPr="002E1B0F">
        <w:t xml:space="preserve">Functions: </w:t>
      </w:r>
    </w:p>
    <w:p w14:paraId="7D613097" w14:textId="77777777" w:rsidR="008A1F12" w:rsidRPr="001B7378" w:rsidRDefault="008A1F12" w:rsidP="00F80328">
      <w:pPr>
        <w:jc w:val="both"/>
        <w:rPr>
          <w:lang w:val="en-GB"/>
        </w:rPr>
      </w:pPr>
      <w:r w:rsidRPr="001B7378">
        <w:rPr>
          <w:lang w:val="en-GB"/>
        </w:rPr>
        <w:t xml:space="preserve">TSG functions include: </w:t>
      </w:r>
    </w:p>
    <w:p w14:paraId="6E4B19FB" w14:textId="616CD503" w:rsidR="008A1F12" w:rsidRPr="001B7378" w:rsidRDefault="008A1F12" w:rsidP="00F80328">
      <w:pPr>
        <w:pStyle w:val="ListParagraph"/>
        <w:numPr>
          <w:ilvl w:val="0"/>
          <w:numId w:val="33"/>
        </w:numPr>
        <w:ind w:left="714" w:hanging="357"/>
        <w:contextualSpacing w:val="0"/>
        <w:jc w:val="both"/>
        <w:rPr>
          <w:lang w:val="en-GB"/>
        </w:rPr>
      </w:pPr>
      <w:r w:rsidRPr="008A1F12">
        <w:t xml:space="preserve">Making appropriate efforts to contribute to the implementation of the formulated Pillar priorities, objectives, </w:t>
      </w:r>
      <w:r w:rsidR="00A035D3">
        <w:t>A</w:t>
      </w:r>
      <w:r w:rsidRPr="008A1F12">
        <w:t>ctions, activities and indicator targets in the Action</w:t>
      </w:r>
      <w:r w:rsidR="00A035D3">
        <w:t xml:space="preserve"> Plan</w:t>
      </w:r>
      <w:r w:rsidRPr="008A1F12">
        <w:t>;</w:t>
      </w:r>
    </w:p>
    <w:p w14:paraId="3DD1AF7F" w14:textId="01F88257" w:rsidR="008A1F12" w:rsidRPr="00F80328" w:rsidRDefault="008A1F12" w:rsidP="00F80328">
      <w:pPr>
        <w:pStyle w:val="ListParagraph"/>
        <w:numPr>
          <w:ilvl w:val="0"/>
          <w:numId w:val="33"/>
        </w:numPr>
        <w:ind w:left="714" w:hanging="357"/>
        <w:contextualSpacing w:val="0"/>
        <w:jc w:val="both"/>
        <w:rPr>
          <w:lang w:val="en-GB"/>
        </w:rPr>
      </w:pPr>
      <w:r w:rsidRPr="008A1F12">
        <w:t xml:space="preserve">Identifying </w:t>
      </w:r>
      <w:r w:rsidR="00EE3D01">
        <w:t xml:space="preserve">and approving </w:t>
      </w:r>
      <w:r w:rsidRPr="008A1F12">
        <w:t>Actions/activities/</w:t>
      </w:r>
      <w:r w:rsidR="00E1631F">
        <w:t>flagships/</w:t>
      </w:r>
      <w:r w:rsidRPr="008A1F12">
        <w:t>projects to be included in the Action Plan</w:t>
      </w:r>
      <w:r w:rsidR="00E1631F">
        <w:t xml:space="preserve"> or its implementation</w:t>
      </w:r>
      <w:r w:rsidRPr="008A1F12">
        <w:t>, ensuring that they comply with the Pillars’ objectives and needs, including cross-cutting and horizontal topics, according to possibilities. In this, possible funding source(s) sh</w:t>
      </w:r>
      <w:r w:rsidR="00E1631F">
        <w:t>all</w:t>
      </w:r>
      <w:r w:rsidRPr="008A1F12">
        <w:t xml:space="preserve"> be identified as well</w:t>
      </w:r>
      <w:r w:rsidR="00D42728">
        <w:t>;</w:t>
      </w:r>
    </w:p>
    <w:p w14:paraId="575FB304" w14:textId="066570BE" w:rsidR="00D42728" w:rsidRPr="001B7378" w:rsidRDefault="00D42728" w:rsidP="00F80328">
      <w:pPr>
        <w:pStyle w:val="ListParagraph"/>
        <w:numPr>
          <w:ilvl w:val="0"/>
          <w:numId w:val="33"/>
        </w:numPr>
        <w:ind w:left="714" w:hanging="357"/>
        <w:contextualSpacing w:val="0"/>
        <w:jc w:val="both"/>
        <w:rPr>
          <w:lang w:val="en-GB"/>
        </w:rPr>
      </w:pPr>
      <w:r>
        <w:t xml:space="preserve">Agreeing on general procedures and criteria for approval of flagships and strategic projects; </w:t>
      </w:r>
    </w:p>
    <w:p w14:paraId="5FCA7F24" w14:textId="467C1088" w:rsidR="00D42728" w:rsidRPr="001B7378" w:rsidRDefault="00507EFC" w:rsidP="00F80328">
      <w:pPr>
        <w:pStyle w:val="ListParagraph"/>
        <w:numPr>
          <w:ilvl w:val="0"/>
          <w:numId w:val="33"/>
        </w:numPr>
        <w:ind w:left="714" w:hanging="357"/>
        <w:contextualSpacing w:val="0"/>
        <w:jc w:val="both"/>
        <w:rPr>
          <w:lang w:val="en-GB"/>
        </w:rPr>
      </w:pPr>
      <w:r>
        <w:t>Approving and s</w:t>
      </w:r>
      <w:r w:rsidR="00D42728" w:rsidRPr="008A1F12">
        <w:t xml:space="preserve">ubmitting to the </w:t>
      </w:r>
      <w:bookmarkStart w:id="0" w:name="_Hlk207614128"/>
      <w:r w:rsidR="006F0075">
        <w:t xml:space="preserve">EUSAIR Governing Board </w:t>
      </w:r>
      <w:bookmarkEnd w:id="0"/>
      <w:r w:rsidR="006F0075">
        <w:t>(</w:t>
      </w:r>
      <w:r w:rsidR="00D42728" w:rsidRPr="008A1F12">
        <w:t>GB</w:t>
      </w:r>
      <w:r w:rsidR="006F0075">
        <w:t>)</w:t>
      </w:r>
      <w:r w:rsidR="00D42728" w:rsidRPr="008A1F12">
        <w:t xml:space="preserve"> policy proposals and recommendations for revisions of the Action Plan;</w:t>
      </w:r>
    </w:p>
    <w:p w14:paraId="48E72E16" w14:textId="3792F7A6" w:rsidR="00507EFC" w:rsidRDefault="00507EFC" w:rsidP="00F80328">
      <w:pPr>
        <w:pStyle w:val="ListParagraph"/>
        <w:numPr>
          <w:ilvl w:val="0"/>
          <w:numId w:val="33"/>
        </w:numPr>
        <w:ind w:left="714" w:hanging="357"/>
        <w:contextualSpacing w:val="0"/>
        <w:jc w:val="both"/>
        <w:rPr>
          <w:lang w:val="en-GB"/>
        </w:rPr>
      </w:pPr>
      <w:r>
        <w:rPr>
          <w:lang w:val="en-GB"/>
        </w:rPr>
        <w:t xml:space="preserve">Approving indicators and </w:t>
      </w:r>
      <w:r w:rsidRPr="00D42728">
        <w:rPr>
          <w:lang w:val="en-GB"/>
        </w:rPr>
        <w:t xml:space="preserve">targets </w:t>
      </w:r>
      <w:r>
        <w:rPr>
          <w:lang w:val="en-GB"/>
        </w:rPr>
        <w:t xml:space="preserve">of Actions </w:t>
      </w:r>
      <w:r w:rsidR="00B56A9E">
        <w:rPr>
          <w:lang w:val="en-GB"/>
        </w:rPr>
        <w:t xml:space="preserve">and </w:t>
      </w:r>
      <w:r w:rsidRPr="00D42728">
        <w:rPr>
          <w:lang w:val="en-GB"/>
        </w:rPr>
        <w:t>adopt</w:t>
      </w:r>
      <w:r w:rsidR="00B56A9E">
        <w:rPr>
          <w:lang w:val="en-GB"/>
        </w:rPr>
        <w:t>ing</w:t>
      </w:r>
      <w:r w:rsidRPr="00D42728">
        <w:rPr>
          <w:lang w:val="en-GB"/>
        </w:rPr>
        <w:t xml:space="preserve"> any proposed modification of these </w:t>
      </w:r>
      <w:proofErr w:type="gramStart"/>
      <w:r w:rsidRPr="00D42728">
        <w:rPr>
          <w:lang w:val="en-GB"/>
        </w:rPr>
        <w:t>targets;</w:t>
      </w:r>
      <w:proofErr w:type="gramEnd"/>
    </w:p>
    <w:p w14:paraId="3462BD8C" w14:textId="736E578D" w:rsidR="00B56A9E" w:rsidRPr="00BF4D78" w:rsidRDefault="00B56A9E" w:rsidP="00F80328">
      <w:pPr>
        <w:pStyle w:val="ListParagraph"/>
        <w:numPr>
          <w:ilvl w:val="0"/>
          <w:numId w:val="33"/>
        </w:numPr>
        <w:ind w:left="714" w:hanging="357"/>
        <w:contextualSpacing w:val="0"/>
        <w:jc w:val="both"/>
        <w:rPr>
          <w:lang w:val="en-GB"/>
        </w:rPr>
      </w:pPr>
      <w:r w:rsidRPr="00B56A9E">
        <w:rPr>
          <w:lang w:val="en-GB"/>
        </w:rPr>
        <w:t>Support monitoring and evaluation of the Strategy through reporting</w:t>
      </w:r>
      <w:r>
        <w:rPr>
          <w:lang w:val="en-GB"/>
        </w:rPr>
        <w:t xml:space="preserve">; approving and </w:t>
      </w:r>
      <w:r w:rsidRPr="00BF4D78">
        <w:rPr>
          <w:lang w:val="en-GB"/>
        </w:rPr>
        <w:t xml:space="preserve">submitting Annual Reports to </w:t>
      </w:r>
      <w:proofErr w:type="gramStart"/>
      <w:r w:rsidRPr="00BF4D78">
        <w:rPr>
          <w:lang w:val="en-GB"/>
        </w:rPr>
        <w:t>GB;</w:t>
      </w:r>
      <w:proofErr w:type="gramEnd"/>
      <w:r w:rsidRPr="00BF4D78">
        <w:rPr>
          <w:lang w:val="en-GB"/>
        </w:rPr>
        <w:t xml:space="preserve"> </w:t>
      </w:r>
    </w:p>
    <w:p w14:paraId="4354A3B5" w14:textId="618BA775" w:rsidR="00B56A9E" w:rsidRPr="001B7378" w:rsidRDefault="00B56A9E" w:rsidP="00F80328">
      <w:pPr>
        <w:pStyle w:val="ListParagraph"/>
        <w:numPr>
          <w:ilvl w:val="0"/>
          <w:numId w:val="33"/>
        </w:numPr>
        <w:ind w:left="714" w:hanging="357"/>
        <w:contextualSpacing w:val="0"/>
        <w:jc w:val="both"/>
        <w:rPr>
          <w:lang w:val="en-GB"/>
        </w:rPr>
      </w:pPr>
      <w:r>
        <w:rPr>
          <w:lang w:val="en-GB"/>
        </w:rPr>
        <w:t>E</w:t>
      </w:r>
      <w:r w:rsidRPr="00B56A9E">
        <w:rPr>
          <w:lang w:val="en-GB"/>
        </w:rPr>
        <w:t xml:space="preserve">xamine the results of implementation, particularly the achievement of the </w:t>
      </w:r>
      <w:r>
        <w:rPr>
          <w:lang w:val="en-GB"/>
        </w:rPr>
        <w:t xml:space="preserve">set indicator </w:t>
      </w:r>
      <w:r w:rsidRPr="00B56A9E">
        <w:rPr>
          <w:lang w:val="en-GB"/>
        </w:rPr>
        <w:t xml:space="preserve">targets and propose corrective measures, if </w:t>
      </w:r>
      <w:proofErr w:type="gramStart"/>
      <w:r w:rsidRPr="00B56A9E">
        <w:rPr>
          <w:lang w:val="en-GB"/>
        </w:rPr>
        <w:t>necessary;</w:t>
      </w:r>
      <w:proofErr w:type="gramEnd"/>
    </w:p>
    <w:p w14:paraId="747F2DBA" w14:textId="05E1C0AB" w:rsidR="008A1F12" w:rsidRPr="0012229F" w:rsidRDefault="008A1F12" w:rsidP="00F80328">
      <w:pPr>
        <w:pStyle w:val="ListParagraph"/>
        <w:numPr>
          <w:ilvl w:val="0"/>
          <w:numId w:val="33"/>
        </w:numPr>
        <w:ind w:left="714" w:hanging="357"/>
        <w:contextualSpacing w:val="0"/>
        <w:jc w:val="both"/>
        <w:rPr>
          <w:lang w:val="en-GB"/>
        </w:rPr>
      </w:pPr>
      <w:r w:rsidRPr="008A1F12">
        <w:t xml:space="preserve">Preparing, monitoring and updating when necessary, the </w:t>
      </w:r>
      <w:r w:rsidR="00E1631F">
        <w:t xml:space="preserve">Pillar </w:t>
      </w:r>
      <w:r w:rsidRPr="008A1F12">
        <w:t>Roadmap of Actions</w:t>
      </w:r>
      <w:r w:rsidR="00EE3D01">
        <w:t xml:space="preserve">, braking down Actions to operational steps, setting </w:t>
      </w:r>
      <w:r w:rsidRPr="008A1F12">
        <w:t>milestones</w:t>
      </w:r>
      <w:r w:rsidR="00EE3D01">
        <w:t xml:space="preserve"> and</w:t>
      </w:r>
      <w:r w:rsidR="0052207D">
        <w:t xml:space="preserve"> </w:t>
      </w:r>
      <w:r w:rsidRPr="008A1F12">
        <w:t xml:space="preserve">deadlines, linking with related projects as well as to the results of thematic studies, </w:t>
      </w:r>
      <w:r w:rsidR="00EE3D01">
        <w:t xml:space="preserve">allowing </w:t>
      </w:r>
      <w:r w:rsidRPr="008A1F12">
        <w:t xml:space="preserve">tracking status of achievement; </w:t>
      </w:r>
    </w:p>
    <w:p w14:paraId="43583DD7" w14:textId="448FBF1C" w:rsidR="008A1F12" w:rsidRPr="001B7378" w:rsidRDefault="008A1F12" w:rsidP="00F80328">
      <w:pPr>
        <w:pStyle w:val="ListParagraph"/>
        <w:numPr>
          <w:ilvl w:val="0"/>
          <w:numId w:val="33"/>
        </w:numPr>
        <w:ind w:left="714" w:hanging="357"/>
        <w:contextualSpacing w:val="0"/>
        <w:jc w:val="both"/>
        <w:rPr>
          <w:lang w:val="en-GB"/>
        </w:rPr>
      </w:pPr>
      <w:r w:rsidRPr="008A1F12">
        <w:t xml:space="preserve">Following agreed strategic guidelines provided to the TSG by the </w:t>
      </w:r>
      <w:r w:rsidR="00302263">
        <w:t xml:space="preserve">GB </w:t>
      </w:r>
      <w:r w:rsidRPr="008A1F12">
        <w:t>and NCs</w:t>
      </w:r>
      <w:r w:rsidR="003238B5">
        <w:t>;</w:t>
      </w:r>
    </w:p>
    <w:p w14:paraId="07F6BA3C" w14:textId="3C8A10C5" w:rsidR="008A1F12" w:rsidRPr="001B7378" w:rsidRDefault="008A1F12" w:rsidP="00F80328">
      <w:pPr>
        <w:pStyle w:val="ListParagraph"/>
        <w:numPr>
          <w:ilvl w:val="0"/>
          <w:numId w:val="33"/>
        </w:numPr>
        <w:ind w:left="714" w:hanging="357"/>
        <w:contextualSpacing w:val="0"/>
        <w:jc w:val="both"/>
        <w:rPr>
          <w:lang w:val="en-GB"/>
        </w:rPr>
      </w:pPr>
      <w:r w:rsidRPr="008A1F12">
        <w:t>Identifying and engaging with relevant stakeholders on all governance levels, promoting Pillar objectives and encouraging their active participation in the implementation of Actions;</w:t>
      </w:r>
    </w:p>
    <w:p w14:paraId="2FF3C6B0" w14:textId="28C9065A" w:rsidR="008A1F12" w:rsidRDefault="008A1F12" w:rsidP="00F80328">
      <w:pPr>
        <w:pStyle w:val="ListParagraph"/>
        <w:numPr>
          <w:ilvl w:val="0"/>
          <w:numId w:val="33"/>
        </w:numPr>
        <w:ind w:left="714" w:hanging="357"/>
        <w:contextualSpacing w:val="0"/>
        <w:jc w:val="both"/>
        <w:rPr>
          <w:lang w:val="en-GB"/>
        </w:rPr>
      </w:pPr>
      <w:r w:rsidRPr="008A1F12">
        <w:t>Ensuring linkages with the other T</w:t>
      </w:r>
      <w:r w:rsidR="00E1631F">
        <w:t>SGs</w:t>
      </w:r>
      <w:r w:rsidRPr="008A1F12">
        <w:t xml:space="preserve"> whenever appropriate and based on the Pillar needs;</w:t>
      </w:r>
    </w:p>
    <w:p w14:paraId="7DEDCEEC" w14:textId="7F3DB77B" w:rsidR="008A1F12" w:rsidRPr="001B7378" w:rsidRDefault="008A1F12" w:rsidP="00F80328">
      <w:pPr>
        <w:pStyle w:val="ListParagraph"/>
        <w:numPr>
          <w:ilvl w:val="0"/>
          <w:numId w:val="33"/>
        </w:numPr>
        <w:ind w:left="714" w:hanging="357"/>
        <w:contextualSpacing w:val="0"/>
        <w:jc w:val="both"/>
        <w:rPr>
          <w:lang w:val="en-GB"/>
        </w:rPr>
      </w:pPr>
      <w:r w:rsidRPr="008A1F12">
        <w:t xml:space="preserve">Liaising with responsible (managing and/or programming) authorities/National IPA Coordinators </w:t>
      </w:r>
      <w:r w:rsidR="007823BA">
        <w:t xml:space="preserve">(NIPACs) </w:t>
      </w:r>
      <w:r w:rsidRPr="008A1F12">
        <w:t xml:space="preserve">and contact points of EU programmes in EU and candidate </w:t>
      </w:r>
      <w:r w:rsidRPr="008A1F12">
        <w:lastRenderedPageBreak/>
        <w:t xml:space="preserve">countries </w:t>
      </w:r>
      <w:r w:rsidR="007823BA" w:rsidRPr="008A1F12">
        <w:t>whenever appropriate and based on the Pillar needs</w:t>
      </w:r>
      <w:r w:rsidR="007823BA">
        <w:t xml:space="preserve"> to promote embedding of the Strategy in the entire programme life-cycle</w:t>
      </w:r>
      <w:r w:rsidR="00D42728">
        <w:t xml:space="preserve"> of all relevant programmes</w:t>
      </w:r>
      <w:r w:rsidR="003F5CC5">
        <w:rPr>
          <w:rStyle w:val="FootnoteReference"/>
        </w:rPr>
        <w:footnoteReference w:id="7"/>
      </w:r>
      <w:r w:rsidR="007823BA">
        <w:t>;</w:t>
      </w:r>
    </w:p>
    <w:p w14:paraId="45ACDF6A" w14:textId="44122CE5" w:rsidR="008A1F12" w:rsidRPr="001B7378" w:rsidRDefault="008A1F12" w:rsidP="00F80328">
      <w:pPr>
        <w:pStyle w:val="ListParagraph"/>
        <w:numPr>
          <w:ilvl w:val="0"/>
          <w:numId w:val="33"/>
        </w:numPr>
        <w:ind w:left="714" w:hanging="357"/>
        <w:contextualSpacing w:val="0"/>
        <w:jc w:val="both"/>
        <w:rPr>
          <w:lang w:val="en-GB"/>
        </w:rPr>
      </w:pPr>
      <w:r w:rsidRPr="008A1F12">
        <w:t xml:space="preserve">With the support of the EC, liaising with relevant EU programmes managed directly by the </w:t>
      </w:r>
      <w:r w:rsidR="003F3C11">
        <w:t>EC</w:t>
      </w:r>
      <w:r w:rsidRPr="008A1F12">
        <w:t>, international financial institutions, regional cooperation organisations, etc. whenever appropriate and based on the Pillar needs;</w:t>
      </w:r>
    </w:p>
    <w:p w14:paraId="748F74DC" w14:textId="52F7495B" w:rsidR="006221BB" w:rsidRPr="001B7378" w:rsidRDefault="006221BB" w:rsidP="00F80328">
      <w:pPr>
        <w:pStyle w:val="ListParagraph"/>
        <w:numPr>
          <w:ilvl w:val="0"/>
          <w:numId w:val="33"/>
        </w:numPr>
        <w:ind w:left="714" w:hanging="357"/>
        <w:contextualSpacing w:val="0"/>
        <w:jc w:val="both"/>
        <w:rPr>
          <w:lang w:val="en-GB"/>
        </w:rPr>
      </w:pPr>
      <w:r>
        <w:t>Approve establising of Working Groups as defined in § 8 and agree on their m</w:t>
      </w:r>
      <w:r w:rsidRPr="006221BB">
        <w:t>andate, nominations, duration and tasks</w:t>
      </w:r>
      <w:r>
        <w:t>;</w:t>
      </w:r>
    </w:p>
    <w:p w14:paraId="5B239322" w14:textId="47A07D89" w:rsidR="00B56A9E" w:rsidRPr="0012229F" w:rsidRDefault="008A1F12" w:rsidP="00F80328">
      <w:pPr>
        <w:pStyle w:val="ListParagraph"/>
        <w:numPr>
          <w:ilvl w:val="0"/>
          <w:numId w:val="33"/>
        </w:numPr>
        <w:ind w:left="714" w:hanging="357"/>
        <w:contextualSpacing w:val="0"/>
        <w:jc w:val="both"/>
        <w:rPr>
          <w:lang w:val="en-GB"/>
        </w:rPr>
      </w:pPr>
      <w:r w:rsidRPr="008A1F12">
        <w:t xml:space="preserve">TSG shall duly take into consideration proposals of the stakeholders, submitted </w:t>
      </w:r>
      <w:r w:rsidR="007823BA">
        <w:t>through the TSG members</w:t>
      </w:r>
      <w:r w:rsidR="00B56A9E">
        <w:t>;</w:t>
      </w:r>
    </w:p>
    <w:p w14:paraId="26486B02" w14:textId="5D4E0AAF" w:rsidR="002121E1" w:rsidRDefault="002121E1" w:rsidP="00F80328">
      <w:pPr>
        <w:pStyle w:val="ListParagraph"/>
        <w:numPr>
          <w:ilvl w:val="0"/>
          <w:numId w:val="33"/>
        </w:numPr>
        <w:ind w:left="714" w:hanging="357"/>
        <w:contextualSpacing w:val="0"/>
        <w:jc w:val="both"/>
        <w:rPr>
          <w:rFonts w:eastAsia="Times New Roman"/>
          <w:lang w:val="en-GB"/>
        </w:rPr>
      </w:pPr>
      <w:r>
        <w:t>under the coordnation of Pillar Coordinators, each TSG member is responsible for actively contributing to all functions listed above through activities such as gathering data on existing projects, identifying financing opportunities, leaising with programmes’ representatives, identifying new project ideas, monitoring project progress, providing data and input for the Annual Report, engaging and informing relevant national actors and stakeholders (including project partners) and supporting communication, multiplication, and dissemination efforts</w:t>
      </w:r>
      <w:r>
        <w:rPr>
          <w:rStyle w:val="FootnoteReference"/>
        </w:rPr>
        <w:footnoteReference w:id="8"/>
      </w:r>
      <w:r>
        <w:t>.</w:t>
      </w:r>
    </w:p>
    <w:p w14:paraId="4B83CF74" w14:textId="77777777" w:rsidR="002121E1" w:rsidRPr="007E0A9E" w:rsidRDefault="002121E1" w:rsidP="00F80328">
      <w:pPr>
        <w:pStyle w:val="ListParagraph"/>
        <w:ind w:left="360"/>
        <w:jc w:val="both"/>
        <w:rPr>
          <w:lang w:val="en-GB"/>
        </w:rPr>
      </w:pPr>
    </w:p>
    <w:p w14:paraId="04F4E626" w14:textId="192426C9" w:rsidR="00A33619" w:rsidRPr="002121E1" w:rsidRDefault="00A33619" w:rsidP="00CD7967">
      <w:pPr>
        <w:pStyle w:val="Heading1"/>
      </w:pPr>
      <w:r w:rsidRPr="002E1B0F">
        <w:t>Organisation of the work</w:t>
      </w:r>
    </w:p>
    <w:p w14:paraId="65C2278A" w14:textId="16E09983" w:rsidR="009F6096" w:rsidRDefault="009F6096" w:rsidP="00F80328">
      <w:pPr>
        <w:jc w:val="both"/>
      </w:pPr>
      <w:r w:rsidRPr="001B7378">
        <w:t xml:space="preserve">If deemed appropriate, the TSG may </w:t>
      </w:r>
      <w:r w:rsidR="00F42AF1" w:rsidRPr="001B7378">
        <w:t xml:space="preserve">also </w:t>
      </w:r>
      <w:r w:rsidRPr="001B7378">
        <w:t>establish sub-</w:t>
      </w:r>
      <w:r w:rsidR="00705E46">
        <w:t>groups</w:t>
      </w:r>
      <w:r w:rsidRPr="00F80328">
        <w:t xml:space="preserve">, such as </w:t>
      </w:r>
      <w:r w:rsidR="00D128C2">
        <w:t>w</w:t>
      </w:r>
      <w:r w:rsidRPr="00D128C2">
        <w:t xml:space="preserve">orking </w:t>
      </w:r>
      <w:r w:rsidR="00D128C2">
        <w:t>g</w:t>
      </w:r>
      <w:r w:rsidRPr="00D128C2">
        <w:t>roups</w:t>
      </w:r>
      <w:r w:rsidR="00D128C2">
        <w:t xml:space="preserve"> or</w:t>
      </w:r>
      <w:r w:rsidRPr="00F80328">
        <w:t xml:space="preserve"> </w:t>
      </w:r>
      <w:r w:rsidR="00705E46">
        <w:t xml:space="preserve">task forces or advisory bodies (hereinafter Working Groups) </w:t>
      </w:r>
      <w:r w:rsidRPr="001B7378">
        <w:t>addressing specific thematic topics or tasks.</w:t>
      </w:r>
      <w:r w:rsidR="00705E46">
        <w:t xml:space="preserve"> </w:t>
      </w:r>
      <w:r w:rsidR="00705E46" w:rsidRPr="00705E46">
        <w:t>Mandate, nominations, duration and tasks are defined as needed on case-by case basis</w:t>
      </w:r>
      <w:r w:rsidR="006221BB">
        <w:t xml:space="preserve"> and written down in Pillar Roadmap o</w:t>
      </w:r>
      <w:r w:rsidR="005323EF">
        <w:t>f</w:t>
      </w:r>
      <w:r w:rsidR="006221BB">
        <w:t xml:space="preserve"> Actions</w:t>
      </w:r>
      <w:r w:rsidR="00705E46" w:rsidRPr="00705E46">
        <w:t>.</w:t>
      </w:r>
    </w:p>
    <w:p w14:paraId="0D697259" w14:textId="12B04185" w:rsidR="00705E46" w:rsidRPr="00B024E0" w:rsidRDefault="00705E46" w:rsidP="00F80328">
      <w:pPr>
        <w:jc w:val="both"/>
      </w:pPr>
      <w:r>
        <w:t>Upon necessity, the GB could also establish Cross-Pillar working groups specially to encourage operational implementation and monitoring of horizontal and cross-cutting topics.</w:t>
      </w:r>
    </w:p>
    <w:p w14:paraId="77141C72" w14:textId="7DF32C33" w:rsidR="009F6096" w:rsidRPr="001B7378" w:rsidRDefault="009F6096" w:rsidP="00F80328">
      <w:pPr>
        <w:pStyle w:val="ListParagraph"/>
        <w:numPr>
          <w:ilvl w:val="1"/>
          <w:numId w:val="34"/>
        </w:numPr>
        <w:ind w:left="357" w:hanging="357"/>
        <w:contextualSpacing w:val="0"/>
        <w:jc w:val="both"/>
      </w:pPr>
      <w:bookmarkStart w:id="1" w:name="_Hlk209101379"/>
      <w:r w:rsidRPr="001B7378">
        <w:t>Each Working Group shall operate</w:t>
      </w:r>
      <w:bookmarkEnd w:id="1"/>
      <w:r w:rsidRPr="001B7378">
        <w:t xml:space="preserve"> based on a defined mandate with clear objectives and duration. The mandate shall be proposed by the C</w:t>
      </w:r>
      <w:r w:rsidR="00D128C2">
        <w:t>oordinators</w:t>
      </w:r>
      <w:r w:rsidRPr="001B7378">
        <w:t xml:space="preserve"> or any TSG Standing Member and</w:t>
      </w:r>
      <w:r w:rsidR="00F42AF1" w:rsidRPr="001B7378">
        <w:t xml:space="preserve"> has to be</w:t>
      </w:r>
      <w:r w:rsidRPr="001B7378">
        <w:t xml:space="preserve"> approved by consensus of the TSG.</w:t>
      </w:r>
    </w:p>
    <w:p w14:paraId="0ED5D0A6" w14:textId="2A53DF09" w:rsidR="00DC3A7A" w:rsidRPr="00F80328" w:rsidRDefault="00DC3A7A" w:rsidP="00F80328">
      <w:pPr>
        <w:pStyle w:val="ListParagraph"/>
        <w:numPr>
          <w:ilvl w:val="1"/>
          <w:numId w:val="34"/>
        </w:numPr>
        <w:ind w:left="357" w:hanging="357"/>
        <w:contextualSpacing w:val="0"/>
        <w:jc w:val="both"/>
      </w:pPr>
      <w:r w:rsidRPr="00F80328">
        <w:t>Membership in a Working Group is open to representatives of TSG members, as well as external stakeholders</w:t>
      </w:r>
      <w:r w:rsidR="009F1576">
        <w:t xml:space="preserve">, </w:t>
      </w:r>
      <w:r w:rsidRPr="00F80328">
        <w:t>including experts from public institutions</w:t>
      </w:r>
      <w:r w:rsidR="009F1576">
        <w:t xml:space="preserve"> from all governance levels if possible</w:t>
      </w:r>
      <w:r w:rsidRPr="00F80328">
        <w:t xml:space="preserve">, academia, civil society organisations, or the private sector, provided their </w:t>
      </w:r>
      <w:r w:rsidR="003F5CC5" w:rsidRPr="00F80328">
        <w:t xml:space="preserve">thematic </w:t>
      </w:r>
      <w:r w:rsidR="003F5CC5" w:rsidRPr="00F80328">
        <w:lastRenderedPageBreak/>
        <w:t xml:space="preserve">expertise and contribution to TSG objectives. </w:t>
      </w:r>
      <w:r w:rsidR="00D7212A" w:rsidRPr="00F80328">
        <w:t>Appointments and replacements of Working Group members are communicated to EUSAIR Facility Point via National Coordinators</w:t>
      </w:r>
      <w:r w:rsidR="003F5CC5" w:rsidRPr="00F80328">
        <w:t xml:space="preserve"> upon proposal from Pillar Coordinators or TSG members</w:t>
      </w:r>
      <w:r w:rsidR="00D7212A" w:rsidRPr="00F80328">
        <w:t xml:space="preserve">. </w:t>
      </w:r>
      <w:r w:rsidR="003F5CC5" w:rsidRPr="00F80328">
        <w:t xml:space="preserve">TSG might decide to limit the </w:t>
      </w:r>
      <w:r w:rsidR="005323EF" w:rsidRPr="00F80328">
        <w:t xml:space="preserve">maximum </w:t>
      </w:r>
      <w:r w:rsidR="003F5CC5" w:rsidRPr="00F80328">
        <w:t xml:space="preserve">number of participants from one participating country. </w:t>
      </w:r>
      <w:r w:rsidRPr="00F80328">
        <w:t>Participation in a Working Group does not confer TSG membership or decision-making rights in the TSG itself.</w:t>
      </w:r>
      <w:r w:rsidR="009F1576">
        <w:t xml:space="preserve"> </w:t>
      </w:r>
    </w:p>
    <w:p w14:paraId="5BA0BCD4" w14:textId="2257697F" w:rsidR="00B024E0" w:rsidRPr="00F80328" w:rsidRDefault="00DC3A7A" w:rsidP="00F80328">
      <w:pPr>
        <w:pStyle w:val="ListParagraph"/>
        <w:numPr>
          <w:ilvl w:val="1"/>
          <w:numId w:val="34"/>
        </w:numPr>
        <w:ind w:left="357" w:hanging="357"/>
        <w:contextualSpacing w:val="0"/>
        <w:jc w:val="both"/>
      </w:pPr>
      <w:r w:rsidRPr="00F80328">
        <w:t xml:space="preserve">Each Working Group should be led by a designated coordinator, </w:t>
      </w:r>
      <w:r w:rsidR="00D128C2" w:rsidRPr="00F80328">
        <w:t xml:space="preserve">agreed </w:t>
      </w:r>
      <w:r w:rsidRPr="00F80328">
        <w:t xml:space="preserve">responsible for organising meetings, guiding </w:t>
      </w:r>
      <w:r w:rsidR="00B024E0" w:rsidRPr="00F80328">
        <w:t>the work</w:t>
      </w:r>
      <w:r w:rsidRPr="00F80328">
        <w:t>, and reporting progress to the TSG. Working Group</w:t>
      </w:r>
      <w:r w:rsidR="00B024E0" w:rsidRPr="00F80328">
        <w:t>s</w:t>
      </w:r>
      <w:r w:rsidRPr="00F80328">
        <w:t xml:space="preserve"> shall provide updates on </w:t>
      </w:r>
      <w:r w:rsidR="00D128C2" w:rsidRPr="00F80328">
        <w:t>their</w:t>
      </w:r>
      <w:r w:rsidRPr="00F80328">
        <w:t xml:space="preserve"> work at each regular TSG </w:t>
      </w:r>
      <w:r w:rsidR="009E4004" w:rsidRPr="00F80328">
        <w:t>meeting and</w:t>
      </w:r>
      <w:r w:rsidRPr="00F80328">
        <w:t xml:space="preserve"> submit written summaries or presentations</w:t>
      </w:r>
      <w:r w:rsidR="00B024E0" w:rsidRPr="00F80328">
        <w:t xml:space="preserve"> for discussion in TSG meetings.</w:t>
      </w:r>
    </w:p>
    <w:p w14:paraId="46BD7E0F" w14:textId="0E76E7A9" w:rsidR="00DC3A7A" w:rsidRDefault="00DC3A7A" w:rsidP="00F80328">
      <w:pPr>
        <w:pStyle w:val="ListParagraph"/>
        <w:numPr>
          <w:ilvl w:val="1"/>
          <w:numId w:val="34"/>
        </w:numPr>
        <w:ind w:left="357" w:hanging="357"/>
        <w:contextualSpacing w:val="0"/>
        <w:jc w:val="both"/>
      </w:pPr>
      <w:r w:rsidRPr="00F80328">
        <w:t>Working Groups are expected to operate primarily through online coordination,  in-person meetings may be organised when necessary and feasible. All outputs, draft proposals, or conclusions of Working Groups must be documented and made available to the TSG</w:t>
      </w:r>
      <w:r w:rsidR="00B024E0" w:rsidRPr="00F80328">
        <w:t>.</w:t>
      </w:r>
    </w:p>
    <w:p w14:paraId="5C54D85B" w14:textId="70E4F136" w:rsidR="005C2BFD" w:rsidRPr="00F80328" w:rsidRDefault="005C2BFD" w:rsidP="00F80328">
      <w:pPr>
        <w:pStyle w:val="ListParagraph"/>
        <w:numPr>
          <w:ilvl w:val="1"/>
          <w:numId w:val="34"/>
        </w:numPr>
        <w:ind w:left="357" w:hanging="357"/>
        <w:contextualSpacing w:val="0"/>
        <w:jc w:val="both"/>
      </w:pPr>
      <w:r w:rsidRPr="005C2BFD">
        <w:t>Each Working Group shall operate</w:t>
      </w:r>
      <w:r>
        <w:t xml:space="preserve"> under Pillar Coordinators supervison and responsability. The</w:t>
      </w:r>
      <w:r w:rsidRPr="005C2BFD">
        <w:t xml:space="preserve"> EUSAIR Facility Point supports the</w:t>
      </w:r>
      <w:r>
        <w:t xml:space="preserve"> Working Group </w:t>
      </w:r>
      <w:r w:rsidRPr="005C2BFD">
        <w:t>administratively and operationally in their functions</w:t>
      </w:r>
      <w:r w:rsidR="000E4619">
        <w:t xml:space="preserve"> based on the availablity of resources</w:t>
      </w:r>
      <w:r>
        <w:t>.</w:t>
      </w:r>
    </w:p>
    <w:p w14:paraId="35A1D4BF" w14:textId="77777777" w:rsidR="00A944A5" w:rsidRPr="001B7378" w:rsidRDefault="00A944A5" w:rsidP="00F80328">
      <w:pPr>
        <w:jc w:val="both"/>
        <w:rPr>
          <w:lang w:val="en-GB"/>
        </w:rPr>
      </w:pPr>
    </w:p>
    <w:p w14:paraId="77A17C68" w14:textId="2F123BDB" w:rsidR="009321E4" w:rsidRPr="00EA27B2" w:rsidRDefault="009321E4" w:rsidP="00CD7967">
      <w:pPr>
        <w:pStyle w:val="Heading1"/>
      </w:pPr>
      <w:r w:rsidRPr="00EA27B2">
        <w:t xml:space="preserve">Meetings </w:t>
      </w:r>
    </w:p>
    <w:p w14:paraId="60F5220A" w14:textId="398F903A" w:rsidR="00A944A5" w:rsidRPr="003F5CC5" w:rsidRDefault="009321E4" w:rsidP="00F80328">
      <w:pPr>
        <w:pStyle w:val="ListParagraph"/>
        <w:numPr>
          <w:ilvl w:val="1"/>
          <w:numId w:val="18"/>
        </w:numPr>
        <w:ind w:left="567" w:hanging="567"/>
        <w:contextualSpacing w:val="0"/>
        <w:jc w:val="both"/>
        <w:rPr>
          <w:lang w:val="en-GB"/>
        </w:rPr>
      </w:pPr>
      <w:r w:rsidRPr="00A944A5">
        <w:rPr>
          <w:lang w:val="en-GB"/>
        </w:rPr>
        <w:t>TSG</w:t>
      </w:r>
      <w:r w:rsidR="00381A5F" w:rsidRPr="00A944A5">
        <w:rPr>
          <w:lang w:val="en-GB"/>
        </w:rPr>
        <w:t xml:space="preserve"> for </w:t>
      </w:r>
      <w:r w:rsidR="00CD20B1" w:rsidRPr="00A944A5">
        <w:rPr>
          <w:lang w:val="en-GB"/>
        </w:rPr>
        <w:t>Pillar XX</w:t>
      </w:r>
      <w:r w:rsidR="00381A5F" w:rsidRPr="00A944A5">
        <w:rPr>
          <w:lang w:val="en-GB"/>
        </w:rPr>
        <w:t xml:space="preserve"> </w:t>
      </w:r>
      <w:r w:rsidRPr="00A944A5">
        <w:rPr>
          <w:lang w:val="en-GB"/>
        </w:rPr>
        <w:t xml:space="preserve">shall convene at least twice a year. Meetings shall be called by the Pillar Coordinators, either in their own capacity or following a request from at least 3 countries via their TSG members. </w:t>
      </w:r>
    </w:p>
    <w:p w14:paraId="65FE8125" w14:textId="43BAABFD" w:rsidR="00A944A5" w:rsidRDefault="00754D94" w:rsidP="00F80328">
      <w:pPr>
        <w:pStyle w:val="ListParagraph"/>
        <w:numPr>
          <w:ilvl w:val="1"/>
          <w:numId w:val="18"/>
        </w:numPr>
        <w:ind w:left="567" w:hanging="567"/>
        <w:contextualSpacing w:val="0"/>
        <w:jc w:val="both"/>
        <w:rPr>
          <w:lang w:val="en-GB"/>
        </w:rPr>
      </w:pPr>
      <w:r w:rsidRPr="00A944A5">
        <w:rPr>
          <w:lang w:val="en-GB"/>
        </w:rPr>
        <w:t>An extraordinary TSG meeting can be called according to the provisions established in § 9.1 above.</w:t>
      </w:r>
    </w:p>
    <w:p w14:paraId="0B46332D" w14:textId="77777777" w:rsidR="009F58D3" w:rsidRPr="009F58D3" w:rsidRDefault="00A944A5" w:rsidP="00F80328">
      <w:pPr>
        <w:pStyle w:val="ListParagraph"/>
        <w:numPr>
          <w:ilvl w:val="1"/>
          <w:numId w:val="18"/>
        </w:numPr>
        <w:ind w:left="567" w:hanging="567"/>
        <w:contextualSpacing w:val="0"/>
        <w:jc w:val="both"/>
        <w:rPr>
          <w:lang w:val="en-GB"/>
        </w:rPr>
      </w:pPr>
      <w:r w:rsidRPr="009F1576">
        <w:rPr>
          <w:lang w:val="en-GB"/>
        </w:rPr>
        <w:t xml:space="preserve">TSG meetings are chaired by </w:t>
      </w:r>
      <w:r w:rsidR="00E708BB" w:rsidRPr="009F1576">
        <w:rPr>
          <w:lang w:val="en-GB"/>
        </w:rPr>
        <w:t>Pillar Coordinators</w:t>
      </w:r>
      <w:r w:rsidR="009F1576">
        <w:rPr>
          <w:lang w:val="en-GB"/>
        </w:rPr>
        <w:t xml:space="preserve"> and if possible </w:t>
      </w:r>
      <w:r w:rsidR="009F58D3">
        <w:rPr>
          <w:lang w:val="en-GB"/>
        </w:rPr>
        <w:t xml:space="preserve">co-chaired </w:t>
      </w:r>
      <w:r w:rsidR="009F1576">
        <w:rPr>
          <w:lang w:val="en-GB"/>
        </w:rPr>
        <w:t xml:space="preserve">by </w:t>
      </w:r>
      <w:r w:rsidRPr="009F1576">
        <w:rPr>
          <w:lang w:val="en-GB"/>
        </w:rPr>
        <w:t>TSG member from the participating country in Presidency in line with the Presidency mandate</w:t>
      </w:r>
      <w:r w:rsidR="009F1576">
        <w:rPr>
          <w:lang w:val="en-GB"/>
        </w:rPr>
        <w:t xml:space="preserve"> </w:t>
      </w:r>
      <w:r w:rsidRPr="009F1576">
        <w:rPr>
          <w:lang w:val="en-GB"/>
        </w:rPr>
        <w:t>to encourage active participation of all TSG memb</w:t>
      </w:r>
      <w:r w:rsidR="009F58D3">
        <w:rPr>
          <w:lang w:val="en-GB"/>
        </w:rPr>
        <w:t>ers. Alternatively, the T</w:t>
      </w:r>
      <w:r w:rsidR="009F58D3" w:rsidRPr="009F58D3">
        <w:t>SG standing member</w:t>
      </w:r>
      <w:r w:rsidR="009F58D3">
        <w:t xml:space="preserve"> </w:t>
      </w:r>
      <w:r w:rsidR="009F58D3" w:rsidRPr="009F58D3">
        <w:t>from the participating country in Presidency ha</w:t>
      </w:r>
      <w:r w:rsidR="009F58D3">
        <w:t>s</w:t>
      </w:r>
      <w:r w:rsidR="009F58D3" w:rsidRPr="009F58D3">
        <w:t xml:space="preserve"> an active supportive role in chairing of the meet</w:t>
      </w:r>
      <w:r w:rsidR="009F58D3">
        <w:t xml:space="preserve">ing. </w:t>
      </w:r>
    </w:p>
    <w:p w14:paraId="0A068CD0" w14:textId="3255F123" w:rsidR="00A944A5" w:rsidRPr="00A944A5" w:rsidRDefault="00E708BB" w:rsidP="00F80328">
      <w:pPr>
        <w:pStyle w:val="ListParagraph"/>
        <w:numPr>
          <w:ilvl w:val="1"/>
          <w:numId w:val="18"/>
        </w:numPr>
        <w:ind w:left="567" w:hanging="567"/>
        <w:contextualSpacing w:val="0"/>
        <w:jc w:val="both"/>
        <w:rPr>
          <w:lang w:val="en-GB"/>
        </w:rPr>
      </w:pPr>
      <w:r>
        <w:rPr>
          <w:lang w:val="en-GB"/>
        </w:rPr>
        <w:t>E</w:t>
      </w:r>
      <w:r w:rsidR="009321E4" w:rsidRPr="00A944A5">
        <w:rPr>
          <w:lang w:val="en-GB"/>
        </w:rPr>
        <w:t xml:space="preserve">ach meeting is called with a </w:t>
      </w:r>
      <w:r w:rsidR="00381A5F" w:rsidRPr="00A944A5">
        <w:rPr>
          <w:lang w:val="en-GB"/>
        </w:rPr>
        <w:t xml:space="preserve">“save-the –date” notice </w:t>
      </w:r>
      <w:r w:rsidR="009321E4" w:rsidRPr="00A944A5">
        <w:rPr>
          <w:lang w:val="en-GB"/>
        </w:rPr>
        <w:t>45 calendar days</w:t>
      </w:r>
      <w:r w:rsidR="00381A5F" w:rsidRPr="00A944A5">
        <w:rPr>
          <w:lang w:val="en-GB"/>
        </w:rPr>
        <w:t xml:space="preserve"> ahead</w:t>
      </w:r>
      <w:r w:rsidR="009321E4" w:rsidRPr="00A944A5">
        <w:rPr>
          <w:lang w:val="en-GB"/>
        </w:rPr>
        <w:t>. A draft agenda</w:t>
      </w:r>
      <w:r w:rsidR="00C83F86" w:rsidRPr="00A944A5">
        <w:rPr>
          <w:lang w:val="en-GB"/>
        </w:rPr>
        <w:t xml:space="preserve">, prepared by the </w:t>
      </w:r>
      <w:r w:rsidR="00A944A5">
        <w:rPr>
          <w:lang w:val="en-GB"/>
        </w:rPr>
        <w:t xml:space="preserve">Pillar Coordinators </w:t>
      </w:r>
      <w:r w:rsidR="00381A5F" w:rsidRPr="00A944A5">
        <w:rPr>
          <w:lang w:val="en-GB"/>
        </w:rPr>
        <w:t xml:space="preserve">and the confirmation of the meeting date will be sent </w:t>
      </w:r>
      <w:r w:rsidR="009321E4" w:rsidRPr="00A944A5">
        <w:rPr>
          <w:lang w:val="en-GB"/>
        </w:rPr>
        <w:t>30 calendar days before the meeting. Documents to be discussed shall be circulated at the latest 22 calendar days before the meeting.</w:t>
      </w:r>
    </w:p>
    <w:p w14:paraId="397CE160" w14:textId="78285CEA" w:rsidR="00FE41F5" w:rsidRDefault="002434F2" w:rsidP="00F80328">
      <w:pPr>
        <w:pStyle w:val="ListParagraph"/>
        <w:numPr>
          <w:ilvl w:val="1"/>
          <w:numId w:val="18"/>
        </w:numPr>
        <w:ind w:left="567" w:hanging="567"/>
        <w:contextualSpacing w:val="0"/>
        <w:jc w:val="both"/>
        <w:rPr>
          <w:lang w:val="en-GB"/>
        </w:rPr>
      </w:pPr>
      <w:r w:rsidRPr="00FE41F5">
        <w:rPr>
          <w:lang w:val="en-GB"/>
        </w:rPr>
        <w:t>The TSG meetings can be organized in person, on-line or in hybrid format.</w:t>
      </w:r>
    </w:p>
    <w:p w14:paraId="24E17440" w14:textId="6B103859" w:rsidR="00FE41F5" w:rsidRPr="00FE41F5" w:rsidRDefault="009321E4" w:rsidP="00F80328">
      <w:pPr>
        <w:pStyle w:val="ListParagraph"/>
        <w:numPr>
          <w:ilvl w:val="1"/>
          <w:numId w:val="18"/>
        </w:numPr>
        <w:ind w:left="567" w:hanging="567"/>
        <w:contextualSpacing w:val="0"/>
        <w:jc w:val="both"/>
        <w:rPr>
          <w:lang w:val="en-GB"/>
        </w:rPr>
      </w:pPr>
      <w:r w:rsidRPr="00F80328">
        <w:rPr>
          <w:lang w:val="en-GB"/>
        </w:rPr>
        <w:t xml:space="preserve">Meetings of the TSG can only be attended by </w:t>
      </w:r>
      <w:r w:rsidR="00FE41F5" w:rsidRPr="00FE41F5">
        <w:rPr>
          <w:lang w:val="en-GB"/>
        </w:rPr>
        <w:t xml:space="preserve">Pillar Coordinators, </w:t>
      </w:r>
      <w:r w:rsidR="00B80522" w:rsidRPr="007C69A9">
        <w:rPr>
          <w:lang w:val="en-GB"/>
        </w:rPr>
        <w:t>standing members</w:t>
      </w:r>
      <w:r w:rsidR="00FE41F5" w:rsidRPr="00FE41F5">
        <w:rPr>
          <w:lang w:val="en-GB"/>
        </w:rPr>
        <w:t xml:space="preserve"> as </w:t>
      </w:r>
      <w:r w:rsidRPr="007C69A9">
        <w:rPr>
          <w:lang w:val="en-GB"/>
        </w:rPr>
        <w:t xml:space="preserve">indicated in </w:t>
      </w:r>
      <w:r w:rsidR="003238B5">
        <w:rPr>
          <w:lang w:val="en-GB"/>
        </w:rPr>
        <w:t xml:space="preserve">§ </w:t>
      </w:r>
      <w:r w:rsidR="005F6861" w:rsidRPr="007C69A9">
        <w:rPr>
          <w:lang w:val="en-GB"/>
        </w:rPr>
        <w:t>4.</w:t>
      </w:r>
      <w:r w:rsidR="007439E3" w:rsidRPr="00FE41F5">
        <w:rPr>
          <w:lang w:val="en-GB"/>
        </w:rPr>
        <w:t xml:space="preserve"> Their participation should be active.</w:t>
      </w:r>
    </w:p>
    <w:p w14:paraId="7ECFFFA2" w14:textId="25B0779B" w:rsidR="00FE41F5" w:rsidRPr="00FA4867" w:rsidRDefault="00FE41F5" w:rsidP="00C259C6">
      <w:pPr>
        <w:pStyle w:val="ListParagraph"/>
        <w:numPr>
          <w:ilvl w:val="1"/>
          <w:numId w:val="18"/>
        </w:numPr>
        <w:ind w:left="426" w:hanging="426"/>
        <w:contextualSpacing w:val="0"/>
        <w:jc w:val="both"/>
        <w:rPr>
          <w:lang w:val="en-GB"/>
        </w:rPr>
      </w:pPr>
      <w:r w:rsidRPr="00FA4867">
        <w:rPr>
          <w:lang w:val="en-GB"/>
        </w:rPr>
        <w:lastRenderedPageBreak/>
        <w:t xml:space="preserve"> Guests and observers</w:t>
      </w:r>
      <w:r w:rsidR="00FA4867" w:rsidRPr="00FA4867">
        <w:rPr>
          <w:lang w:val="en-GB"/>
        </w:rPr>
        <w:t xml:space="preserve">: </w:t>
      </w:r>
      <w:r w:rsidR="00FA4867">
        <w:rPr>
          <w:lang w:val="en-GB"/>
        </w:rPr>
        <w:t>t</w:t>
      </w:r>
      <w:r w:rsidRPr="00FA4867">
        <w:rPr>
          <w:lang w:val="en-GB"/>
        </w:rPr>
        <w:t>he TSG may decide to invite other participants as guests, as appropriate, in particular in accordance with the TSG's agenda. Any Standing Member may propose guest participation, by submitting a written request to Pillar Coordinators and the EUSAIR Facility Point at least seven calendar days prior to the meeting. The proposal should include the guest’s name, affiliation, and purpose of attendance. Pillar Coordinator will consider the proposal and, if approved by Pillar Coordinators, the guest will be formally invited to participate in the meeting, or to the relevant portion of it.</w:t>
      </w:r>
    </w:p>
    <w:p w14:paraId="6E92BF61" w14:textId="0C8EE08B" w:rsidR="00FE41F5" w:rsidRDefault="00FE41F5" w:rsidP="00F80328">
      <w:pPr>
        <w:pStyle w:val="ListParagraph"/>
        <w:numPr>
          <w:ilvl w:val="1"/>
          <w:numId w:val="18"/>
        </w:numPr>
        <w:ind w:left="426" w:hanging="426"/>
        <w:contextualSpacing w:val="0"/>
        <w:jc w:val="both"/>
        <w:rPr>
          <w:lang w:val="en-GB"/>
        </w:rPr>
      </w:pPr>
      <w:r w:rsidRPr="001B7378">
        <w:rPr>
          <w:lang w:val="en-GB" w:eastAsia="hu-HU"/>
        </w:rPr>
        <w:t>For TSG meetings to be effective, the number of participants should remain manageable.</w:t>
      </w:r>
      <w:r w:rsidRPr="001B7378">
        <w:rPr>
          <w:lang w:val="en-GB"/>
        </w:rPr>
        <w:t xml:space="preserve"> </w:t>
      </w:r>
      <w:r w:rsidRPr="001B7378">
        <w:t>As a general guideline, each country is encouraged to limit their delegation to a maximum of five representatives per TSG. Exceptions may be considered for countries with a more decentralised governance structure, such as the participation of regional authorities, but in such cases, countries are encouraged to coordinate internally to ensure streamlined representation. Disproportionate representation of one country should be avoided to preserve equal footing among participating countries.</w:t>
      </w:r>
      <w:r>
        <w:t xml:space="preserve"> </w:t>
      </w:r>
    </w:p>
    <w:p w14:paraId="334687E3" w14:textId="711B7449" w:rsidR="00A944A5" w:rsidRPr="00A944A5" w:rsidRDefault="009321E4" w:rsidP="00F80328">
      <w:pPr>
        <w:pStyle w:val="ListParagraph"/>
        <w:numPr>
          <w:ilvl w:val="1"/>
          <w:numId w:val="18"/>
        </w:numPr>
        <w:ind w:left="426" w:hanging="426"/>
        <w:contextualSpacing w:val="0"/>
        <w:jc w:val="both"/>
        <w:rPr>
          <w:lang w:val="en-GB"/>
        </w:rPr>
      </w:pPr>
      <w:r w:rsidRPr="00F80328">
        <w:rPr>
          <w:lang w:val="en-GB"/>
        </w:rPr>
        <w:t xml:space="preserve">For TSG meetings to be entitled to make decisions as referred to in </w:t>
      </w:r>
      <w:r w:rsidR="00FE41F5">
        <w:rPr>
          <w:lang w:val="en-GB"/>
        </w:rPr>
        <w:t xml:space="preserve">§ </w:t>
      </w:r>
      <w:r w:rsidR="00754D94" w:rsidRPr="00A944A5">
        <w:rPr>
          <w:lang w:val="en-GB"/>
        </w:rPr>
        <w:t>10</w:t>
      </w:r>
      <w:r w:rsidR="00FA4867">
        <w:rPr>
          <w:lang w:val="en-GB"/>
        </w:rPr>
        <w:t>.2</w:t>
      </w:r>
      <w:r w:rsidRPr="00A944A5">
        <w:rPr>
          <w:lang w:val="en-GB"/>
        </w:rPr>
        <w:t xml:space="preserve"> below, a quorum of at least </w:t>
      </w:r>
      <w:r w:rsidR="00DC1D3E" w:rsidRPr="00A944A5">
        <w:rPr>
          <w:lang w:val="en-GB"/>
        </w:rPr>
        <w:t xml:space="preserve">six </w:t>
      </w:r>
      <w:r w:rsidRPr="00A944A5">
        <w:rPr>
          <w:lang w:val="en-GB"/>
        </w:rPr>
        <w:t>countries</w:t>
      </w:r>
      <w:r w:rsidR="009B41DC" w:rsidRPr="00A944A5">
        <w:rPr>
          <w:lang w:val="en-GB"/>
        </w:rPr>
        <w:t xml:space="preserve"> (50% + 1 rule)</w:t>
      </w:r>
      <w:r w:rsidRPr="00A944A5">
        <w:rPr>
          <w:lang w:val="en-GB"/>
        </w:rPr>
        <w:t>, represented by the appointed Standing Members, must be secured.</w:t>
      </w:r>
      <w:r w:rsidR="009B41DC" w:rsidRPr="00EA27B2">
        <w:t xml:space="preserve"> </w:t>
      </w:r>
      <w:r w:rsidR="009B41DC" w:rsidRPr="00A944A5">
        <w:rPr>
          <w:lang w:val="en-GB"/>
        </w:rPr>
        <w:t>Absence of Standing Members not entitled to participate in decision making will not affect the required quorum.</w:t>
      </w:r>
    </w:p>
    <w:p w14:paraId="485AF268" w14:textId="19810574" w:rsidR="007C69A9" w:rsidRPr="00FE41F5" w:rsidRDefault="00400F91" w:rsidP="00F80328">
      <w:pPr>
        <w:pStyle w:val="ListParagraph"/>
        <w:numPr>
          <w:ilvl w:val="1"/>
          <w:numId w:val="18"/>
        </w:numPr>
        <w:ind w:left="426" w:hanging="426"/>
        <w:contextualSpacing w:val="0"/>
        <w:jc w:val="both"/>
        <w:rPr>
          <w:lang w:val="en-GB" w:eastAsia="hu-HU"/>
        </w:rPr>
      </w:pPr>
      <w:r w:rsidRPr="00FE41F5">
        <w:rPr>
          <w:lang w:val="en-GB" w:eastAsia="hu-HU"/>
        </w:rPr>
        <w:t>TSG meetings shall be conducted in English. Participants may bring interpreters at their own expense.</w:t>
      </w:r>
    </w:p>
    <w:p w14:paraId="15BCDBF6" w14:textId="1B6DF17E" w:rsidR="007C69A9" w:rsidRPr="007C69A9" w:rsidRDefault="00400F91" w:rsidP="00F80328">
      <w:pPr>
        <w:pStyle w:val="ListParagraph"/>
        <w:numPr>
          <w:ilvl w:val="1"/>
          <w:numId w:val="18"/>
        </w:numPr>
        <w:ind w:left="426" w:hanging="426"/>
        <w:contextualSpacing w:val="0"/>
        <w:jc w:val="both"/>
        <w:rPr>
          <w:lang w:val="en-GB" w:eastAsia="hu-HU"/>
        </w:rPr>
      </w:pPr>
      <w:r w:rsidRPr="00A944A5">
        <w:rPr>
          <w:lang w:val="en-GB" w:eastAsia="hu-HU"/>
        </w:rPr>
        <w:t xml:space="preserve">Pillar Coordinators </w:t>
      </w:r>
      <w:r w:rsidR="000E4619">
        <w:rPr>
          <w:lang w:val="en-GB" w:eastAsia="hu-HU"/>
        </w:rPr>
        <w:t xml:space="preserve">supported by </w:t>
      </w:r>
      <w:r w:rsidR="00FE41F5">
        <w:rPr>
          <w:lang w:val="en-GB" w:eastAsia="hu-HU"/>
        </w:rPr>
        <w:t>EUSAIR Facility Point</w:t>
      </w:r>
      <w:r w:rsidR="00F83B93">
        <w:rPr>
          <w:lang w:val="en-GB" w:eastAsia="hu-HU"/>
        </w:rPr>
        <w:t>,</w:t>
      </w:r>
      <w:r w:rsidR="00FE41F5">
        <w:rPr>
          <w:lang w:val="en-GB" w:eastAsia="hu-HU"/>
        </w:rPr>
        <w:t xml:space="preserve"> </w:t>
      </w:r>
      <w:r w:rsidRPr="00A944A5">
        <w:rPr>
          <w:lang w:val="en-GB" w:eastAsia="hu-HU"/>
        </w:rPr>
        <w:t xml:space="preserve">shall ensure that </w:t>
      </w:r>
      <w:r w:rsidR="000E4619">
        <w:rPr>
          <w:lang w:val="en-GB" w:eastAsia="hu-HU"/>
        </w:rPr>
        <w:t xml:space="preserve">operational conclusions are drafted and circulated within </w:t>
      </w:r>
      <w:r w:rsidR="00252075">
        <w:rPr>
          <w:lang w:val="en-GB" w:eastAsia="hu-HU"/>
        </w:rPr>
        <w:t>5</w:t>
      </w:r>
      <w:r w:rsidR="000E4619">
        <w:rPr>
          <w:lang w:val="en-GB" w:eastAsia="hu-HU"/>
        </w:rPr>
        <w:t xml:space="preserve"> calendar days following the TSG meetings and the </w:t>
      </w:r>
      <w:r w:rsidRPr="00A944A5">
        <w:rPr>
          <w:lang w:val="en-GB" w:eastAsia="hu-HU"/>
        </w:rPr>
        <w:t xml:space="preserve">minutes are drafted and circulated within 15 calendar days following </w:t>
      </w:r>
      <w:r w:rsidR="00C83F86" w:rsidRPr="00A944A5">
        <w:rPr>
          <w:lang w:val="en-GB" w:eastAsia="hu-HU"/>
        </w:rPr>
        <w:t xml:space="preserve">TSG </w:t>
      </w:r>
      <w:r w:rsidRPr="00A944A5">
        <w:rPr>
          <w:lang w:val="en-GB" w:eastAsia="hu-HU"/>
        </w:rPr>
        <w:t xml:space="preserve">meetings. </w:t>
      </w:r>
      <w:r w:rsidR="001E4CD3" w:rsidRPr="00A944A5">
        <w:rPr>
          <w:lang w:val="en-GB" w:eastAsia="hu-HU"/>
        </w:rPr>
        <w:t xml:space="preserve">Participants shall provide comments, if any, </w:t>
      </w:r>
      <w:r w:rsidR="00381A5F" w:rsidRPr="00A944A5">
        <w:rPr>
          <w:lang w:val="en-GB" w:eastAsia="hu-HU"/>
        </w:rPr>
        <w:t>within 15</w:t>
      </w:r>
      <w:r w:rsidRPr="00A944A5">
        <w:rPr>
          <w:lang w:val="en-GB" w:eastAsia="hu-HU"/>
        </w:rPr>
        <w:t xml:space="preserve"> calendar days</w:t>
      </w:r>
      <w:r w:rsidR="0066300B" w:rsidRPr="00A944A5">
        <w:rPr>
          <w:lang w:val="en-GB" w:eastAsia="hu-HU"/>
        </w:rPr>
        <w:t xml:space="preserve"> after reception of the minutes</w:t>
      </w:r>
      <w:r w:rsidRPr="00A944A5">
        <w:rPr>
          <w:lang w:val="en-GB" w:eastAsia="hu-HU"/>
        </w:rPr>
        <w:t xml:space="preserve">. Minutes shall be approved in writing at the latest within </w:t>
      </w:r>
      <w:r w:rsidR="00381A5F" w:rsidRPr="00A944A5">
        <w:rPr>
          <w:lang w:val="en-GB" w:eastAsia="hu-HU"/>
        </w:rPr>
        <w:t>30</w:t>
      </w:r>
      <w:r w:rsidRPr="00A944A5">
        <w:rPr>
          <w:lang w:val="en-GB" w:eastAsia="hu-HU"/>
        </w:rPr>
        <w:t xml:space="preserve"> calendar days following the meeting they concern and be formally adopted at the first-coming TSG meeting.</w:t>
      </w:r>
    </w:p>
    <w:p w14:paraId="0C83670E" w14:textId="77777777" w:rsidR="00FE41F5" w:rsidRPr="00A944A5" w:rsidRDefault="00FE41F5" w:rsidP="00F80328">
      <w:pPr>
        <w:pStyle w:val="ListParagraph"/>
        <w:ind w:left="567"/>
        <w:contextualSpacing w:val="0"/>
        <w:jc w:val="both"/>
        <w:rPr>
          <w:lang w:val="en-GB" w:eastAsia="hu-HU"/>
        </w:rPr>
      </w:pPr>
    </w:p>
    <w:p w14:paraId="533E3278" w14:textId="474495D7" w:rsidR="0096291C" w:rsidRPr="005025C3" w:rsidRDefault="0096291C" w:rsidP="00CD7967">
      <w:pPr>
        <w:pStyle w:val="Heading1"/>
      </w:pPr>
      <w:r w:rsidRPr="005025C3">
        <w:t>Decision-making rules</w:t>
      </w:r>
    </w:p>
    <w:p w14:paraId="7091C3D6" w14:textId="7653D728" w:rsidR="007C69A9" w:rsidRPr="007C69A9" w:rsidRDefault="0096291C" w:rsidP="00F80328">
      <w:pPr>
        <w:pStyle w:val="ListParagraph"/>
        <w:numPr>
          <w:ilvl w:val="1"/>
          <w:numId w:val="30"/>
        </w:numPr>
        <w:ind w:left="426" w:hanging="426"/>
        <w:contextualSpacing w:val="0"/>
        <w:jc w:val="both"/>
        <w:rPr>
          <w:lang w:val="en-GB" w:eastAsia="hu-HU"/>
        </w:rPr>
      </w:pPr>
      <w:r w:rsidRPr="007C69A9">
        <w:rPr>
          <w:lang w:val="en-GB" w:eastAsia="hu-HU"/>
        </w:rPr>
        <w:t>The TSG adopts its own Rules of Procedures</w:t>
      </w:r>
      <w:r w:rsidR="00C83F86" w:rsidRPr="007C69A9">
        <w:rPr>
          <w:lang w:val="en-GB" w:eastAsia="hu-HU"/>
        </w:rPr>
        <w:t xml:space="preserve"> - </w:t>
      </w:r>
      <w:proofErr w:type="gramStart"/>
      <w:r w:rsidRPr="007C69A9">
        <w:rPr>
          <w:lang w:val="en-GB" w:eastAsia="hu-HU"/>
        </w:rPr>
        <w:t>on the basis of</w:t>
      </w:r>
      <w:proofErr w:type="gramEnd"/>
      <w:r w:rsidRPr="007C69A9">
        <w:rPr>
          <w:lang w:val="en-GB" w:eastAsia="hu-HU"/>
        </w:rPr>
        <w:t xml:space="preserve"> the template approved by the GB</w:t>
      </w:r>
      <w:r w:rsidR="00C83F86" w:rsidRPr="007C69A9">
        <w:rPr>
          <w:lang w:val="en-GB" w:eastAsia="hu-HU"/>
        </w:rPr>
        <w:t xml:space="preserve"> – and amend them </w:t>
      </w:r>
      <w:r w:rsidRPr="007C69A9">
        <w:rPr>
          <w:lang w:val="en-GB" w:eastAsia="hu-HU"/>
        </w:rPr>
        <w:t xml:space="preserve">following the provisions established </w:t>
      </w:r>
      <w:r w:rsidR="00DC2F98" w:rsidRPr="007C69A9">
        <w:rPr>
          <w:lang w:val="en-GB" w:eastAsia="hu-HU"/>
        </w:rPr>
        <w:t xml:space="preserve">in </w:t>
      </w:r>
      <w:r w:rsidR="008679A8" w:rsidRPr="007C69A9">
        <w:rPr>
          <w:lang w:val="en-GB" w:eastAsia="hu-HU"/>
        </w:rPr>
        <w:t xml:space="preserve">§ </w:t>
      </w:r>
      <w:r w:rsidR="007C69A9">
        <w:rPr>
          <w:lang w:val="en-GB" w:eastAsia="hu-HU"/>
        </w:rPr>
        <w:t>10</w:t>
      </w:r>
      <w:r w:rsidRPr="007C69A9">
        <w:rPr>
          <w:lang w:val="en-GB" w:eastAsia="hu-HU"/>
        </w:rPr>
        <w:t>.2</w:t>
      </w:r>
      <w:r w:rsidR="00DC2F98" w:rsidRPr="007C69A9">
        <w:rPr>
          <w:lang w:val="en-GB" w:eastAsia="hu-HU"/>
        </w:rPr>
        <w:t xml:space="preserve"> below</w:t>
      </w:r>
      <w:r w:rsidRPr="007C69A9">
        <w:rPr>
          <w:lang w:val="en-GB" w:eastAsia="hu-HU"/>
        </w:rPr>
        <w:t xml:space="preserve">. </w:t>
      </w:r>
    </w:p>
    <w:p w14:paraId="1D1E5D77" w14:textId="572B5C13" w:rsidR="007D6FC5" w:rsidRPr="007C69A9" w:rsidRDefault="007D6FC5" w:rsidP="00F80328">
      <w:pPr>
        <w:pStyle w:val="ListParagraph"/>
        <w:numPr>
          <w:ilvl w:val="1"/>
          <w:numId w:val="30"/>
        </w:numPr>
        <w:ind w:left="426" w:hanging="426"/>
        <w:contextualSpacing w:val="0"/>
        <w:jc w:val="both"/>
        <w:rPr>
          <w:lang w:val="en-GB"/>
        </w:rPr>
      </w:pPr>
      <w:r w:rsidRPr="007C69A9">
        <w:rPr>
          <w:lang w:val="en-GB"/>
        </w:rPr>
        <w:t xml:space="preserve">Decisions are made by consensus among </w:t>
      </w:r>
      <w:r w:rsidR="00FF4148">
        <w:rPr>
          <w:lang w:val="en-GB"/>
        </w:rPr>
        <w:t xml:space="preserve">Standing Members with decision-making right </w:t>
      </w:r>
      <w:r w:rsidRPr="007C69A9">
        <w:rPr>
          <w:lang w:val="en-GB"/>
        </w:rPr>
        <w:t xml:space="preserve">attending the meeting (1 </w:t>
      </w:r>
      <w:r w:rsidR="00381A5F" w:rsidRPr="007C69A9">
        <w:rPr>
          <w:lang w:val="en-GB"/>
        </w:rPr>
        <w:t xml:space="preserve">vote </w:t>
      </w:r>
      <w:r w:rsidRPr="007C69A9">
        <w:rPr>
          <w:lang w:val="en-GB"/>
        </w:rPr>
        <w:t>per country)</w:t>
      </w:r>
      <w:r w:rsidR="00FF4148">
        <w:rPr>
          <w:lang w:val="en-GB"/>
        </w:rPr>
        <w:t xml:space="preserve"> as defined in § 4.2</w:t>
      </w:r>
      <w:r w:rsidRPr="007C69A9">
        <w:rPr>
          <w:lang w:val="en-GB"/>
        </w:rPr>
        <w:t xml:space="preserve">. </w:t>
      </w:r>
      <w:r w:rsidR="00F17CED" w:rsidRPr="007C69A9">
        <w:rPr>
          <w:lang w:val="en-GB"/>
        </w:rPr>
        <w:t>O</w:t>
      </w:r>
      <w:r w:rsidR="001E4CD3" w:rsidRPr="007C69A9">
        <w:rPr>
          <w:lang w:val="en-GB"/>
        </w:rPr>
        <w:t xml:space="preserve">ther </w:t>
      </w:r>
      <w:r w:rsidR="00751A6D" w:rsidRPr="007C69A9">
        <w:rPr>
          <w:lang w:val="en-GB"/>
        </w:rPr>
        <w:t>S</w:t>
      </w:r>
      <w:r w:rsidR="001E4CD3" w:rsidRPr="007C69A9">
        <w:rPr>
          <w:lang w:val="en-GB"/>
        </w:rPr>
        <w:t xml:space="preserve">tanding </w:t>
      </w:r>
      <w:r w:rsidR="00751A6D" w:rsidRPr="007C69A9">
        <w:rPr>
          <w:lang w:val="en-GB"/>
        </w:rPr>
        <w:t>M</w:t>
      </w:r>
      <w:r w:rsidR="001E4CD3" w:rsidRPr="007C69A9">
        <w:rPr>
          <w:lang w:val="en-GB"/>
        </w:rPr>
        <w:t>ember</w:t>
      </w:r>
      <w:r w:rsidR="00F17CED" w:rsidRPr="007C69A9">
        <w:rPr>
          <w:lang w:val="en-GB"/>
        </w:rPr>
        <w:t>s</w:t>
      </w:r>
      <w:r w:rsidR="001E4CD3" w:rsidRPr="007C69A9">
        <w:rPr>
          <w:lang w:val="en-GB"/>
        </w:rPr>
        <w:t xml:space="preserve"> or guest</w:t>
      </w:r>
      <w:r w:rsidR="00F17CED" w:rsidRPr="007C69A9">
        <w:rPr>
          <w:lang w:val="en-GB"/>
        </w:rPr>
        <w:t>s</w:t>
      </w:r>
      <w:r w:rsidR="001E4CD3" w:rsidRPr="007C69A9">
        <w:rPr>
          <w:lang w:val="en-GB"/>
        </w:rPr>
        <w:t xml:space="preserve"> </w:t>
      </w:r>
      <w:r w:rsidR="00F17CED" w:rsidRPr="007C69A9">
        <w:rPr>
          <w:lang w:val="en-GB"/>
        </w:rPr>
        <w:t xml:space="preserve">do not </w:t>
      </w:r>
      <w:r w:rsidR="001E4CD3" w:rsidRPr="007C69A9">
        <w:rPr>
          <w:lang w:val="en-GB"/>
        </w:rPr>
        <w:t>tak</w:t>
      </w:r>
      <w:r w:rsidR="00F17CED" w:rsidRPr="007C69A9">
        <w:rPr>
          <w:lang w:val="en-GB"/>
        </w:rPr>
        <w:t>e</w:t>
      </w:r>
      <w:r w:rsidR="001E4CD3" w:rsidRPr="007C69A9">
        <w:rPr>
          <w:lang w:val="en-GB"/>
        </w:rPr>
        <w:t xml:space="preserve"> part in the decision making. </w:t>
      </w:r>
      <w:r w:rsidRPr="007C69A9">
        <w:rPr>
          <w:lang w:val="en-GB"/>
        </w:rPr>
        <w:t xml:space="preserve">The </w:t>
      </w:r>
      <w:r w:rsidR="003F3C11" w:rsidRPr="007C69A9">
        <w:rPr>
          <w:lang w:val="en-GB"/>
        </w:rPr>
        <w:t xml:space="preserve">EC </w:t>
      </w:r>
      <w:r w:rsidRPr="007C69A9">
        <w:rPr>
          <w:lang w:val="en-GB"/>
        </w:rPr>
        <w:t>plays an advisory role with a view to ensuring compliance with the objectives of the Strategy and consistency with EU policies and rules.</w:t>
      </w:r>
    </w:p>
    <w:p w14:paraId="465E832C" w14:textId="5B5A3B0A" w:rsidR="00E37B10" w:rsidRDefault="002F50F6" w:rsidP="00F80328">
      <w:pPr>
        <w:ind w:left="426"/>
        <w:jc w:val="both"/>
        <w:rPr>
          <w:lang w:val="en-GB"/>
        </w:rPr>
      </w:pPr>
      <w:r w:rsidRPr="00966E1C">
        <w:rPr>
          <w:lang w:val="en-GB"/>
        </w:rPr>
        <w:lastRenderedPageBreak/>
        <w:t xml:space="preserve">If, however, consensus cannot be reached, any participating country may ask for temporary deferral of a decision, pending search for agreement. </w:t>
      </w:r>
      <w:r w:rsidR="00071A4C" w:rsidRPr="00966E1C">
        <w:rPr>
          <w:lang w:val="en-GB"/>
        </w:rPr>
        <w:t xml:space="preserve">In any event, the </w:t>
      </w:r>
      <w:r w:rsidR="003F3C11" w:rsidRPr="001B7378">
        <w:rPr>
          <w:lang w:val="en-GB"/>
        </w:rPr>
        <w:t>EC</w:t>
      </w:r>
      <w:r w:rsidR="003F3C11" w:rsidRPr="00966E1C">
        <w:rPr>
          <w:lang w:val="en-GB"/>
        </w:rPr>
        <w:t xml:space="preserve"> </w:t>
      </w:r>
      <w:r w:rsidR="00071A4C" w:rsidRPr="00966E1C">
        <w:rPr>
          <w:lang w:val="en-GB"/>
        </w:rPr>
        <w:t>may ask for deferral of a decision if it deems EU interests or core objectives of the Strategy to be at stake.</w:t>
      </w:r>
    </w:p>
    <w:p w14:paraId="2038FE48" w14:textId="77777777" w:rsidR="00E37B10" w:rsidRDefault="00E37B10" w:rsidP="00F80328">
      <w:pPr>
        <w:ind w:left="426"/>
        <w:jc w:val="both"/>
      </w:pPr>
      <w:r w:rsidRPr="00F4177E">
        <w:t xml:space="preserve">Votes cannot be delegated to other countries. </w:t>
      </w:r>
    </w:p>
    <w:p w14:paraId="3A116C73" w14:textId="18BAC230" w:rsidR="00E37B10" w:rsidRPr="001B7378" w:rsidRDefault="00E37B10" w:rsidP="00F80328">
      <w:pPr>
        <w:ind w:left="426"/>
        <w:jc w:val="both"/>
        <w:rPr>
          <w:sz w:val="24"/>
          <w:szCs w:val="24"/>
        </w:rPr>
      </w:pPr>
      <w:r w:rsidRPr="00F4177E">
        <w:t>Country delegations have the right to abstain from voting. An abstention does not count against</w:t>
      </w:r>
      <w:r>
        <w:t xml:space="preserve"> consensus</w:t>
      </w:r>
      <w:r w:rsidRPr="00F4177E">
        <w:t>.</w:t>
      </w:r>
    </w:p>
    <w:p w14:paraId="5453C0A5" w14:textId="1B02FD0D" w:rsidR="00FF4148" w:rsidRPr="00FF4148" w:rsidRDefault="00FF4148" w:rsidP="00F80328">
      <w:pPr>
        <w:pStyle w:val="ListParagraph"/>
        <w:numPr>
          <w:ilvl w:val="1"/>
          <w:numId w:val="30"/>
        </w:numPr>
        <w:ind w:left="426" w:hanging="426"/>
        <w:contextualSpacing w:val="0"/>
        <w:jc w:val="both"/>
        <w:rPr>
          <w:lang w:val="en-GB"/>
        </w:rPr>
      </w:pPr>
      <w:r w:rsidRPr="00FF4148">
        <w:rPr>
          <w:lang w:val="en-GB"/>
        </w:rPr>
        <w:t xml:space="preserve">Decisions can also be taken by a written decision-making process </w:t>
      </w:r>
      <w:r>
        <w:rPr>
          <w:lang w:val="en-GB"/>
        </w:rPr>
        <w:t xml:space="preserve">- </w:t>
      </w:r>
      <w:r w:rsidRPr="00FF4148">
        <w:rPr>
          <w:lang w:val="en-GB"/>
        </w:rPr>
        <w:t>written procedur</w:t>
      </w:r>
      <w:r>
        <w:rPr>
          <w:lang w:val="en-GB"/>
        </w:rPr>
        <w:t>e</w:t>
      </w:r>
      <w:r w:rsidRPr="00FF4148">
        <w:rPr>
          <w:lang w:val="en-GB"/>
        </w:rPr>
        <w:t xml:space="preserve"> by </w:t>
      </w:r>
      <w:r>
        <w:rPr>
          <w:lang w:val="en-GB"/>
        </w:rPr>
        <w:t>Standing Members</w:t>
      </w:r>
      <w:r w:rsidRPr="00FF4148">
        <w:rPr>
          <w:lang w:val="en-GB"/>
        </w:rPr>
        <w:t xml:space="preserve"> in line with the provisions of § 1</w:t>
      </w:r>
      <w:r>
        <w:rPr>
          <w:lang w:val="en-GB"/>
        </w:rPr>
        <w:t>0</w:t>
      </w:r>
      <w:r w:rsidRPr="00FF4148">
        <w:rPr>
          <w:lang w:val="en-GB"/>
        </w:rPr>
        <w:t>.</w:t>
      </w:r>
      <w:r>
        <w:rPr>
          <w:lang w:val="en-GB"/>
        </w:rPr>
        <w:t>2</w:t>
      </w:r>
      <w:r w:rsidR="00BF4D78">
        <w:rPr>
          <w:lang w:val="en-GB"/>
        </w:rPr>
        <w:t>.</w:t>
      </w:r>
      <w:r w:rsidRPr="00FF4148">
        <w:rPr>
          <w:lang w:val="en-GB"/>
        </w:rPr>
        <w:t xml:space="preserve"> The purpose of written procedure is to take decisions between the </w:t>
      </w:r>
      <w:r>
        <w:rPr>
          <w:lang w:val="en-GB"/>
        </w:rPr>
        <w:t>TSG</w:t>
      </w:r>
      <w:r w:rsidRPr="00FF4148">
        <w:rPr>
          <w:lang w:val="en-GB"/>
        </w:rPr>
        <w:t xml:space="preserve"> meetings on well consolidated proposals and documents. Written procedures are launched by the </w:t>
      </w:r>
      <w:r>
        <w:rPr>
          <w:lang w:val="en-GB"/>
        </w:rPr>
        <w:t>Pillar Coordinators</w:t>
      </w:r>
      <w:r w:rsidRPr="00FF4148">
        <w:rPr>
          <w:lang w:val="en-GB"/>
        </w:rPr>
        <w:t xml:space="preserve"> supported by the EUSAIR Facility Point, by sending a draft decision and the concerned documents to all participating countries delegations, which shall have </w:t>
      </w:r>
      <w:r>
        <w:rPr>
          <w:lang w:val="en-GB"/>
        </w:rPr>
        <w:t>15</w:t>
      </w:r>
      <w:r w:rsidRPr="00FF4148">
        <w:rPr>
          <w:lang w:val="en-GB"/>
        </w:rPr>
        <w:t xml:space="preserve"> calendar days to respond in writing. Response should clearly indicate the country’s position towards the draft decision, only minor technical amendments to the proposed draft decision and documents can be suggested. If no response is received by the specified deadline, it will be considered as silent agreement. The use of written procedures should take due account of holiday periods in the EUSAIR countries (August, Christmas &amp; New Year).</w:t>
      </w:r>
    </w:p>
    <w:p w14:paraId="2C126730" w14:textId="19F9692A" w:rsidR="00FF4148" w:rsidRPr="00FF4148" w:rsidRDefault="00FF4148" w:rsidP="00F80328">
      <w:pPr>
        <w:ind w:left="426"/>
        <w:jc w:val="both"/>
        <w:rPr>
          <w:lang w:val="en-GB" w:eastAsia="hu-HU"/>
        </w:rPr>
      </w:pPr>
      <w:r w:rsidRPr="00FF4148">
        <w:rPr>
          <w:lang w:val="en-GB" w:eastAsia="hu-HU"/>
        </w:rPr>
        <w:t xml:space="preserve">After the written response period of </w:t>
      </w:r>
      <w:r>
        <w:rPr>
          <w:lang w:val="en-GB" w:eastAsia="hu-HU"/>
        </w:rPr>
        <w:t>15</w:t>
      </w:r>
      <w:r w:rsidRPr="00FF4148">
        <w:rPr>
          <w:lang w:val="en-GB" w:eastAsia="hu-HU"/>
        </w:rPr>
        <w:t xml:space="preserve"> calendar days has expired, </w:t>
      </w:r>
      <w:r>
        <w:rPr>
          <w:lang w:val="en-GB" w:eastAsia="hu-HU"/>
        </w:rPr>
        <w:t>Pillar Coordinators</w:t>
      </w:r>
      <w:r w:rsidRPr="00FF4148">
        <w:rPr>
          <w:lang w:val="en-GB" w:eastAsia="hu-HU"/>
        </w:rPr>
        <w:t xml:space="preserve"> supported by the EUSAIR Facility Point, shall inform </w:t>
      </w:r>
      <w:r>
        <w:rPr>
          <w:lang w:val="en-GB" w:eastAsia="hu-HU"/>
        </w:rPr>
        <w:t xml:space="preserve">the TSG members within 10 calendar days </w:t>
      </w:r>
      <w:r w:rsidRPr="00FF4148">
        <w:rPr>
          <w:lang w:val="en-GB" w:eastAsia="hu-HU"/>
        </w:rPr>
        <w:t xml:space="preserve">whether the decision is deemed to be taken or whether objections have been raised. If written objections are raised, the decision shall not be adopted and need to be re-examined by the </w:t>
      </w:r>
      <w:r>
        <w:rPr>
          <w:lang w:val="en-GB" w:eastAsia="hu-HU"/>
        </w:rPr>
        <w:t>TSG</w:t>
      </w:r>
      <w:r w:rsidRPr="00FF4148">
        <w:rPr>
          <w:lang w:val="en-GB" w:eastAsia="hu-HU"/>
        </w:rPr>
        <w:t xml:space="preserve">. </w:t>
      </w:r>
    </w:p>
    <w:p w14:paraId="19B0D50D" w14:textId="0DF300B6" w:rsidR="00FF4148" w:rsidRPr="00966E1C" w:rsidRDefault="00FF4148" w:rsidP="00F80328">
      <w:pPr>
        <w:pStyle w:val="ListParagraph"/>
        <w:ind w:left="567"/>
        <w:contextualSpacing w:val="0"/>
        <w:jc w:val="both"/>
        <w:rPr>
          <w:lang w:val="en-GB" w:eastAsia="hu-HU"/>
        </w:rPr>
      </w:pPr>
    </w:p>
    <w:p w14:paraId="23129C5C" w14:textId="2CBAE3EF" w:rsidR="000E2F64" w:rsidRPr="00E27EE6" w:rsidRDefault="000E2F64" w:rsidP="00CD7967">
      <w:pPr>
        <w:pStyle w:val="Heading1"/>
      </w:pPr>
      <w:r w:rsidRPr="00E27EE6">
        <w:t>Reporting</w:t>
      </w:r>
    </w:p>
    <w:p w14:paraId="1C052F58" w14:textId="65EFB28B" w:rsidR="00381A5F" w:rsidRDefault="000E2F64" w:rsidP="00232843">
      <w:pPr>
        <w:pStyle w:val="ListParagraph"/>
        <w:numPr>
          <w:ilvl w:val="1"/>
          <w:numId w:val="37"/>
        </w:numPr>
        <w:contextualSpacing w:val="0"/>
        <w:jc w:val="both"/>
        <w:rPr>
          <w:lang w:val="en-GB"/>
        </w:rPr>
      </w:pPr>
      <w:r w:rsidRPr="001B7378">
        <w:rPr>
          <w:lang w:val="en-GB"/>
        </w:rPr>
        <w:t xml:space="preserve">The Pillar Coordinators shall jointly present an </w:t>
      </w:r>
      <w:r w:rsidR="00E27EE6" w:rsidRPr="001B7378">
        <w:rPr>
          <w:lang w:val="en-GB"/>
        </w:rPr>
        <w:t>A</w:t>
      </w:r>
      <w:r w:rsidRPr="001B7378">
        <w:rPr>
          <w:lang w:val="en-GB"/>
        </w:rPr>
        <w:t xml:space="preserve">nnual </w:t>
      </w:r>
      <w:r w:rsidR="00E27EE6" w:rsidRPr="001B7378">
        <w:rPr>
          <w:lang w:val="en-GB"/>
        </w:rPr>
        <w:t>R</w:t>
      </w:r>
      <w:r w:rsidRPr="001B7378">
        <w:rPr>
          <w:lang w:val="en-GB"/>
        </w:rPr>
        <w:t xml:space="preserve">eport for the </w:t>
      </w:r>
      <w:r w:rsidR="00DC2082">
        <w:rPr>
          <w:lang w:val="en-GB"/>
        </w:rPr>
        <w:t>P</w:t>
      </w:r>
      <w:r w:rsidRPr="001B7378">
        <w:rPr>
          <w:lang w:val="en-GB"/>
        </w:rPr>
        <w:t>illar concerned</w:t>
      </w:r>
      <w:r w:rsidR="0087697F" w:rsidRPr="001B7378">
        <w:rPr>
          <w:lang w:val="en-GB"/>
        </w:rPr>
        <w:t>,</w:t>
      </w:r>
      <w:r w:rsidRPr="001B7378">
        <w:rPr>
          <w:lang w:val="en-GB"/>
        </w:rPr>
        <w:t xml:space="preserve"> to be discussed and approved by the TSG prior to</w:t>
      </w:r>
      <w:r w:rsidR="00DC2082">
        <w:rPr>
          <w:lang w:val="en-GB"/>
        </w:rPr>
        <w:t xml:space="preserve"> its submission </w:t>
      </w:r>
      <w:r w:rsidRPr="001B7378">
        <w:rPr>
          <w:lang w:val="en-GB"/>
        </w:rPr>
        <w:t xml:space="preserve">to the EUSAIR Governing Board. </w:t>
      </w:r>
      <w:r w:rsidR="008679A8" w:rsidRPr="001B7378">
        <w:rPr>
          <w:lang w:val="en-GB"/>
        </w:rPr>
        <w:t xml:space="preserve">The report for the </w:t>
      </w:r>
      <w:r w:rsidR="008679A8" w:rsidRPr="00E27EE6">
        <w:rPr>
          <w:lang w:val="en-GB"/>
        </w:rPr>
        <w:t>preceding y</w:t>
      </w:r>
      <w:r w:rsidR="008679A8" w:rsidRPr="001B7378">
        <w:rPr>
          <w:lang w:val="en-GB"/>
        </w:rPr>
        <w:t xml:space="preserve">ear </w:t>
      </w:r>
      <w:r w:rsidR="00381A5F" w:rsidRPr="001B7378">
        <w:rPr>
          <w:lang w:val="en-GB"/>
        </w:rPr>
        <w:t xml:space="preserve">shall </w:t>
      </w:r>
      <w:r w:rsidR="00381A5F" w:rsidRPr="00DC2082">
        <w:rPr>
          <w:lang w:val="en-GB"/>
        </w:rPr>
        <w:t xml:space="preserve">be </w:t>
      </w:r>
      <w:r w:rsidR="00381A5F" w:rsidRPr="00F80328">
        <w:rPr>
          <w:lang w:val="en-GB"/>
        </w:rPr>
        <w:t xml:space="preserve">drafted </w:t>
      </w:r>
      <w:r w:rsidR="00DC2082">
        <w:rPr>
          <w:lang w:val="en-GB"/>
        </w:rPr>
        <w:t xml:space="preserve">by Pillar Coordinators </w:t>
      </w:r>
      <w:r w:rsidR="00381A5F" w:rsidRPr="00F80328">
        <w:rPr>
          <w:lang w:val="en-GB"/>
        </w:rPr>
        <w:t xml:space="preserve">with the support of the </w:t>
      </w:r>
      <w:r w:rsidR="00DC2082" w:rsidRPr="00F80328">
        <w:rPr>
          <w:lang w:val="en-GB"/>
        </w:rPr>
        <w:t xml:space="preserve">EUSAIR </w:t>
      </w:r>
      <w:r w:rsidR="00381A5F" w:rsidRPr="00F80328">
        <w:rPr>
          <w:lang w:val="en-GB"/>
        </w:rPr>
        <w:t xml:space="preserve">Facility Point </w:t>
      </w:r>
      <w:r w:rsidR="00DC2082">
        <w:rPr>
          <w:lang w:val="en-GB"/>
        </w:rPr>
        <w:t xml:space="preserve">using a common template </w:t>
      </w:r>
      <w:r w:rsidR="00381A5F" w:rsidRPr="00F80328">
        <w:rPr>
          <w:lang w:val="en-GB"/>
        </w:rPr>
        <w:t xml:space="preserve">and </w:t>
      </w:r>
      <w:r w:rsidR="00DC2082">
        <w:rPr>
          <w:lang w:val="en-GB"/>
        </w:rPr>
        <w:t>submitted</w:t>
      </w:r>
      <w:r w:rsidR="00381A5F" w:rsidRPr="00DC2082">
        <w:rPr>
          <w:lang w:val="en-GB"/>
        </w:rPr>
        <w:t xml:space="preserve"> </w:t>
      </w:r>
      <w:r w:rsidR="00381A5F" w:rsidRPr="00F80328">
        <w:rPr>
          <w:lang w:val="en-GB"/>
        </w:rPr>
        <w:t xml:space="preserve">by Pillar Coordinators </w:t>
      </w:r>
      <w:r w:rsidR="00381A5F" w:rsidRPr="00DC2082">
        <w:rPr>
          <w:lang w:val="en-GB"/>
        </w:rPr>
        <w:t>to the</w:t>
      </w:r>
      <w:r w:rsidR="00381A5F" w:rsidRPr="001B7378">
        <w:rPr>
          <w:lang w:val="en-GB"/>
        </w:rPr>
        <w:t xml:space="preserve"> Governing Board by 28 February of </w:t>
      </w:r>
      <w:r w:rsidR="008679A8" w:rsidRPr="001B7378">
        <w:rPr>
          <w:lang w:val="en-GB"/>
        </w:rPr>
        <w:t xml:space="preserve">the </w:t>
      </w:r>
      <w:r w:rsidR="008679A8" w:rsidRPr="00E27EE6">
        <w:rPr>
          <w:lang w:val="en-GB"/>
        </w:rPr>
        <w:t>preceding year +</w:t>
      </w:r>
      <w:r w:rsidR="00381A5F" w:rsidRPr="00E27EE6">
        <w:rPr>
          <w:lang w:val="en-GB"/>
        </w:rPr>
        <w:t xml:space="preserve">1 </w:t>
      </w:r>
      <w:r w:rsidR="00381A5F" w:rsidRPr="001B7378">
        <w:rPr>
          <w:lang w:val="en-GB"/>
        </w:rPr>
        <w:t xml:space="preserve">at the latest. </w:t>
      </w:r>
    </w:p>
    <w:p w14:paraId="09AEE4A6" w14:textId="02A20F62" w:rsidR="00AF21C9" w:rsidRDefault="00966BF3" w:rsidP="00232843">
      <w:pPr>
        <w:pStyle w:val="ListParagraph"/>
        <w:numPr>
          <w:ilvl w:val="1"/>
          <w:numId w:val="37"/>
        </w:numPr>
        <w:ind w:left="426" w:hanging="426"/>
        <w:contextualSpacing w:val="0"/>
        <w:jc w:val="both"/>
        <w:rPr>
          <w:lang w:val="en-GB"/>
        </w:rPr>
      </w:pPr>
      <w:r>
        <w:rPr>
          <w:lang w:val="en-GB"/>
        </w:rPr>
        <w:t>The Pillar</w:t>
      </w:r>
      <w:r w:rsidRPr="00966BF3">
        <w:rPr>
          <w:lang w:val="en-GB"/>
        </w:rPr>
        <w:t xml:space="preserve"> Coordinators shall attend and report to the Technical Meeting of EUSAIR Pillar Coordinators while informing the respective TSGs of contents of this action</w:t>
      </w:r>
      <w:r>
        <w:rPr>
          <w:lang w:val="en-GB"/>
        </w:rPr>
        <w:t>.</w:t>
      </w:r>
    </w:p>
    <w:p w14:paraId="3A440245" w14:textId="6F2BA44E" w:rsidR="00966BF3" w:rsidRDefault="00966BF3" w:rsidP="00232843">
      <w:pPr>
        <w:pStyle w:val="ListParagraph"/>
        <w:numPr>
          <w:ilvl w:val="1"/>
          <w:numId w:val="37"/>
        </w:numPr>
        <w:ind w:left="426" w:hanging="426"/>
        <w:contextualSpacing w:val="0"/>
        <w:jc w:val="both"/>
        <w:rPr>
          <w:lang w:val="en-GB"/>
        </w:rPr>
      </w:pPr>
      <w:r>
        <w:rPr>
          <w:lang w:val="en-GB"/>
        </w:rPr>
        <w:t>Minutes and operational conclusions of the EUSAIR Governing Board meetings should be circulated to TSG members for their information</w:t>
      </w:r>
      <w:r w:rsidR="005C4180">
        <w:rPr>
          <w:lang w:val="en-GB"/>
        </w:rPr>
        <w:t xml:space="preserve"> </w:t>
      </w:r>
      <w:r w:rsidR="005C4180" w:rsidRPr="009276A9">
        <w:rPr>
          <w:lang w:val="en-GB"/>
        </w:rPr>
        <w:t>by PC</w:t>
      </w:r>
      <w:r w:rsidRPr="009276A9">
        <w:rPr>
          <w:lang w:val="en-GB"/>
        </w:rPr>
        <w:t>.</w:t>
      </w:r>
    </w:p>
    <w:p w14:paraId="5FBE7DB5" w14:textId="77777777" w:rsidR="004071A8" w:rsidRDefault="004071A8" w:rsidP="00F80328">
      <w:pPr>
        <w:jc w:val="both"/>
        <w:rPr>
          <w:lang w:val="en-GB"/>
        </w:rPr>
      </w:pPr>
    </w:p>
    <w:p w14:paraId="26802DA8" w14:textId="6A137269" w:rsidR="002434F2" w:rsidRPr="002434F2" w:rsidRDefault="002434F2" w:rsidP="00F80328">
      <w:pPr>
        <w:pStyle w:val="Heading1"/>
      </w:pPr>
      <w:r w:rsidRPr="002434F2">
        <w:lastRenderedPageBreak/>
        <w:t>Confidentiality</w:t>
      </w:r>
    </w:p>
    <w:p w14:paraId="6C44C97A" w14:textId="52E7DB8A" w:rsidR="00DC2082" w:rsidRPr="00DC2082" w:rsidRDefault="002434F2" w:rsidP="00232843">
      <w:pPr>
        <w:pStyle w:val="ListParagraph"/>
        <w:numPr>
          <w:ilvl w:val="1"/>
          <w:numId w:val="38"/>
        </w:numPr>
        <w:contextualSpacing w:val="0"/>
        <w:jc w:val="both"/>
        <w:rPr>
          <w:lang w:val="en-GB"/>
        </w:rPr>
      </w:pPr>
      <w:r w:rsidRPr="00DC2082">
        <w:rPr>
          <w:lang w:val="en-GB"/>
        </w:rPr>
        <w:t>Discussions at TSG meetings, as well as related communication material included in working documents and the EUSAIR internal online repository shall be treated strictly confidentially, unless unanimously decided differently.</w:t>
      </w:r>
    </w:p>
    <w:p w14:paraId="5073C77B" w14:textId="7694140E" w:rsidR="002434F2" w:rsidRPr="00DC2082" w:rsidRDefault="002434F2" w:rsidP="00232843">
      <w:pPr>
        <w:pStyle w:val="ListParagraph"/>
        <w:numPr>
          <w:ilvl w:val="1"/>
          <w:numId w:val="38"/>
        </w:numPr>
        <w:ind w:left="426" w:hanging="426"/>
        <w:contextualSpacing w:val="0"/>
        <w:jc w:val="both"/>
        <w:rPr>
          <w:lang w:val="en-GB"/>
        </w:rPr>
      </w:pPr>
      <w:r w:rsidRPr="00DC2082">
        <w:rPr>
          <w:lang w:val="en-GB"/>
        </w:rPr>
        <w:t>This does not apply to normal consultations TSG members carry out within their state and/or regional administrations and related bodies.</w:t>
      </w:r>
    </w:p>
    <w:p w14:paraId="0DF6061C" w14:textId="77777777" w:rsidR="007A36C1" w:rsidRPr="00EB3FBB" w:rsidRDefault="007A36C1" w:rsidP="00F80328">
      <w:pPr>
        <w:jc w:val="both"/>
        <w:rPr>
          <w:lang w:val="en-GB"/>
        </w:rPr>
      </w:pPr>
    </w:p>
    <w:sectPr w:rsidR="007A36C1" w:rsidRPr="00EB3FBB" w:rsidSect="00622E9C">
      <w:headerReference w:type="default" r:id="rId8"/>
      <w:footerReference w:type="default" r:id="rId9"/>
      <w:pgSz w:w="11906" w:h="16838"/>
      <w:pgMar w:top="3119" w:right="1701" w:bottom="1417" w:left="1701" w:header="708"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B61B" w14:textId="77777777" w:rsidR="00394307" w:rsidRDefault="00394307" w:rsidP="007E0A9E">
      <w:r>
        <w:separator/>
      </w:r>
    </w:p>
  </w:endnote>
  <w:endnote w:type="continuationSeparator" w:id="0">
    <w:p w14:paraId="5185D132" w14:textId="77777777" w:rsidR="00394307" w:rsidRDefault="00394307" w:rsidP="007E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IDFont+F3">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B06B" w14:textId="4D371AD8" w:rsidR="00A33619" w:rsidRDefault="00232843" w:rsidP="007E0A9E">
    <w:pPr>
      <w:pStyle w:val="Footer"/>
    </w:pPr>
    <w:sdt>
      <w:sdtPr>
        <w:id w:val="-1602790695"/>
        <w:docPartObj>
          <w:docPartGallery w:val="Page Numbers (Bottom of Page)"/>
          <w:docPartUnique/>
        </w:docPartObj>
      </w:sdtPr>
      <w:sdtEndPr>
        <w:rPr>
          <w:noProof/>
        </w:rPr>
      </w:sdtEndPr>
      <w:sdtContent>
        <w:r w:rsidR="00A33619">
          <w:fldChar w:fldCharType="begin"/>
        </w:r>
        <w:r w:rsidR="00A33619">
          <w:instrText xml:space="preserve"> PAGE   \* MERGEFORMAT </w:instrText>
        </w:r>
        <w:r w:rsidR="00A33619">
          <w:fldChar w:fldCharType="separate"/>
        </w:r>
        <w:r w:rsidR="00A90D9A">
          <w:rPr>
            <w:noProof/>
          </w:rPr>
          <w:t>1</w:t>
        </w:r>
        <w:r w:rsidR="00A33619">
          <w:rPr>
            <w:noProof/>
          </w:rPr>
          <w:fldChar w:fldCharType="end"/>
        </w:r>
      </w:sdtContent>
    </w:sdt>
    <w:r w:rsidR="00DC2082">
      <w:rPr>
        <w:noProof/>
      </w:rPr>
      <w:t>/</w:t>
    </w:r>
    <w:r w:rsidR="003D0916">
      <w:rPr>
        <w:noProof/>
      </w:rPr>
      <w:t>9</w:t>
    </w:r>
  </w:p>
  <w:p w14:paraId="5E40DAE0" w14:textId="77777777" w:rsidR="00EB3FBB" w:rsidRDefault="00EB3FBB" w:rsidP="007E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C10B" w14:textId="77777777" w:rsidR="00394307" w:rsidRDefault="00394307" w:rsidP="007E0A9E">
      <w:r>
        <w:separator/>
      </w:r>
    </w:p>
  </w:footnote>
  <w:footnote w:type="continuationSeparator" w:id="0">
    <w:p w14:paraId="6ADBBBE6" w14:textId="77777777" w:rsidR="00394307" w:rsidRDefault="00394307" w:rsidP="007E0A9E">
      <w:r>
        <w:continuationSeparator/>
      </w:r>
    </w:p>
  </w:footnote>
  <w:footnote w:id="1">
    <w:p w14:paraId="1537665C" w14:textId="77777777" w:rsidR="00896896" w:rsidRPr="0007689C" w:rsidRDefault="00896896" w:rsidP="007E0A9E">
      <w:pPr>
        <w:pStyle w:val="FootnoteText"/>
        <w:rPr>
          <w:lang w:val="en-GB"/>
        </w:rPr>
      </w:pPr>
      <w:r w:rsidRPr="0007689C">
        <w:rPr>
          <w:rStyle w:val="FootnoteReference"/>
          <w:rFonts w:asciiTheme="minorHAnsi" w:hAnsiTheme="minorHAnsi" w:cstheme="minorHAnsi"/>
        </w:rPr>
        <w:footnoteRef/>
      </w:r>
      <w:r w:rsidRPr="0007689C">
        <w:rPr>
          <w:lang w:val="en-GB"/>
        </w:rPr>
        <w:t xml:space="preserve"> </w:t>
      </w:r>
      <w:proofErr w:type="gramStart"/>
      <w:r w:rsidRPr="0007689C">
        <w:rPr>
          <w:lang w:val="en-GB"/>
        </w:rPr>
        <w:t>COM(</w:t>
      </w:r>
      <w:proofErr w:type="gramEnd"/>
      <w:r w:rsidRPr="0007689C">
        <w:rPr>
          <w:lang w:val="en-GB"/>
        </w:rPr>
        <w:t>2014) 357 final</w:t>
      </w:r>
    </w:p>
  </w:footnote>
  <w:footnote w:id="2">
    <w:p w14:paraId="31640417" w14:textId="77777777" w:rsidR="001B7378" w:rsidRPr="00633E7B" w:rsidRDefault="001B7378" w:rsidP="007E0A9E">
      <w:pPr>
        <w:pStyle w:val="FootnoteText"/>
      </w:pPr>
      <w:r>
        <w:rPr>
          <w:rStyle w:val="FootnoteReference"/>
        </w:rPr>
        <w:footnoteRef/>
      </w:r>
      <w:r>
        <w:t xml:space="preserve"> COM(2020) 132 final</w:t>
      </w:r>
    </w:p>
  </w:footnote>
  <w:footnote w:id="3">
    <w:p w14:paraId="2A36DBC1" w14:textId="5AE8671B" w:rsidR="00633E7B" w:rsidRPr="00633E7B" w:rsidRDefault="00633E7B" w:rsidP="007E0A9E">
      <w:pPr>
        <w:pStyle w:val="FootnoteText"/>
      </w:pPr>
      <w:r>
        <w:rPr>
          <w:rStyle w:val="FootnoteReference"/>
        </w:rPr>
        <w:footnoteRef/>
      </w:r>
      <w:r>
        <w:t xml:space="preserve"> COM(2022) 44 final</w:t>
      </w:r>
    </w:p>
  </w:footnote>
  <w:footnote w:id="4">
    <w:p w14:paraId="15880457" w14:textId="573C7064" w:rsidR="00CD7967" w:rsidRPr="00F80328" w:rsidRDefault="00CD7967">
      <w:pPr>
        <w:pStyle w:val="FootnoteText"/>
        <w:rPr>
          <w:lang w:val="sl-SI"/>
        </w:rPr>
      </w:pPr>
      <w:r>
        <w:rPr>
          <w:rStyle w:val="FootnoteReference"/>
        </w:rPr>
        <w:footnoteRef/>
      </w:r>
      <w:r>
        <w:t xml:space="preserve"> </w:t>
      </w:r>
      <w:r w:rsidRPr="00CD7967">
        <w:t>COM(2025) 191 final</w:t>
      </w:r>
    </w:p>
  </w:footnote>
  <w:footnote w:id="5">
    <w:p w14:paraId="556BDCCB" w14:textId="253959F6" w:rsidR="00D00F73" w:rsidRPr="00D00F73" w:rsidRDefault="00D00F73" w:rsidP="007E0A9E">
      <w:pPr>
        <w:pStyle w:val="FootnoteText"/>
      </w:pPr>
      <w:r>
        <w:rPr>
          <w:rStyle w:val="FootnoteReference"/>
        </w:rPr>
        <w:footnoteRef/>
      </w:r>
      <w:r>
        <w:t xml:space="preserve"> SWD(2025) 11</w:t>
      </w:r>
      <w:r w:rsidR="00333897">
        <w:t>4</w:t>
      </w:r>
      <w:r>
        <w:t xml:space="preserve"> final</w:t>
      </w:r>
    </w:p>
  </w:footnote>
  <w:footnote w:id="6">
    <w:p w14:paraId="095E8894" w14:textId="5C929E51" w:rsidR="00A434F5" w:rsidRPr="00211E8C" w:rsidRDefault="00A434F5" w:rsidP="007E0A9E">
      <w:pPr>
        <w:pStyle w:val="FootnoteText"/>
        <w:rPr>
          <w:lang w:val="en-GB"/>
        </w:rPr>
      </w:pPr>
      <w:r w:rsidRPr="00A434F5">
        <w:rPr>
          <w:rStyle w:val="FootnoteReference"/>
        </w:rPr>
        <w:footnoteRef/>
      </w:r>
      <w:r w:rsidRPr="00A434F5">
        <w:rPr>
          <w:lang w:val="en-GB"/>
        </w:rPr>
        <w:t xml:space="preserve"> </w:t>
      </w:r>
      <w:proofErr w:type="gramStart"/>
      <w:r w:rsidR="00301766" w:rsidRPr="005B6A56">
        <w:rPr>
          <w:lang w:val="en-GB"/>
        </w:rPr>
        <w:t>In particular</w:t>
      </w:r>
      <w:r w:rsidR="008C5CED" w:rsidRPr="005B6A56">
        <w:rPr>
          <w:lang w:val="en-GB"/>
        </w:rPr>
        <w:t xml:space="preserve"> </w:t>
      </w:r>
      <w:r w:rsidR="005B6A56">
        <w:rPr>
          <w:lang w:val="en-GB"/>
        </w:rPr>
        <w:t>Directorates-General</w:t>
      </w:r>
      <w:proofErr w:type="gramEnd"/>
      <w:r w:rsidR="005B6A56">
        <w:rPr>
          <w:lang w:val="en-GB"/>
        </w:rPr>
        <w:t xml:space="preserve"> (DGs)</w:t>
      </w:r>
      <w:r w:rsidR="008C5CED" w:rsidRPr="005B6A56">
        <w:rPr>
          <w:lang w:val="en-GB"/>
        </w:rPr>
        <w:t xml:space="preserve"> REGIO, MARE, </w:t>
      </w:r>
      <w:r w:rsidR="00F31FF7">
        <w:rPr>
          <w:lang w:val="en-GB"/>
        </w:rPr>
        <w:t>ENEST</w:t>
      </w:r>
      <w:r w:rsidR="008C5CED" w:rsidRPr="002E1B0F">
        <w:rPr>
          <w:lang w:val="en-GB"/>
        </w:rPr>
        <w:t>,</w:t>
      </w:r>
      <w:r w:rsidR="0022731F" w:rsidRPr="002E1B0F">
        <w:rPr>
          <w:lang w:val="en-GB"/>
        </w:rPr>
        <w:t xml:space="preserve"> </w:t>
      </w:r>
      <w:r w:rsidR="00F31FF7">
        <w:rPr>
          <w:lang w:val="en-GB"/>
        </w:rPr>
        <w:t>MOVE-</w:t>
      </w:r>
      <w:r w:rsidR="0022731F" w:rsidRPr="002E1B0F">
        <w:rPr>
          <w:lang w:val="en-GB"/>
        </w:rPr>
        <w:t>GROW</w:t>
      </w:r>
      <w:r w:rsidR="008C5CED" w:rsidRPr="002E1B0F">
        <w:rPr>
          <w:lang w:val="en-GB"/>
        </w:rPr>
        <w:t xml:space="preserve"> and </w:t>
      </w:r>
      <w:r w:rsidR="00301766" w:rsidRPr="002E1B0F">
        <w:rPr>
          <w:lang w:val="en-GB"/>
        </w:rPr>
        <w:t>the</w:t>
      </w:r>
      <w:r w:rsidR="00301766" w:rsidRPr="005B6A56">
        <w:rPr>
          <w:lang w:val="en-GB"/>
        </w:rPr>
        <w:t xml:space="preserve"> relevant line DGs</w:t>
      </w:r>
      <w:r w:rsidR="008C5CED" w:rsidRPr="005B6A56">
        <w:rPr>
          <w:lang w:val="en-GB"/>
        </w:rPr>
        <w:t>.</w:t>
      </w:r>
      <w:r w:rsidR="00301766" w:rsidRPr="005B6A56">
        <w:rPr>
          <w:lang w:val="en-GB"/>
        </w:rPr>
        <w:t xml:space="preserve"> </w:t>
      </w:r>
      <w:r w:rsidRPr="005B6A56">
        <w:rPr>
          <w:lang w:val="en-GB" w:eastAsia="hu-HU"/>
        </w:rPr>
        <w:t xml:space="preserve">DG REGIO's </w:t>
      </w:r>
      <w:r w:rsidR="008C5CED" w:rsidRPr="005B6A56">
        <w:rPr>
          <w:lang w:val="en-GB" w:eastAsia="hu-HU"/>
        </w:rPr>
        <w:t>g</w:t>
      </w:r>
      <w:r w:rsidRPr="005B6A56">
        <w:rPr>
          <w:lang w:val="en-GB" w:eastAsia="hu-HU"/>
        </w:rPr>
        <w:t xml:space="preserve">eographical Units </w:t>
      </w:r>
      <w:r w:rsidR="008C5CED" w:rsidRPr="005B6A56">
        <w:rPr>
          <w:lang w:val="en-GB" w:eastAsia="hu-HU"/>
        </w:rPr>
        <w:t xml:space="preserve">as well as DG </w:t>
      </w:r>
      <w:r w:rsidR="00F31FF7">
        <w:rPr>
          <w:lang w:val="en-GB" w:eastAsia="hu-HU"/>
        </w:rPr>
        <w:t>ENEST</w:t>
      </w:r>
      <w:r w:rsidR="00F31FF7" w:rsidRPr="005B6A56">
        <w:rPr>
          <w:lang w:val="en-GB" w:eastAsia="hu-HU"/>
        </w:rPr>
        <w:t xml:space="preserve"> </w:t>
      </w:r>
      <w:r w:rsidR="008C5CED" w:rsidRPr="005B6A56">
        <w:rPr>
          <w:lang w:val="en-GB" w:eastAsia="hu-HU"/>
        </w:rPr>
        <w:t>country desks/</w:t>
      </w:r>
      <w:r w:rsidR="00457D7C" w:rsidRPr="005B6A56">
        <w:rPr>
          <w:lang w:val="en-GB" w:eastAsia="hu-HU"/>
        </w:rPr>
        <w:t>d</w:t>
      </w:r>
      <w:r w:rsidR="008C5CED" w:rsidRPr="005B6A56">
        <w:rPr>
          <w:lang w:val="en-GB" w:eastAsia="hu-HU"/>
        </w:rPr>
        <w:t>elegations</w:t>
      </w:r>
      <w:r w:rsidRPr="005B6A56">
        <w:rPr>
          <w:lang w:val="en-GB" w:eastAsia="hu-HU"/>
        </w:rPr>
        <w:t xml:space="preserve"> </w:t>
      </w:r>
      <w:r w:rsidR="008C5CED" w:rsidRPr="005B6A56">
        <w:rPr>
          <w:lang w:val="en-GB" w:eastAsia="hu-HU"/>
        </w:rPr>
        <w:t xml:space="preserve">may, as appropriate, also attend </w:t>
      </w:r>
      <w:r w:rsidRPr="005B6A56">
        <w:rPr>
          <w:lang w:val="en-GB" w:eastAsia="hu-HU"/>
        </w:rPr>
        <w:t>TSG meetings</w:t>
      </w:r>
      <w:r w:rsidR="00F31FF7">
        <w:rPr>
          <w:lang w:val="en-GB" w:eastAsia="hu-HU"/>
        </w:rPr>
        <w:t>.</w:t>
      </w:r>
    </w:p>
  </w:footnote>
  <w:footnote w:id="7">
    <w:p w14:paraId="6475C586" w14:textId="5AD767BA" w:rsidR="003F5CC5" w:rsidRPr="003F5CC5" w:rsidRDefault="003F5CC5" w:rsidP="00652712">
      <w:pPr>
        <w:pStyle w:val="FootnoteText"/>
        <w:jc w:val="both"/>
      </w:pPr>
      <w:r>
        <w:rPr>
          <w:rStyle w:val="FootnoteReference"/>
        </w:rPr>
        <w:footnoteRef/>
      </w:r>
      <w:r>
        <w:t xml:space="preserve"> </w:t>
      </w:r>
      <w:r w:rsidRPr="005B6A56">
        <w:rPr>
          <w:lang w:val="en-GB"/>
        </w:rPr>
        <w:t>To this end, members of TSG could usefully attend Monitoring Committees as well as other pertinent meetings relevant for the pillar concerned. Conversely, Managing Authorities/NIPACs and/or members of Monitoring Committees of relevant programmes could usefully take part in TSG meetings, as appropriate.</w:t>
      </w:r>
    </w:p>
  </w:footnote>
  <w:footnote w:id="8">
    <w:p w14:paraId="15FCD496" w14:textId="4854ADA5" w:rsidR="002121E1" w:rsidRPr="002121E1" w:rsidRDefault="002121E1">
      <w:pPr>
        <w:pStyle w:val="FootnoteText"/>
        <w:rPr>
          <w:lang w:val="en-GB"/>
        </w:rPr>
      </w:pPr>
      <w:r w:rsidRPr="002121E1">
        <w:rPr>
          <w:rStyle w:val="FootnoteReference"/>
          <w:lang w:val="en-GB"/>
        </w:rPr>
        <w:footnoteRef/>
      </w:r>
      <w:r w:rsidRPr="002121E1">
        <w:rPr>
          <w:lang w:val="en-GB"/>
        </w:rPr>
        <w:t xml:space="preserve"> The list is not meant as exhaustive.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1EC6" w14:textId="69E30B53" w:rsidR="003F5CC5" w:rsidRDefault="003F5CC5" w:rsidP="003F5CC5">
    <w:pPr>
      <w:pStyle w:val="Header"/>
      <w:jc w:val="right"/>
    </w:pPr>
    <w:r>
      <w:rPr>
        <w:noProof/>
      </w:rPr>
      <w:drawing>
        <wp:anchor distT="0" distB="0" distL="114300" distR="114300" simplePos="0" relativeHeight="251664384" behindDoc="1" locked="0" layoutInCell="1" allowOverlap="1" wp14:anchorId="2C20C7DE" wp14:editId="78A13A65">
          <wp:simplePos x="0" y="0"/>
          <wp:positionH relativeFrom="column">
            <wp:posOffset>-402903</wp:posOffset>
          </wp:positionH>
          <wp:positionV relativeFrom="paragraph">
            <wp:posOffset>-591531</wp:posOffset>
          </wp:positionV>
          <wp:extent cx="2244436" cy="2244436"/>
          <wp:effectExtent l="0" t="0" r="0" b="0"/>
          <wp:wrapNone/>
          <wp:docPr id="21083127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436" cy="2244436"/>
                  </a:xfrm>
                  <a:prstGeom prst="rect">
                    <a:avLst/>
                  </a:prstGeom>
                  <a:noFill/>
                </pic:spPr>
              </pic:pic>
            </a:graphicData>
          </a:graphic>
          <wp14:sizeRelH relativeFrom="page">
            <wp14:pctWidth>0</wp14:pctWidth>
          </wp14:sizeRelH>
          <wp14:sizeRelV relativeFrom="page">
            <wp14:pctHeight>0</wp14:pctHeight>
          </wp14:sizeRelV>
        </wp:anchor>
      </w:drawing>
    </w:r>
  </w:p>
  <w:p w14:paraId="42A24BB3" w14:textId="77777777" w:rsidR="003F5CC5" w:rsidRDefault="003F5CC5" w:rsidP="003F5CC5">
    <w:pPr>
      <w:pStyle w:val="Header"/>
      <w:jc w:val="right"/>
    </w:pPr>
  </w:p>
  <w:p w14:paraId="0050BB2B" w14:textId="3037DB41" w:rsidR="00746097" w:rsidRDefault="00746097" w:rsidP="003F5CC5">
    <w:pPr>
      <w:pStyle w:val="Header"/>
      <w:jc w:val="right"/>
    </w:pPr>
  </w:p>
  <w:p w14:paraId="1214742B" w14:textId="77777777" w:rsidR="003F5CC5" w:rsidRDefault="003F5CC5" w:rsidP="003F5CC5">
    <w:pPr>
      <w:pStyle w:val="Header"/>
      <w:jc w:val="right"/>
    </w:pPr>
  </w:p>
  <w:p w14:paraId="17543238" w14:textId="77777777" w:rsidR="003F5CC5" w:rsidRDefault="003F5CC5" w:rsidP="003F5CC5">
    <w:pPr>
      <w:pStyle w:val="Header"/>
      <w:jc w:val="right"/>
    </w:pPr>
  </w:p>
  <w:p w14:paraId="7A5C36BA" w14:textId="017F8681" w:rsidR="003F5CC5" w:rsidRDefault="003F5CC5" w:rsidP="00F80328">
    <w:pPr>
      <w:pStyle w:val="Header"/>
      <w:jc w:val="right"/>
    </w:pPr>
    <w:r>
      <w:t>TSG Rules of Procedure template</w:t>
    </w:r>
    <w:r w:rsidR="00310A28">
      <w:t xml:space="preserve">, v. </w:t>
    </w:r>
    <w:r w:rsidR="009F1576">
      <w:t>25</w:t>
    </w:r>
    <w:r w:rsidR="00310A28">
      <w:t>.9.2025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AE6"/>
    <w:multiLevelType w:val="multilevel"/>
    <w:tmpl w:val="ADB471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991139"/>
    <w:multiLevelType w:val="hybridMultilevel"/>
    <w:tmpl w:val="D0640B1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132054D5"/>
    <w:multiLevelType w:val="multilevel"/>
    <w:tmpl w:val="6F1ABF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99631E"/>
    <w:multiLevelType w:val="multilevel"/>
    <w:tmpl w:val="1EF285A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260E03"/>
    <w:multiLevelType w:val="multilevel"/>
    <w:tmpl w:val="AE184E30"/>
    <w:lvl w:ilvl="0">
      <w:start w:val="1"/>
      <w:numFmt w:val="decimal"/>
      <w:pStyle w:val="Heading1"/>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7E0A7F"/>
    <w:multiLevelType w:val="multilevel"/>
    <w:tmpl w:val="17823A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2A50C0"/>
    <w:multiLevelType w:val="multilevel"/>
    <w:tmpl w:val="ADB471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CA6D19"/>
    <w:multiLevelType w:val="multilevel"/>
    <w:tmpl w:val="E9F27690"/>
    <w:lvl w:ilvl="0">
      <w:start w:val="10"/>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BE4D78"/>
    <w:multiLevelType w:val="multilevel"/>
    <w:tmpl w:val="887A42C6"/>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9" w15:restartNumberingAfterBreak="0">
    <w:nsid w:val="29CC26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4B1789"/>
    <w:multiLevelType w:val="hybridMultilevel"/>
    <w:tmpl w:val="3CC83E80"/>
    <w:lvl w:ilvl="0" w:tplc="503C7C04">
      <w:start w:val="1"/>
      <w:numFmt w:val="bullet"/>
      <w:lvlText w:val="−"/>
      <w:lvlJc w:val="left"/>
      <w:pPr>
        <w:ind w:left="360" w:hanging="360"/>
      </w:pPr>
      <w:rPr>
        <w:rFonts w:ascii="Trebuchet MS" w:hAnsi="Trebuchet MS" w:hint="default"/>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1" w15:restartNumberingAfterBreak="0">
    <w:nsid w:val="349C05FD"/>
    <w:multiLevelType w:val="hybridMultilevel"/>
    <w:tmpl w:val="CBBC678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68075B"/>
    <w:multiLevelType w:val="hybridMultilevel"/>
    <w:tmpl w:val="1E4CB6F2"/>
    <w:lvl w:ilvl="0" w:tplc="503C7C04">
      <w:start w:val="1"/>
      <w:numFmt w:val="bullet"/>
      <w:lvlText w:val="−"/>
      <w:lvlJc w:val="left"/>
      <w:pPr>
        <w:ind w:left="786" w:hanging="360"/>
      </w:pPr>
      <w:rPr>
        <w:rFonts w:ascii="Trebuchet MS" w:hAnsi="Trebuchet M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C2B6AC5"/>
    <w:multiLevelType w:val="multilevel"/>
    <w:tmpl w:val="4B14B706"/>
    <w:lvl w:ilvl="0">
      <w:start w:val="10"/>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5F65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F651B"/>
    <w:multiLevelType w:val="multilevel"/>
    <w:tmpl w:val="17823A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111574"/>
    <w:multiLevelType w:val="hybridMultilevel"/>
    <w:tmpl w:val="79CCEC6E"/>
    <w:lvl w:ilvl="0" w:tplc="25C2CB80">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D9357E8"/>
    <w:multiLevelType w:val="hybridMultilevel"/>
    <w:tmpl w:val="5F883FAE"/>
    <w:lvl w:ilvl="0" w:tplc="CD0E0DD8">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DB27327"/>
    <w:multiLevelType w:val="multilevel"/>
    <w:tmpl w:val="ADB471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1C2E8C"/>
    <w:multiLevelType w:val="hybridMultilevel"/>
    <w:tmpl w:val="F392D886"/>
    <w:lvl w:ilvl="0" w:tplc="37727822">
      <w:start w:val="1"/>
      <w:numFmt w:val="decimal"/>
      <w:lvlText w:val="%1."/>
      <w:lvlJc w:val="left"/>
      <w:pPr>
        <w:ind w:left="1020" w:hanging="360"/>
      </w:pPr>
    </w:lvl>
    <w:lvl w:ilvl="1" w:tplc="1CD6A158">
      <w:start w:val="1"/>
      <w:numFmt w:val="decimal"/>
      <w:lvlText w:val="%2."/>
      <w:lvlJc w:val="left"/>
      <w:pPr>
        <w:ind w:left="1020" w:hanging="360"/>
      </w:pPr>
    </w:lvl>
    <w:lvl w:ilvl="2" w:tplc="5AD037E8">
      <w:start w:val="1"/>
      <w:numFmt w:val="decimal"/>
      <w:lvlText w:val="%3."/>
      <w:lvlJc w:val="left"/>
      <w:pPr>
        <w:ind w:left="1020" w:hanging="360"/>
      </w:pPr>
    </w:lvl>
    <w:lvl w:ilvl="3" w:tplc="36000EF0">
      <w:start w:val="1"/>
      <w:numFmt w:val="decimal"/>
      <w:lvlText w:val="%4."/>
      <w:lvlJc w:val="left"/>
      <w:pPr>
        <w:ind w:left="1020" w:hanging="360"/>
      </w:pPr>
    </w:lvl>
    <w:lvl w:ilvl="4" w:tplc="798699B2">
      <w:start w:val="1"/>
      <w:numFmt w:val="decimal"/>
      <w:lvlText w:val="%5."/>
      <w:lvlJc w:val="left"/>
      <w:pPr>
        <w:ind w:left="1020" w:hanging="360"/>
      </w:pPr>
    </w:lvl>
    <w:lvl w:ilvl="5" w:tplc="A63A889A">
      <w:start w:val="1"/>
      <w:numFmt w:val="decimal"/>
      <w:lvlText w:val="%6."/>
      <w:lvlJc w:val="left"/>
      <w:pPr>
        <w:ind w:left="1020" w:hanging="360"/>
      </w:pPr>
    </w:lvl>
    <w:lvl w:ilvl="6" w:tplc="F48C1ED4">
      <w:start w:val="1"/>
      <w:numFmt w:val="decimal"/>
      <w:lvlText w:val="%7."/>
      <w:lvlJc w:val="left"/>
      <w:pPr>
        <w:ind w:left="1020" w:hanging="360"/>
      </w:pPr>
    </w:lvl>
    <w:lvl w:ilvl="7" w:tplc="134A6996">
      <w:start w:val="1"/>
      <w:numFmt w:val="decimal"/>
      <w:lvlText w:val="%8."/>
      <w:lvlJc w:val="left"/>
      <w:pPr>
        <w:ind w:left="1020" w:hanging="360"/>
      </w:pPr>
    </w:lvl>
    <w:lvl w:ilvl="8" w:tplc="274E2BF8">
      <w:start w:val="1"/>
      <w:numFmt w:val="decimal"/>
      <w:lvlText w:val="%9."/>
      <w:lvlJc w:val="left"/>
      <w:pPr>
        <w:ind w:left="1020" w:hanging="360"/>
      </w:pPr>
    </w:lvl>
  </w:abstractNum>
  <w:abstractNum w:abstractNumId="20" w15:restartNumberingAfterBreak="0">
    <w:nsid w:val="545A4EFB"/>
    <w:multiLevelType w:val="multilevel"/>
    <w:tmpl w:val="1750A148"/>
    <w:lvl w:ilvl="0">
      <w:start w:val="7"/>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3A7FD0"/>
    <w:multiLevelType w:val="multilevel"/>
    <w:tmpl w:val="4336C4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AC52AB"/>
    <w:multiLevelType w:val="multilevel"/>
    <w:tmpl w:val="7EA298F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47D5881"/>
    <w:multiLevelType w:val="multilevel"/>
    <w:tmpl w:val="ADB471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8A5CAB"/>
    <w:multiLevelType w:val="multilevel"/>
    <w:tmpl w:val="ADB471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F82310"/>
    <w:multiLevelType w:val="multilevel"/>
    <w:tmpl w:val="ADB471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6740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FF59CF"/>
    <w:multiLevelType w:val="multilevel"/>
    <w:tmpl w:val="ADB471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C163D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595C2B"/>
    <w:multiLevelType w:val="multilevel"/>
    <w:tmpl w:val="7E1677B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1739256">
    <w:abstractNumId w:val="1"/>
  </w:num>
  <w:num w:numId="2" w16cid:durableId="1143741173">
    <w:abstractNumId w:val="12"/>
  </w:num>
  <w:num w:numId="3" w16cid:durableId="967977252">
    <w:abstractNumId w:val="10"/>
  </w:num>
  <w:num w:numId="4" w16cid:durableId="1434399717">
    <w:abstractNumId w:val="16"/>
  </w:num>
  <w:num w:numId="5" w16cid:durableId="1140806904">
    <w:abstractNumId w:val="17"/>
  </w:num>
  <w:num w:numId="6" w16cid:durableId="770122938">
    <w:abstractNumId w:val="3"/>
  </w:num>
  <w:num w:numId="7" w16cid:durableId="567959499">
    <w:abstractNumId w:val="3"/>
  </w:num>
  <w:num w:numId="8" w16cid:durableId="1378774634">
    <w:abstractNumId w:val="9"/>
  </w:num>
  <w:num w:numId="9" w16cid:durableId="1201824249">
    <w:abstractNumId w:val="3"/>
  </w:num>
  <w:num w:numId="10" w16cid:durableId="1875924190">
    <w:abstractNumId w:val="29"/>
  </w:num>
  <w:num w:numId="11" w16cid:durableId="1991789032">
    <w:abstractNumId w:val="4"/>
  </w:num>
  <w:num w:numId="12" w16cid:durableId="105777742">
    <w:abstractNumId w:val="2"/>
  </w:num>
  <w:num w:numId="13" w16cid:durableId="1642034665">
    <w:abstractNumId w:val="4"/>
  </w:num>
  <w:num w:numId="14" w16cid:durableId="1826772969">
    <w:abstractNumId w:val="4"/>
  </w:num>
  <w:num w:numId="15" w16cid:durableId="2018266308">
    <w:abstractNumId w:val="14"/>
  </w:num>
  <w:num w:numId="16" w16cid:durableId="41752691">
    <w:abstractNumId w:val="21"/>
  </w:num>
  <w:num w:numId="17" w16cid:durableId="1924558397">
    <w:abstractNumId w:val="28"/>
  </w:num>
  <w:num w:numId="18" w16cid:durableId="766535576">
    <w:abstractNumId w:val="25"/>
  </w:num>
  <w:num w:numId="19" w16cid:durableId="1166169714">
    <w:abstractNumId w:val="6"/>
  </w:num>
  <w:num w:numId="20" w16cid:durableId="593904781">
    <w:abstractNumId w:val="0"/>
  </w:num>
  <w:num w:numId="21" w16cid:durableId="1275870238">
    <w:abstractNumId w:val="4"/>
  </w:num>
  <w:num w:numId="22" w16cid:durableId="885873867">
    <w:abstractNumId w:val="27"/>
  </w:num>
  <w:num w:numId="23" w16cid:durableId="845435681">
    <w:abstractNumId w:val="26"/>
  </w:num>
  <w:num w:numId="24" w16cid:durableId="90472002">
    <w:abstractNumId w:val="8"/>
  </w:num>
  <w:num w:numId="25" w16cid:durableId="1656294717">
    <w:abstractNumId w:val="24"/>
  </w:num>
  <w:num w:numId="26" w16cid:durableId="362563735">
    <w:abstractNumId w:val="4"/>
  </w:num>
  <w:num w:numId="27" w16cid:durableId="722798437">
    <w:abstractNumId w:val="20"/>
  </w:num>
  <w:num w:numId="28" w16cid:durableId="1715692338">
    <w:abstractNumId w:val="4"/>
  </w:num>
  <w:num w:numId="29" w16cid:durableId="2116749203">
    <w:abstractNumId w:val="18"/>
  </w:num>
  <w:num w:numId="30" w16cid:durableId="102192224">
    <w:abstractNumId w:val="15"/>
  </w:num>
  <w:num w:numId="31" w16cid:durableId="624123722">
    <w:abstractNumId w:val="4"/>
  </w:num>
  <w:num w:numId="32" w16cid:durableId="2048681450">
    <w:abstractNumId w:val="22"/>
  </w:num>
  <w:num w:numId="33" w16cid:durableId="1684894743">
    <w:abstractNumId w:val="11"/>
  </w:num>
  <w:num w:numId="34" w16cid:durableId="424426815">
    <w:abstractNumId w:val="23"/>
  </w:num>
  <w:num w:numId="35" w16cid:durableId="367144327">
    <w:abstractNumId w:val="19"/>
  </w:num>
  <w:num w:numId="36" w16cid:durableId="354966627">
    <w:abstractNumId w:val="5"/>
  </w:num>
  <w:num w:numId="37" w16cid:durableId="1593316805">
    <w:abstractNumId w:val="13"/>
  </w:num>
  <w:num w:numId="38" w16cid:durableId="676886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46097"/>
    <w:rsid w:val="0000173F"/>
    <w:rsid w:val="0001557B"/>
    <w:rsid w:val="00017BC2"/>
    <w:rsid w:val="00050266"/>
    <w:rsid w:val="0005115F"/>
    <w:rsid w:val="0005566D"/>
    <w:rsid w:val="00071A4C"/>
    <w:rsid w:val="00091283"/>
    <w:rsid w:val="000A281A"/>
    <w:rsid w:val="000A372B"/>
    <w:rsid w:val="000B1436"/>
    <w:rsid w:val="000D26FC"/>
    <w:rsid w:val="000E2F64"/>
    <w:rsid w:val="000E4619"/>
    <w:rsid w:val="000E5082"/>
    <w:rsid w:val="000E543E"/>
    <w:rsid w:val="00107F29"/>
    <w:rsid w:val="00114AE0"/>
    <w:rsid w:val="0012229F"/>
    <w:rsid w:val="00122C5C"/>
    <w:rsid w:val="00144AF5"/>
    <w:rsid w:val="0014677D"/>
    <w:rsid w:val="00160FE4"/>
    <w:rsid w:val="001701C3"/>
    <w:rsid w:val="00171FD4"/>
    <w:rsid w:val="0018312F"/>
    <w:rsid w:val="0019624D"/>
    <w:rsid w:val="001967DA"/>
    <w:rsid w:val="00196870"/>
    <w:rsid w:val="001A0D1E"/>
    <w:rsid w:val="001A1002"/>
    <w:rsid w:val="001A604E"/>
    <w:rsid w:val="001B7378"/>
    <w:rsid w:val="001E4CD3"/>
    <w:rsid w:val="001E6937"/>
    <w:rsid w:val="001F495D"/>
    <w:rsid w:val="001F541A"/>
    <w:rsid w:val="001F714D"/>
    <w:rsid w:val="002121E1"/>
    <w:rsid w:val="0022731F"/>
    <w:rsid w:val="00232069"/>
    <w:rsid w:val="00232843"/>
    <w:rsid w:val="002328B8"/>
    <w:rsid w:val="002357B4"/>
    <w:rsid w:val="00236CF5"/>
    <w:rsid w:val="00241ACE"/>
    <w:rsid w:val="00241CE9"/>
    <w:rsid w:val="002434F2"/>
    <w:rsid w:val="00252075"/>
    <w:rsid w:val="002821BA"/>
    <w:rsid w:val="002873ED"/>
    <w:rsid w:val="00292782"/>
    <w:rsid w:val="002953F0"/>
    <w:rsid w:val="002B0915"/>
    <w:rsid w:val="002B1089"/>
    <w:rsid w:val="002C0F65"/>
    <w:rsid w:val="002E1B0F"/>
    <w:rsid w:val="002F10DB"/>
    <w:rsid w:val="002F2816"/>
    <w:rsid w:val="002F3166"/>
    <w:rsid w:val="002F3550"/>
    <w:rsid w:val="002F50F6"/>
    <w:rsid w:val="0030093B"/>
    <w:rsid w:val="00301766"/>
    <w:rsid w:val="00302263"/>
    <w:rsid w:val="00310A28"/>
    <w:rsid w:val="003238B5"/>
    <w:rsid w:val="00333897"/>
    <w:rsid w:val="00346C56"/>
    <w:rsid w:val="0034738E"/>
    <w:rsid w:val="00370C22"/>
    <w:rsid w:val="00381A5F"/>
    <w:rsid w:val="003838D1"/>
    <w:rsid w:val="00385CCB"/>
    <w:rsid w:val="00394307"/>
    <w:rsid w:val="003B5D9A"/>
    <w:rsid w:val="003D0916"/>
    <w:rsid w:val="003F10FE"/>
    <w:rsid w:val="003F3C11"/>
    <w:rsid w:val="003F5CC5"/>
    <w:rsid w:val="003F6AFF"/>
    <w:rsid w:val="00400F91"/>
    <w:rsid w:val="004022F6"/>
    <w:rsid w:val="00406018"/>
    <w:rsid w:val="004071A8"/>
    <w:rsid w:val="00424318"/>
    <w:rsid w:val="00427169"/>
    <w:rsid w:val="00441713"/>
    <w:rsid w:val="00453C21"/>
    <w:rsid w:val="00457D7C"/>
    <w:rsid w:val="00486B44"/>
    <w:rsid w:val="00494FD8"/>
    <w:rsid w:val="004B3E95"/>
    <w:rsid w:val="004C7D8F"/>
    <w:rsid w:val="004D29F4"/>
    <w:rsid w:val="004D2B82"/>
    <w:rsid w:val="004D5074"/>
    <w:rsid w:val="005025C3"/>
    <w:rsid w:val="00502D72"/>
    <w:rsid w:val="0050351D"/>
    <w:rsid w:val="00507EFC"/>
    <w:rsid w:val="0052207D"/>
    <w:rsid w:val="005323EF"/>
    <w:rsid w:val="00533AB7"/>
    <w:rsid w:val="00536E92"/>
    <w:rsid w:val="00570629"/>
    <w:rsid w:val="005847A7"/>
    <w:rsid w:val="005A08CC"/>
    <w:rsid w:val="005A2CC9"/>
    <w:rsid w:val="005A6EA4"/>
    <w:rsid w:val="005B4F39"/>
    <w:rsid w:val="005B6A56"/>
    <w:rsid w:val="005C2BFD"/>
    <w:rsid w:val="005C4180"/>
    <w:rsid w:val="005F6861"/>
    <w:rsid w:val="00601C2F"/>
    <w:rsid w:val="006061D2"/>
    <w:rsid w:val="00615CA5"/>
    <w:rsid w:val="006221BB"/>
    <w:rsid w:val="00622E9C"/>
    <w:rsid w:val="00633E7B"/>
    <w:rsid w:val="00634EA2"/>
    <w:rsid w:val="00652712"/>
    <w:rsid w:val="006551C2"/>
    <w:rsid w:val="00661FBD"/>
    <w:rsid w:val="0066300B"/>
    <w:rsid w:val="006B12E3"/>
    <w:rsid w:val="006B62CF"/>
    <w:rsid w:val="006D2E71"/>
    <w:rsid w:val="006D3809"/>
    <w:rsid w:val="006D52BC"/>
    <w:rsid w:val="006D715A"/>
    <w:rsid w:val="006F0075"/>
    <w:rsid w:val="0070056A"/>
    <w:rsid w:val="00701B10"/>
    <w:rsid w:val="00705E46"/>
    <w:rsid w:val="007163DA"/>
    <w:rsid w:val="00724CC0"/>
    <w:rsid w:val="007439E3"/>
    <w:rsid w:val="00746097"/>
    <w:rsid w:val="00751A6D"/>
    <w:rsid w:val="00754D94"/>
    <w:rsid w:val="00764F1E"/>
    <w:rsid w:val="00771D06"/>
    <w:rsid w:val="007823BA"/>
    <w:rsid w:val="00786C0E"/>
    <w:rsid w:val="007952C3"/>
    <w:rsid w:val="00796831"/>
    <w:rsid w:val="007A36C1"/>
    <w:rsid w:val="007B38F7"/>
    <w:rsid w:val="007C2B9F"/>
    <w:rsid w:val="007C3612"/>
    <w:rsid w:val="007C5460"/>
    <w:rsid w:val="007C69A9"/>
    <w:rsid w:val="007D6FC5"/>
    <w:rsid w:val="007D74AF"/>
    <w:rsid w:val="007E0A9E"/>
    <w:rsid w:val="00804DFE"/>
    <w:rsid w:val="00805938"/>
    <w:rsid w:val="00813FA8"/>
    <w:rsid w:val="008213E1"/>
    <w:rsid w:val="00825DC1"/>
    <w:rsid w:val="00827017"/>
    <w:rsid w:val="00833C07"/>
    <w:rsid w:val="00836755"/>
    <w:rsid w:val="0085278B"/>
    <w:rsid w:val="00853CDD"/>
    <w:rsid w:val="008679A8"/>
    <w:rsid w:val="0087697F"/>
    <w:rsid w:val="00877503"/>
    <w:rsid w:val="00896896"/>
    <w:rsid w:val="008A1F12"/>
    <w:rsid w:val="008C4796"/>
    <w:rsid w:val="008C5CED"/>
    <w:rsid w:val="008C7080"/>
    <w:rsid w:val="008D54E1"/>
    <w:rsid w:val="008D6C7D"/>
    <w:rsid w:val="008F29D7"/>
    <w:rsid w:val="00925782"/>
    <w:rsid w:val="009257BD"/>
    <w:rsid w:val="009276A9"/>
    <w:rsid w:val="009321E4"/>
    <w:rsid w:val="00934B6F"/>
    <w:rsid w:val="00940912"/>
    <w:rsid w:val="00953CD5"/>
    <w:rsid w:val="00953E16"/>
    <w:rsid w:val="0096026E"/>
    <w:rsid w:val="00961FEF"/>
    <w:rsid w:val="0096291C"/>
    <w:rsid w:val="00966BF3"/>
    <w:rsid w:val="00966E1C"/>
    <w:rsid w:val="0097749A"/>
    <w:rsid w:val="00983D20"/>
    <w:rsid w:val="009A0706"/>
    <w:rsid w:val="009A097A"/>
    <w:rsid w:val="009A6401"/>
    <w:rsid w:val="009B41DC"/>
    <w:rsid w:val="009B5B9D"/>
    <w:rsid w:val="009D1C12"/>
    <w:rsid w:val="009E0B32"/>
    <w:rsid w:val="009E4004"/>
    <w:rsid w:val="009E6FCA"/>
    <w:rsid w:val="009F1576"/>
    <w:rsid w:val="009F1A25"/>
    <w:rsid w:val="009F5023"/>
    <w:rsid w:val="009F58D3"/>
    <w:rsid w:val="009F6096"/>
    <w:rsid w:val="00A035D3"/>
    <w:rsid w:val="00A05BE2"/>
    <w:rsid w:val="00A169AB"/>
    <w:rsid w:val="00A33619"/>
    <w:rsid w:val="00A434F5"/>
    <w:rsid w:val="00A50348"/>
    <w:rsid w:val="00A50C6B"/>
    <w:rsid w:val="00A66C31"/>
    <w:rsid w:val="00A80C61"/>
    <w:rsid w:val="00A81CD6"/>
    <w:rsid w:val="00A87243"/>
    <w:rsid w:val="00A90D9A"/>
    <w:rsid w:val="00A944A5"/>
    <w:rsid w:val="00AA46A3"/>
    <w:rsid w:val="00AB5801"/>
    <w:rsid w:val="00AC6163"/>
    <w:rsid w:val="00AE38B0"/>
    <w:rsid w:val="00AE6D2D"/>
    <w:rsid w:val="00AF21C9"/>
    <w:rsid w:val="00B024E0"/>
    <w:rsid w:val="00B11671"/>
    <w:rsid w:val="00B25321"/>
    <w:rsid w:val="00B333BF"/>
    <w:rsid w:val="00B341B3"/>
    <w:rsid w:val="00B52772"/>
    <w:rsid w:val="00B56A9E"/>
    <w:rsid w:val="00B637B3"/>
    <w:rsid w:val="00B80522"/>
    <w:rsid w:val="00B805D9"/>
    <w:rsid w:val="00B904FF"/>
    <w:rsid w:val="00B93D25"/>
    <w:rsid w:val="00BC4006"/>
    <w:rsid w:val="00BE69C8"/>
    <w:rsid w:val="00BF4D78"/>
    <w:rsid w:val="00C204A9"/>
    <w:rsid w:val="00C36377"/>
    <w:rsid w:val="00C62948"/>
    <w:rsid w:val="00C66B38"/>
    <w:rsid w:val="00C82F44"/>
    <w:rsid w:val="00C83F86"/>
    <w:rsid w:val="00C8472B"/>
    <w:rsid w:val="00CA2F61"/>
    <w:rsid w:val="00CA3CC4"/>
    <w:rsid w:val="00CC49E9"/>
    <w:rsid w:val="00CD20B1"/>
    <w:rsid w:val="00CD7967"/>
    <w:rsid w:val="00CE39AD"/>
    <w:rsid w:val="00CF0008"/>
    <w:rsid w:val="00D00F73"/>
    <w:rsid w:val="00D05EF7"/>
    <w:rsid w:val="00D128C2"/>
    <w:rsid w:val="00D20E8A"/>
    <w:rsid w:val="00D42728"/>
    <w:rsid w:val="00D53289"/>
    <w:rsid w:val="00D7212A"/>
    <w:rsid w:val="00D868BC"/>
    <w:rsid w:val="00D9554C"/>
    <w:rsid w:val="00DA0407"/>
    <w:rsid w:val="00DC1D3E"/>
    <w:rsid w:val="00DC2082"/>
    <w:rsid w:val="00DC2F98"/>
    <w:rsid w:val="00DC3A7A"/>
    <w:rsid w:val="00DC3C9A"/>
    <w:rsid w:val="00DC7D04"/>
    <w:rsid w:val="00DD3AF3"/>
    <w:rsid w:val="00DD7834"/>
    <w:rsid w:val="00DE79A6"/>
    <w:rsid w:val="00E12A2B"/>
    <w:rsid w:val="00E1631F"/>
    <w:rsid w:val="00E27EE6"/>
    <w:rsid w:val="00E37B10"/>
    <w:rsid w:val="00E40F97"/>
    <w:rsid w:val="00E55D04"/>
    <w:rsid w:val="00E671ED"/>
    <w:rsid w:val="00E7078B"/>
    <w:rsid w:val="00E708BB"/>
    <w:rsid w:val="00E72501"/>
    <w:rsid w:val="00E77018"/>
    <w:rsid w:val="00E9189E"/>
    <w:rsid w:val="00E931B3"/>
    <w:rsid w:val="00E97776"/>
    <w:rsid w:val="00EA27B2"/>
    <w:rsid w:val="00EB3FBB"/>
    <w:rsid w:val="00EC0B20"/>
    <w:rsid w:val="00EC5655"/>
    <w:rsid w:val="00ED1180"/>
    <w:rsid w:val="00EE3D01"/>
    <w:rsid w:val="00EE48FD"/>
    <w:rsid w:val="00EF4B6F"/>
    <w:rsid w:val="00F111CF"/>
    <w:rsid w:val="00F17CED"/>
    <w:rsid w:val="00F20ED4"/>
    <w:rsid w:val="00F25AAA"/>
    <w:rsid w:val="00F25C15"/>
    <w:rsid w:val="00F31FF7"/>
    <w:rsid w:val="00F42AF1"/>
    <w:rsid w:val="00F45507"/>
    <w:rsid w:val="00F57232"/>
    <w:rsid w:val="00F57EBF"/>
    <w:rsid w:val="00F80328"/>
    <w:rsid w:val="00F83B93"/>
    <w:rsid w:val="00F96047"/>
    <w:rsid w:val="00FA4867"/>
    <w:rsid w:val="00FA6CDF"/>
    <w:rsid w:val="00FE0767"/>
    <w:rsid w:val="00FE311B"/>
    <w:rsid w:val="00FE41F5"/>
    <w:rsid w:val="00FF414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9D7"/>
  <w15:docId w15:val="{9936124D-A906-45FF-BB26-9B90E142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9E"/>
    <w:rPr>
      <w:rFonts w:ascii="Times New Roman" w:eastAsia="Calibri" w:hAnsi="Times New Roman" w:cs="Times New Roman"/>
      <w:lang w:val="da-DK"/>
    </w:rPr>
  </w:style>
  <w:style w:type="paragraph" w:styleId="Heading1">
    <w:name w:val="heading 1"/>
    <w:basedOn w:val="ListParagraph"/>
    <w:next w:val="Normal"/>
    <w:link w:val="Heading1Char"/>
    <w:uiPriority w:val="9"/>
    <w:qFormat/>
    <w:rsid w:val="006D2E71"/>
    <w:pPr>
      <w:numPr>
        <w:numId w:val="11"/>
      </w:numPr>
      <w:spacing w:line="240" w:lineRule="auto"/>
      <w:jc w:val="both"/>
      <w:outlineLvl w:val="0"/>
    </w:pPr>
    <w:rPr>
      <w:b/>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097"/>
    <w:pPr>
      <w:tabs>
        <w:tab w:val="center" w:pos="4252"/>
        <w:tab w:val="right" w:pos="8504"/>
      </w:tabs>
      <w:spacing w:after="0" w:line="240" w:lineRule="auto"/>
    </w:pPr>
  </w:style>
  <w:style w:type="character" w:customStyle="1" w:styleId="HeaderChar">
    <w:name w:val="Header Char"/>
    <w:basedOn w:val="DefaultParagraphFont"/>
    <w:link w:val="Header"/>
    <w:uiPriority w:val="99"/>
    <w:rsid w:val="00746097"/>
  </w:style>
  <w:style w:type="paragraph" w:styleId="Footer">
    <w:name w:val="footer"/>
    <w:basedOn w:val="Normal"/>
    <w:link w:val="FooterChar"/>
    <w:uiPriority w:val="99"/>
    <w:unhideWhenUsed/>
    <w:rsid w:val="00746097"/>
    <w:pPr>
      <w:tabs>
        <w:tab w:val="center" w:pos="4252"/>
        <w:tab w:val="right" w:pos="8504"/>
      </w:tabs>
      <w:spacing w:after="0" w:line="240" w:lineRule="auto"/>
    </w:pPr>
  </w:style>
  <w:style w:type="character" w:customStyle="1" w:styleId="FooterChar">
    <w:name w:val="Footer Char"/>
    <w:basedOn w:val="DefaultParagraphFont"/>
    <w:link w:val="Footer"/>
    <w:uiPriority w:val="99"/>
    <w:rsid w:val="00746097"/>
  </w:style>
  <w:style w:type="paragraph" w:styleId="BalloonText">
    <w:name w:val="Balloon Text"/>
    <w:basedOn w:val="Normal"/>
    <w:link w:val="BalloonTextChar"/>
    <w:uiPriority w:val="99"/>
    <w:semiHidden/>
    <w:unhideWhenUsed/>
    <w:rsid w:val="00746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97"/>
    <w:rPr>
      <w:rFonts w:ascii="Tahoma" w:hAnsi="Tahoma" w:cs="Tahoma"/>
      <w:sz w:val="16"/>
      <w:szCs w:val="16"/>
    </w:rPr>
  </w:style>
  <w:style w:type="paragraph" w:customStyle="1" w:styleId="Prrafobsico">
    <w:name w:val="[Párrafo básico]"/>
    <w:basedOn w:val="Normal"/>
    <w:uiPriority w:val="99"/>
    <w:rsid w:val="00746097"/>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character" w:styleId="CommentReference">
    <w:name w:val="annotation reference"/>
    <w:basedOn w:val="DefaultParagraphFont"/>
    <w:uiPriority w:val="99"/>
    <w:semiHidden/>
    <w:rsid w:val="00A434F5"/>
    <w:rPr>
      <w:rFonts w:cs="Times New Roman"/>
      <w:sz w:val="16"/>
      <w:szCs w:val="16"/>
    </w:rPr>
  </w:style>
  <w:style w:type="paragraph" w:styleId="CommentText">
    <w:name w:val="annotation text"/>
    <w:basedOn w:val="Normal"/>
    <w:link w:val="CommentTextChar"/>
    <w:uiPriority w:val="99"/>
    <w:semiHidden/>
    <w:rsid w:val="00A434F5"/>
    <w:rPr>
      <w:sz w:val="20"/>
      <w:szCs w:val="20"/>
    </w:rPr>
  </w:style>
  <w:style w:type="character" w:customStyle="1" w:styleId="CommentTextChar">
    <w:name w:val="Comment Text Char"/>
    <w:basedOn w:val="DefaultParagraphFont"/>
    <w:link w:val="CommentText"/>
    <w:uiPriority w:val="99"/>
    <w:semiHidden/>
    <w:rsid w:val="00A434F5"/>
    <w:rPr>
      <w:rFonts w:ascii="Calibri" w:eastAsia="Calibri" w:hAnsi="Calibri" w:cs="Times New Roman"/>
      <w:sz w:val="20"/>
      <w:szCs w:val="20"/>
      <w:lang w:val="da-DK"/>
    </w:rPr>
  </w:style>
  <w:style w:type="paragraph" w:styleId="FootnoteText">
    <w:name w:val="footnote text"/>
    <w:basedOn w:val="Normal"/>
    <w:link w:val="FootnoteTextChar"/>
    <w:uiPriority w:val="99"/>
    <w:unhideWhenUsed/>
    <w:rsid w:val="00A434F5"/>
    <w:pPr>
      <w:spacing w:after="0" w:line="240" w:lineRule="auto"/>
    </w:pPr>
    <w:rPr>
      <w:sz w:val="20"/>
      <w:szCs w:val="20"/>
    </w:rPr>
  </w:style>
  <w:style w:type="character" w:customStyle="1" w:styleId="FootnoteTextChar">
    <w:name w:val="Footnote Text Char"/>
    <w:basedOn w:val="DefaultParagraphFont"/>
    <w:link w:val="FootnoteText"/>
    <w:uiPriority w:val="99"/>
    <w:rsid w:val="00A434F5"/>
    <w:rPr>
      <w:rFonts w:ascii="Calibri" w:eastAsia="Calibri" w:hAnsi="Calibri" w:cs="Times New Roman"/>
      <w:sz w:val="20"/>
      <w:szCs w:val="20"/>
      <w:lang w:val="da-DK"/>
    </w:rPr>
  </w:style>
  <w:style w:type="character" w:styleId="FootnoteReference">
    <w:name w:val="footnote reference"/>
    <w:basedOn w:val="DefaultParagraphFont"/>
    <w:uiPriority w:val="99"/>
    <w:semiHidden/>
    <w:unhideWhenUsed/>
    <w:rsid w:val="00A434F5"/>
    <w:rPr>
      <w:vertAlign w:val="superscript"/>
    </w:rPr>
  </w:style>
  <w:style w:type="paragraph" w:styleId="ListParagraph">
    <w:name w:val="List Paragraph"/>
    <w:basedOn w:val="Normal"/>
    <w:uiPriority w:val="99"/>
    <w:qFormat/>
    <w:rsid w:val="00A33619"/>
    <w:pPr>
      <w:ind w:left="720"/>
      <w:contextualSpacing/>
    </w:pPr>
  </w:style>
  <w:style w:type="paragraph" w:styleId="CommentSubject">
    <w:name w:val="annotation subject"/>
    <w:basedOn w:val="CommentText"/>
    <w:next w:val="CommentText"/>
    <w:link w:val="CommentSubjectChar"/>
    <w:uiPriority w:val="99"/>
    <w:semiHidden/>
    <w:unhideWhenUsed/>
    <w:rsid w:val="009A097A"/>
    <w:pPr>
      <w:spacing w:line="240" w:lineRule="auto"/>
    </w:pPr>
    <w:rPr>
      <w:b/>
      <w:bCs/>
    </w:rPr>
  </w:style>
  <w:style w:type="character" w:customStyle="1" w:styleId="CommentSubjectChar">
    <w:name w:val="Comment Subject Char"/>
    <w:basedOn w:val="CommentTextChar"/>
    <w:link w:val="CommentSubject"/>
    <w:uiPriority w:val="99"/>
    <w:semiHidden/>
    <w:rsid w:val="009A097A"/>
    <w:rPr>
      <w:rFonts w:ascii="Calibri" w:eastAsia="Calibri" w:hAnsi="Calibri" w:cs="Times New Roman"/>
      <w:b/>
      <w:bCs/>
      <w:sz w:val="20"/>
      <w:szCs w:val="20"/>
      <w:lang w:val="da-DK"/>
    </w:rPr>
  </w:style>
  <w:style w:type="paragraph" w:styleId="Revision">
    <w:name w:val="Revision"/>
    <w:hidden/>
    <w:uiPriority w:val="99"/>
    <w:semiHidden/>
    <w:rsid w:val="00953E16"/>
    <w:pPr>
      <w:spacing w:after="0" w:line="240" w:lineRule="auto"/>
    </w:pPr>
    <w:rPr>
      <w:rFonts w:ascii="Calibri" w:eastAsia="Calibri" w:hAnsi="Calibri" w:cs="Times New Roman"/>
      <w:lang w:val="da-DK"/>
    </w:rPr>
  </w:style>
  <w:style w:type="character" w:customStyle="1" w:styleId="Heading1Char">
    <w:name w:val="Heading 1 Char"/>
    <w:basedOn w:val="DefaultParagraphFont"/>
    <w:link w:val="Heading1"/>
    <w:uiPriority w:val="9"/>
    <w:rsid w:val="006D2E71"/>
    <w:rPr>
      <w:rFonts w:ascii="Times New Roman" w:eastAsia="Calibri" w:hAnsi="Times New Roman" w:cs="Times New Roman"/>
      <w:b/>
      <w:sz w:val="24"/>
      <w:szCs w:val="24"/>
      <w:lang w:val="en-GB"/>
    </w:rPr>
  </w:style>
  <w:style w:type="paragraph" w:styleId="NormalWeb">
    <w:name w:val="Normal (Web)"/>
    <w:basedOn w:val="Normal"/>
    <w:uiPriority w:val="99"/>
    <w:semiHidden/>
    <w:unhideWhenUsed/>
    <w:rsid w:val="002121E1"/>
    <w:pPr>
      <w:spacing w:before="100" w:beforeAutospacing="1" w:after="100" w:afterAutospacing="1" w:line="240" w:lineRule="auto"/>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36742">
      <w:bodyDiv w:val="1"/>
      <w:marLeft w:val="0"/>
      <w:marRight w:val="0"/>
      <w:marTop w:val="0"/>
      <w:marBottom w:val="0"/>
      <w:divBdr>
        <w:top w:val="none" w:sz="0" w:space="0" w:color="auto"/>
        <w:left w:val="none" w:sz="0" w:space="0" w:color="auto"/>
        <w:bottom w:val="none" w:sz="0" w:space="0" w:color="auto"/>
        <w:right w:val="none" w:sz="0" w:space="0" w:color="auto"/>
      </w:divBdr>
    </w:div>
    <w:div w:id="1122069813">
      <w:bodyDiv w:val="1"/>
      <w:marLeft w:val="0"/>
      <w:marRight w:val="0"/>
      <w:marTop w:val="0"/>
      <w:marBottom w:val="0"/>
      <w:divBdr>
        <w:top w:val="none" w:sz="0" w:space="0" w:color="auto"/>
        <w:left w:val="none" w:sz="0" w:space="0" w:color="auto"/>
        <w:bottom w:val="none" w:sz="0" w:space="0" w:color="auto"/>
        <w:right w:val="none" w:sz="0" w:space="0" w:color="auto"/>
      </w:divBdr>
    </w:div>
    <w:div w:id="11929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417C-C8B7-457C-9849-EA2F5F5E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2663</Words>
  <Characters>15184</Characters>
  <Application>Microsoft Office Word</Application>
  <DocSecurity>0</DocSecurity>
  <Lines>126</Lines>
  <Paragraphs>35</Paragraphs>
  <ScaleCrop>false</ScaleCrop>
  <HeadingPairs>
    <vt:vector size="6" baseType="variant">
      <vt:variant>
        <vt:lpstr>Title</vt:lpstr>
      </vt:variant>
      <vt:variant>
        <vt:i4>1</vt:i4>
      </vt:variant>
      <vt:variant>
        <vt:lpstr>Naslov</vt:lpstr>
      </vt:variant>
      <vt:variant>
        <vt:i4>1</vt:i4>
      </vt:variant>
      <vt:variant>
        <vt:lpstr>Título</vt:lpstr>
      </vt:variant>
      <vt:variant>
        <vt:i4>1</vt:i4>
      </vt:variant>
    </vt:vector>
  </HeadingPairs>
  <TitlesOfParts>
    <vt:vector size="3" baseType="lpstr">
      <vt:lpstr/>
      <vt:lpstr/>
      <vt:lpstr/>
    </vt:vector>
  </TitlesOfParts>
  <Company>European Commission</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dc:creator>
  <cp:lastModifiedBy>FP-LP</cp:lastModifiedBy>
  <cp:revision>3</cp:revision>
  <dcterms:created xsi:type="dcterms:W3CDTF">2025-09-29T06:45:00Z</dcterms:created>
  <dcterms:modified xsi:type="dcterms:W3CDTF">2025-09-29T20:38:00Z</dcterms:modified>
</cp:coreProperties>
</file>