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997A" w14:textId="77777777" w:rsidR="006D079D" w:rsidRPr="00030A83" w:rsidRDefault="006D079D" w:rsidP="00C6115E">
      <w:pPr>
        <w:rPr>
          <w:rFonts w:cstheme="minorHAnsi"/>
          <w:b/>
        </w:rPr>
      </w:pPr>
    </w:p>
    <w:p w14:paraId="5A8F2EB6" w14:textId="6F05A824" w:rsidR="002A3CBA" w:rsidRPr="003A49FF" w:rsidRDefault="008758F2" w:rsidP="003A49FF">
      <w:pPr>
        <w:jc w:val="center"/>
        <w:rPr>
          <w:sz w:val="32"/>
          <w:szCs w:val="32"/>
        </w:rPr>
      </w:pPr>
      <w:r>
        <w:rPr>
          <w:sz w:val="32"/>
          <w:szCs w:val="32"/>
        </w:rPr>
        <w:t>Pillar 1</w:t>
      </w:r>
      <w:r w:rsidR="003A49FF" w:rsidRPr="003A49FF">
        <w:rPr>
          <w:sz w:val="32"/>
          <w:szCs w:val="32"/>
        </w:rPr>
        <w:t xml:space="preserve"> / </w:t>
      </w:r>
      <w:r w:rsidR="00D81D53">
        <w:rPr>
          <w:sz w:val="32"/>
          <w:szCs w:val="32"/>
        </w:rPr>
        <w:t>Blue Growth</w:t>
      </w:r>
    </w:p>
    <w:p w14:paraId="00FC8F61" w14:textId="77777777" w:rsidR="003A49FF" w:rsidRDefault="003A49FF" w:rsidP="00053A6C"/>
    <w:p w14:paraId="5B68A560" w14:textId="4F876DC1" w:rsidR="007651B7" w:rsidRDefault="00B5473D">
      <w:pPr>
        <w:pStyle w:val="Verzeichnis1"/>
        <w:tabs>
          <w:tab w:val="left" w:pos="332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u w:val="none"/>
          <w:lang w:val="de-DE"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330141" w:history="1">
        <w:r w:rsidR="007651B7" w:rsidRPr="00904F6F">
          <w:rPr>
            <w:rStyle w:val="Hyperlink"/>
            <w:noProof/>
          </w:rPr>
          <w:t>1</w:t>
        </w:r>
        <w:r w:rsidR="007651B7">
          <w:rPr>
            <w:rFonts w:eastAsiaTheme="minorEastAsia" w:cstheme="minorBidi"/>
            <w:b w:val="0"/>
            <w:bCs w:val="0"/>
            <w:caps w:val="0"/>
            <w:noProof/>
            <w:u w:val="none"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>Blue Growth – The Pillar’s challenge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_Toc133330141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 w:rsidR="00F07F9D">
          <w:rPr>
            <w:noProof/>
            <w:webHidden/>
          </w:rPr>
          <w:t>2</w:t>
        </w:r>
        <w:r w:rsidR="007651B7">
          <w:rPr>
            <w:noProof/>
            <w:webHidden/>
          </w:rPr>
          <w:fldChar w:fldCharType="end"/>
        </w:r>
      </w:hyperlink>
    </w:p>
    <w:p w14:paraId="589D373B" w14:textId="25AC9613" w:rsidR="007651B7" w:rsidRDefault="00F07F9D">
      <w:pPr>
        <w:pStyle w:val="Verzeichnis1"/>
        <w:tabs>
          <w:tab w:val="left" w:pos="332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u w:val="none"/>
          <w:lang w:val="de-DE" w:eastAsia="de-DE"/>
        </w:rPr>
      </w:pPr>
      <w:hyperlink w:anchor="_Toc133330142" w:history="1">
        <w:r w:rsidR="007651B7" w:rsidRPr="00904F6F">
          <w:rPr>
            <w:rStyle w:val="Hyperlink"/>
            <w:noProof/>
          </w:rPr>
          <w:t>2</w:t>
        </w:r>
        <w:r w:rsidR="007651B7">
          <w:rPr>
            <w:rFonts w:eastAsiaTheme="minorEastAsia" w:cstheme="minorBidi"/>
            <w:b w:val="0"/>
            <w:bCs w:val="0"/>
            <w:caps w:val="0"/>
            <w:noProof/>
            <w:u w:val="none"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 xml:space="preserve">Three </w:t>
        </w:r>
        <w:r w:rsidR="00CD7D9A">
          <w:rPr>
            <w:rStyle w:val="Hyperlink"/>
            <w:noProof/>
          </w:rPr>
          <w:t>alternative</w:t>
        </w:r>
        <w:r w:rsidR="007651B7" w:rsidRPr="00904F6F">
          <w:rPr>
            <w:rStyle w:val="Hyperlink"/>
            <w:noProof/>
          </w:rPr>
          <w:t>s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_Toc133330142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651B7">
          <w:rPr>
            <w:noProof/>
            <w:webHidden/>
          </w:rPr>
          <w:fldChar w:fldCharType="end"/>
        </w:r>
      </w:hyperlink>
    </w:p>
    <w:p w14:paraId="225CA6BB" w14:textId="77C57ACB" w:rsidR="007651B7" w:rsidRDefault="00F07F9D">
      <w:pPr>
        <w:pStyle w:val="Verzeichnis2"/>
        <w:tabs>
          <w:tab w:val="left" w:pos="502"/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lang w:val="de-DE" w:eastAsia="de-DE"/>
        </w:rPr>
      </w:pPr>
      <w:hyperlink w:anchor="_Toc133330143" w:history="1">
        <w:r w:rsidR="007651B7" w:rsidRPr="00904F6F">
          <w:rPr>
            <w:rStyle w:val="Hyperlink"/>
            <w:noProof/>
          </w:rPr>
          <w:t>2.1</w:t>
        </w:r>
        <w:r w:rsidR="007651B7">
          <w:rPr>
            <w:rFonts w:eastAsiaTheme="minorEastAsia" w:cstheme="minorBidi"/>
            <w:b w:val="0"/>
            <w:bCs w:val="0"/>
            <w:smallCaps w:val="0"/>
            <w:noProof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>New Green Growth Pillar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_Toc133330143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651B7">
          <w:rPr>
            <w:noProof/>
            <w:webHidden/>
          </w:rPr>
          <w:fldChar w:fldCharType="end"/>
        </w:r>
      </w:hyperlink>
    </w:p>
    <w:p w14:paraId="577514AC" w14:textId="3CA3BBC7" w:rsidR="007651B7" w:rsidRDefault="00F07F9D">
      <w:pPr>
        <w:pStyle w:val="Verzeichnis2"/>
        <w:tabs>
          <w:tab w:val="left" w:pos="502"/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lang w:val="de-DE" w:eastAsia="de-DE"/>
        </w:rPr>
      </w:pPr>
      <w:hyperlink w:anchor="_Toc133330144" w:history="1">
        <w:r w:rsidR="007651B7" w:rsidRPr="00904F6F">
          <w:rPr>
            <w:rStyle w:val="Hyperlink"/>
            <w:noProof/>
          </w:rPr>
          <w:t>2.2</w:t>
        </w:r>
        <w:r w:rsidR="007651B7">
          <w:rPr>
            <w:rFonts w:eastAsiaTheme="minorEastAsia" w:cstheme="minorBidi"/>
            <w:b w:val="0"/>
            <w:bCs w:val="0"/>
            <w:smallCaps w:val="0"/>
            <w:noProof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>Extending Pillar 1: Blue &amp; Green Growth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_Toc133330144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651B7">
          <w:rPr>
            <w:noProof/>
            <w:webHidden/>
          </w:rPr>
          <w:fldChar w:fldCharType="end"/>
        </w:r>
      </w:hyperlink>
    </w:p>
    <w:p w14:paraId="41A6E1ED" w14:textId="2C4A568C" w:rsidR="007651B7" w:rsidRDefault="00F07F9D">
      <w:pPr>
        <w:pStyle w:val="Verzeichnis2"/>
        <w:tabs>
          <w:tab w:val="left" w:pos="502"/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lang w:val="de-DE" w:eastAsia="de-DE"/>
        </w:rPr>
      </w:pPr>
      <w:hyperlink w:anchor="_Toc133330145" w:history="1">
        <w:r w:rsidR="007651B7" w:rsidRPr="00904F6F">
          <w:rPr>
            <w:rStyle w:val="Hyperlink"/>
            <w:noProof/>
          </w:rPr>
          <w:t>2.3</w:t>
        </w:r>
        <w:r w:rsidR="007651B7">
          <w:rPr>
            <w:rFonts w:eastAsiaTheme="minorEastAsia" w:cstheme="minorBidi"/>
            <w:b w:val="0"/>
            <w:bCs w:val="0"/>
            <w:smallCaps w:val="0"/>
            <w:noProof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>Keep status quo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_Toc133330145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651B7">
          <w:rPr>
            <w:noProof/>
            <w:webHidden/>
          </w:rPr>
          <w:fldChar w:fldCharType="end"/>
        </w:r>
      </w:hyperlink>
    </w:p>
    <w:p w14:paraId="3A3619F7" w14:textId="198F8E39" w:rsidR="007651B7" w:rsidRDefault="00F07F9D">
      <w:pPr>
        <w:pStyle w:val="Verzeichnis2"/>
        <w:tabs>
          <w:tab w:val="left" w:pos="502"/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lang w:val="de-DE" w:eastAsia="de-DE"/>
        </w:rPr>
      </w:pPr>
      <w:hyperlink w:anchor="_Toc133330146" w:history="1">
        <w:r w:rsidR="007651B7" w:rsidRPr="00904F6F">
          <w:rPr>
            <w:rStyle w:val="Hyperlink"/>
            <w:noProof/>
          </w:rPr>
          <w:t>2.4</w:t>
        </w:r>
        <w:r w:rsidR="007651B7">
          <w:rPr>
            <w:rFonts w:eastAsiaTheme="minorEastAsia" w:cstheme="minorBidi"/>
            <w:b w:val="0"/>
            <w:bCs w:val="0"/>
            <w:smallCaps w:val="0"/>
            <w:noProof/>
            <w:lang w:val="de-DE" w:eastAsia="de-DE"/>
          </w:rPr>
          <w:tab/>
        </w:r>
        <w:r w:rsidR="007651B7" w:rsidRPr="00904F6F">
          <w:rPr>
            <w:rStyle w:val="Hyperlink"/>
            <w:noProof/>
          </w:rPr>
          <w:t>Tentative conclusions</w:t>
        </w:r>
        <w:r w:rsidR="007651B7">
          <w:rPr>
            <w:noProof/>
            <w:webHidden/>
          </w:rPr>
          <w:tab/>
        </w:r>
        <w:r w:rsidR="007651B7">
          <w:rPr>
            <w:noProof/>
            <w:webHidden/>
          </w:rPr>
          <w:fldChar w:fldCharType="begin"/>
        </w:r>
        <w:r w:rsidR="007651B7">
          <w:rPr>
            <w:noProof/>
            <w:webHidden/>
          </w:rPr>
          <w:instrText xml:space="preserve"> PAGEREF _Toc133330146 \h </w:instrText>
        </w:r>
        <w:r w:rsidR="007651B7">
          <w:rPr>
            <w:noProof/>
            <w:webHidden/>
          </w:rPr>
        </w:r>
        <w:r w:rsidR="007651B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651B7">
          <w:rPr>
            <w:noProof/>
            <w:webHidden/>
          </w:rPr>
          <w:fldChar w:fldCharType="end"/>
        </w:r>
      </w:hyperlink>
    </w:p>
    <w:p w14:paraId="1F8B3EF7" w14:textId="488EDC8A" w:rsidR="00EA6F72" w:rsidRDefault="00B5473D" w:rsidP="00053A6C">
      <w:r>
        <w:fldChar w:fldCharType="end"/>
      </w:r>
    </w:p>
    <w:p w14:paraId="33A6BD8E" w14:textId="5748E9DB" w:rsidR="00EA6F72" w:rsidRDefault="00EA6F72">
      <w:r>
        <w:br w:type="page"/>
      </w:r>
    </w:p>
    <w:p w14:paraId="69E0F1C8" w14:textId="56E785EA" w:rsidR="00501E79" w:rsidRPr="003A49FF" w:rsidRDefault="00D81D53" w:rsidP="003A49FF">
      <w:pPr>
        <w:pStyle w:val="berschrift1"/>
      </w:pPr>
      <w:bookmarkStart w:id="0" w:name="_Toc133330141"/>
      <w:r>
        <w:lastRenderedPageBreak/>
        <w:t>Blue Growth</w:t>
      </w:r>
      <w:r w:rsidR="00270FE9">
        <w:t xml:space="preserve"> – </w:t>
      </w:r>
      <w:r w:rsidR="00B3726A">
        <w:t>T</w:t>
      </w:r>
      <w:r w:rsidR="00270FE9">
        <w:t xml:space="preserve">he </w:t>
      </w:r>
      <w:r w:rsidR="00B3726A">
        <w:t xml:space="preserve">Pillar’s </w:t>
      </w:r>
      <w:r w:rsidR="00270FE9">
        <w:t>challenge</w:t>
      </w:r>
      <w:bookmarkEnd w:id="0"/>
    </w:p>
    <w:p w14:paraId="6E624557" w14:textId="506EB296" w:rsidR="0073261E" w:rsidRDefault="0059480C" w:rsidP="0007671A">
      <w:r w:rsidRPr="0059480C">
        <w:t xml:space="preserve">The </w:t>
      </w:r>
      <w:r>
        <w:t>Adriatic-Ionic Region</w:t>
      </w:r>
      <w:r w:rsidRPr="0059480C">
        <w:t xml:space="preserve"> is primarily defined by the Adriatic and Ionian Seas basin</w:t>
      </w:r>
      <w:r w:rsidR="00F7662C">
        <w:t xml:space="preserve">, </w:t>
      </w:r>
      <w:r w:rsidR="00882AA1">
        <w:t>suggesting a focus on maritime issues</w:t>
      </w:r>
      <w:r w:rsidRPr="0059480C">
        <w:t xml:space="preserve">. </w:t>
      </w:r>
      <w:r w:rsidR="00B85E48">
        <w:t xml:space="preserve">Marine and coastal areas are considered in an interconnected system also including terrestrial areas beyond </w:t>
      </w:r>
      <w:r w:rsidR="00CC02A2">
        <w:t xml:space="preserve">the coastal areas. </w:t>
      </w:r>
      <w:r w:rsidRPr="0059480C">
        <w:t>With intensified movements of goods, services and peoples owing to Croatia’s accession to the EU and with the prospect of EU accession for other countries in the Region</w:t>
      </w:r>
      <w:r w:rsidR="00CC02A2">
        <w:t xml:space="preserve"> these links become more </w:t>
      </w:r>
      <w:r w:rsidRPr="0059480C">
        <w:t xml:space="preserve">prominent. </w:t>
      </w:r>
      <w:r w:rsidR="00B007AF">
        <w:t xml:space="preserve">They do not only matter for environmental quality </w:t>
      </w:r>
      <w:r w:rsidR="00C0773E">
        <w:t xml:space="preserve">(Pillar 3) or connections in the Region (Pillar 2) but for </w:t>
      </w:r>
      <w:r w:rsidR="00ED4BF6">
        <w:t xml:space="preserve">Blue Growth issues, too. </w:t>
      </w:r>
    </w:p>
    <w:p w14:paraId="099C6199" w14:textId="4C80D1DC" w:rsidR="00ED4BF6" w:rsidRDefault="00ED4BF6" w:rsidP="0007671A">
      <w:r w:rsidRPr="0007671A">
        <w:t xml:space="preserve">Blue growth, at first glance maybe focusing on </w:t>
      </w:r>
      <w:r w:rsidR="00081286" w:rsidRPr="0007671A">
        <w:t xml:space="preserve">maritime and coastal </w:t>
      </w:r>
      <w:r w:rsidR="00270FE9" w:rsidRPr="0007671A">
        <w:t xml:space="preserve">issues only, </w:t>
      </w:r>
      <w:r w:rsidR="000750D9">
        <w:t>excluding</w:t>
      </w:r>
      <w:r w:rsidR="002767D1" w:rsidRPr="0007671A">
        <w:t xml:space="preserve"> </w:t>
      </w:r>
      <w:r w:rsidR="00C01907">
        <w:t>potential</w:t>
      </w:r>
      <w:r w:rsidR="0057332E">
        <w:t xml:space="preserve"> interest and in</w:t>
      </w:r>
      <w:r w:rsidR="00C01907">
        <w:t xml:space="preserve">volvement of </w:t>
      </w:r>
      <w:r w:rsidR="00270FE9" w:rsidRPr="0007671A">
        <w:t xml:space="preserve">the land-locked countries </w:t>
      </w:r>
      <w:r w:rsidR="0007671A" w:rsidRPr="0007671A">
        <w:t xml:space="preserve">that are part of the EUSAIR Strategy. </w:t>
      </w:r>
      <w:r w:rsidR="00CB5ADB">
        <w:t>With the inclusion of North Macedonia and San Marino, two more land-locked countries joined the Strategy</w:t>
      </w:r>
      <w:r w:rsidR="00D87F63">
        <w:t>.</w:t>
      </w:r>
      <w:r w:rsidR="00CB5ADB">
        <w:t xml:space="preserve"> </w:t>
      </w:r>
      <w:r w:rsidR="00EC468D">
        <w:t xml:space="preserve">Currently, Pillar 1 </w:t>
      </w:r>
      <w:r w:rsidR="005A3259">
        <w:t>focuses on three topics, namely:</w:t>
      </w:r>
    </w:p>
    <w:p w14:paraId="7AEAC94F" w14:textId="43B57BAE" w:rsidR="005A3259" w:rsidRDefault="0030635A" w:rsidP="005A3259">
      <w:pPr>
        <w:pStyle w:val="Listenabsatz"/>
        <w:numPr>
          <w:ilvl w:val="0"/>
          <w:numId w:val="39"/>
        </w:numPr>
      </w:pPr>
      <w:r>
        <w:t>Blue technologies</w:t>
      </w:r>
    </w:p>
    <w:p w14:paraId="26BF3227" w14:textId="40CBE9A0" w:rsidR="0030635A" w:rsidRDefault="0030635A" w:rsidP="005A3259">
      <w:pPr>
        <w:pStyle w:val="Listenabsatz"/>
        <w:numPr>
          <w:ilvl w:val="0"/>
          <w:numId w:val="39"/>
        </w:numPr>
      </w:pPr>
      <w:r>
        <w:t>Fisheries and aquaculture</w:t>
      </w:r>
    </w:p>
    <w:p w14:paraId="3215F117" w14:textId="4A6281ED" w:rsidR="0030635A" w:rsidRDefault="0030635A" w:rsidP="005A3259">
      <w:pPr>
        <w:pStyle w:val="Listenabsatz"/>
        <w:numPr>
          <w:ilvl w:val="0"/>
          <w:numId w:val="39"/>
        </w:numPr>
      </w:pPr>
      <w:r>
        <w:t>Maritime and marine governance and services</w:t>
      </w:r>
    </w:p>
    <w:p w14:paraId="0ECCFF65" w14:textId="630770A0" w:rsidR="008373A3" w:rsidRDefault="00C01907" w:rsidP="0030635A">
      <w:r>
        <w:t xml:space="preserve">This paper reflects on the focus of the three topics to </w:t>
      </w:r>
      <w:r w:rsidR="00256D3F">
        <w:t xml:space="preserve">better </w:t>
      </w:r>
      <w:r>
        <w:t>involv</w:t>
      </w:r>
      <w:r w:rsidR="00256D3F">
        <w:t>e</w:t>
      </w:r>
      <w:r>
        <w:t xml:space="preserve"> the land-locked countries</w:t>
      </w:r>
      <w:r w:rsidR="00256D3F">
        <w:t xml:space="preserve"> in Pillar 1 and the alternative</w:t>
      </w:r>
      <w:r w:rsidR="00916601">
        <w:t>s</w:t>
      </w:r>
      <w:r w:rsidR="00256D3F">
        <w:t xml:space="preserve"> that </w:t>
      </w:r>
      <w:r w:rsidR="00D54994">
        <w:t xml:space="preserve">could be thought of to </w:t>
      </w:r>
      <w:r w:rsidR="002169CC">
        <w:t xml:space="preserve">enhance overall ownership of Pillar 1 actions. </w:t>
      </w:r>
      <w:r w:rsidR="00F51089">
        <w:t>In addition, some concerns on the</w:t>
      </w:r>
      <w:r w:rsidR="00815091">
        <w:t xml:space="preserve"> TSG of Pillar 1 exist regarding the</w:t>
      </w:r>
      <w:r w:rsidR="00C1452D">
        <w:t xml:space="preserve"> current TSG members’ limited ability to cover blue technologies actions, since they </w:t>
      </w:r>
      <w:r w:rsidR="008373A3">
        <w:t xml:space="preserve">represent mainly the fisheries and aquaculture sectors. </w:t>
      </w:r>
    </w:p>
    <w:p w14:paraId="0B5E0142" w14:textId="5293E535" w:rsidR="0030635A" w:rsidRDefault="00EB5446" w:rsidP="0030635A">
      <w:r>
        <w:t xml:space="preserve">The following gives food for thought for the </w:t>
      </w:r>
      <w:r w:rsidR="0088777A">
        <w:t xml:space="preserve">TSG meeting discussion </w:t>
      </w:r>
      <w:r w:rsidR="001927E0">
        <w:t>on 09 May 2023 in Athens.</w:t>
      </w:r>
      <w:r w:rsidR="00FE6D8D">
        <w:t xml:space="preserve"> </w:t>
      </w:r>
    </w:p>
    <w:p w14:paraId="50C5BD9A" w14:textId="2F789A72" w:rsidR="00871E90" w:rsidRPr="00030A83" w:rsidRDefault="00FF24AA" w:rsidP="003A49FF">
      <w:pPr>
        <w:pStyle w:val="berschrift1"/>
      </w:pPr>
      <w:bookmarkStart w:id="1" w:name="_Toc133330142"/>
      <w:r>
        <w:t xml:space="preserve">Three </w:t>
      </w:r>
      <w:bookmarkEnd w:id="1"/>
      <w:r w:rsidR="00916601">
        <w:t>alternatives</w:t>
      </w:r>
    </w:p>
    <w:p w14:paraId="1B295E50" w14:textId="388C401A" w:rsidR="001B6323" w:rsidRDefault="002022F8" w:rsidP="001B6323">
      <w:r>
        <w:t xml:space="preserve">The following shortly outlines three </w:t>
      </w:r>
      <w:r w:rsidR="0009244B">
        <w:t>alternatives</w:t>
      </w:r>
      <w:r>
        <w:t xml:space="preserve"> for discussion</w:t>
      </w:r>
      <w:r w:rsidR="0009244B">
        <w:t xml:space="preserve"> including the pros and cons for the TSG and some general strategic reflections</w:t>
      </w:r>
      <w:r w:rsidR="00FE6D8D">
        <w:t xml:space="preserve">. </w:t>
      </w:r>
      <w:r w:rsidR="00344AEC">
        <w:t>The chapter ends with some tentative conclusions</w:t>
      </w:r>
      <w:r w:rsidR="00764A04">
        <w:t xml:space="preserve">. </w:t>
      </w:r>
      <w:r w:rsidR="00FE6D8D">
        <w:t>All TSG members are invited to reflect on the alternatives</w:t>
      </w:r>
      <w:r w:rsidR="00525419">
        <w:t xml:space="preserve"> in preparation of the TSG meeting and possible other arguments </w:t>
      </w:r>
      <w:r w:rsidR="00774B74">
        <w:t xml:space="preserve">supporting </w:t>
      </w:r>
      <w:r w:rsidR="00234A57">
        <w:t xml:space="preserve">the development of a joint TSG opinion to be suggested to the </w:t>
      </w:r>
      <w:r w:rsidR="00D44C95">
        <w:t>EUSAIR Governing Board.</w:t>
      </w:r>
      <w:r w:rsidR="009E17EF">
        <w:t xml:space="preserve"> </w:t>
      </w:r>
    </w:p>
    <w:p w14:paraId="146A92D5" w14:textId="57FADFAC" w:rsidR="00FE0ACC" w:rsidRPr="00030A83" w:rsidRDefault="00925452" w:rsidP="001B6323">
      <w:r>
        <w:t>In each section the</w:t>
      </w:r>
      <w:r w:rsidR="00FE0ACC">
        <w:t xml:space="preserve"> table provides a tentative overview of arguments for and against th</w:t>
      </w:r>
      <w:r>
        <w:t>e</w:t>
      </w:r>
      <w:r w:rsidR="00FE0ACC">
        <w:t xml:space="preserve"> </w:t>
      </w:r>
      <w:proofErr w:type="gramStart"/>
      <w:r w:rsidR="0044029A">
        <w:t>particular</w:t>
      </w:r>
      <w:r>
        <w:t xml:space="preserve"> </w:t>
      </w:r>
      <w:r w:rsidR="00CD7D9A">
        <w:t>alternative</w:t>
      </w:r>
      <w:proofErr w:type="gramEnd"/>
      <w:r>
        <w:t xml:space="preserve"> </w:t>
      </w:r>
      <w:r w:rsidR="00FE0ACC">
        <w:t xml:space="preserve">from the perspective of the Pillar 1 TSG. This is complemented with a few strategic considerations that </w:t>
      </w:r>
      <w:r w:rsidR="0044029A">
        <w:t>may</w:t>
      </w:r>
      <w:r w:rsidR="00FE0ACC">
        <w:t xml:space="preserve"> be considered for the joint position proposal to the EUSAIR Governing Board.</w:t>
      </w:r>
    </w:p>
    <w:p w14:paraId="7A28AAA5" w14:textId="0D06C36F" w:rsidR="00300082" w:rsidRDefault="0016163F" w:rsidP="003A49FF">
      <w:pPr>
        <w:pStyle w:val="berschrift2"/>
      </w:pPr>
      <w:bookmarkStart w:id="2" w:name="_Toc133330143"/>
      <w:r>
        <w:t>New Green Growth Pillar</w:t>
      </w:r>
      <w:bookmarkEnd w:id="2"/>
    </w:p>
    <w:p w14:paraId="734370E3" w14:textId="62CB46D1" w:rsidR="00F07F9D" w:rsidRDefault="0017094F" w:rsidP="0016163F">
      <w:r>
        <w:t xml:space="preserve">One option is to </w:t>
      </w:r>
      <w:r w:rsidR="0070522D">
        <w:t>set-up a new pillar on green growth.</w:t>
      </w:r>
      <w:r w:rsidR="00B52B7D">
        <w:t xml:space="preserve"> Green growth </w:t>
      </w:r>
      <w:r w:rsidR="00314FBE">
        <w:t>is on “</w:t>
      </w:r>
      <w:r w:rsidR="00314FBE" w:rsidRPr="00314FBE">
        <w:t>fostering economic growth and development, while ensuring that natural assets continue to provide the resources and environmental services on which our well-being relies</w:t>
      </w:r>
      <w:r w:rsidR="00314FBE">
        <w:t>”</w:t>
      </w:r>
      <w:r w:rsidR="003C5447">
        <w:rPr>
          <w:rStyle w:val="Funotenzeichen"/>
        </w:rPr>
        <w:footnoteReference w:id="2"/>
      </w:r>
      <w:r w:rsidR="00314FBE" w:rsidRPr="00314FBE">
        <w:t xml:space="preserve">. </w:t>
      </w:r>
      <w:r w:rsidR="008327D9">
        <w:t>It</w:t>
      </w:r>
      <w:r w:rsidR="00294BE6">
        <w:t xml:space="preserve"> matter</w:t>
      </w:r>
      <w:r w:rsidR="008327D9">
        <w:t>s</w:t>
      </w:r>
      <w:r w:rsidR="00294BE6">
        <w:t xml:space="preserve"> for both, terrestrial and coastal areas, whether located in</w:t>
      </w:r>
      <w:r w:rsidR="00A64C94">
        <w:t xml:space="preserve">land or along the sea basins. </w:t>
      </w:r>
      <w:r w:rsidR="008327D9">
        <w:t xml:space="preserve">Thus, it is a pillar that </w:t>
      </w:r>
      <w:r w:rsidR="00D00D0C">
        <w:t>is supportive to balancing involvement and ownership across EUSAIR countries.</w:t>
      </w:r>
      <w:r w:rsidR="002531A7">
        <w:t xml:space="preserve"> </w:t>
      </w:r>
      <w:r w:rsidR="00F07F9D"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3118"/>
        <w:gridCol w:w="3119"/>
      </w:tblGrid>
      <w:tr w:rsidR="00156A9F" w:rsidRPr="00030A83" w14:paraId="1BD876EA" w14:textId="549A9C37" w:rsidTr="00E27A4F">
        <w:tc>
          <w:tcPr>
            <w:tcW w:w="2830" w:type="dxa"/>
            <w:shd w:val="clear" w:color="auto" w:fill="B4C6E7" w:themeFill="accent1" w:themeFillTint="66"/>
          </w:tcPr>
          <w:p w14:paraId="542E1E4D" w14:textId="22443944" w:rsidR="00156A9F" w:rsidRPr="003A49FF" w:rsidRDefault="002531A7" w:rsidP="00CB64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consider</w:t>
            </w:r>
            <w:r w:rsidR="00616898">
              <w:rPr>
                <w:b/>
                <w:bCs/>
              </w:rPr>
              <w:t xml:space="preserve"> for Pillar 1</w:t>
            </w:r>
            <w:r w:rsidR="0041665E">
              <w:rPr>
                <w:b/>
                <w:bCs/>
              </w:rPr>
              <w:t xml:space="preserve"> TSG </w:t>
            </w:r>
            <w:r>
              <w:rPr>
                <w:b/>
                <w:bCs/>
              </w:rPr>
              <w:t>…</w:t>
            </w:r>
            <w:r w:rsidR="00156A9F" w:rsidRPr="003A49F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084D62EB" w14:textId="4623015C" w:rsidR="00156A9F" w:rsidRPr="002A2ECE" w:rsidRDefault="002A2ECE" w:rsidP="00BF32C0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PRO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4A67CE62" w14:textId="17DD0FB9" w:rsidR="00156A9F" w:rsidRPr="002A2ECE" w:rsidRDefault="002A2ECE" w:rsidP="00BF32C0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CON</w:t>
            </w:r>
          </w:p>
        </w:tc>
      </w:tr>
      <w:tr w:rsidR="00156A9F" w:rsidRPr="00030A83" w14:paraId="4E9A1620" w14:textId="6A4E4B4A" w:rsidTr="00E27A4F">
        <w:tc>
          <w:tcPr>
            <w:tcW w:w="2830" w:type="dxa"/>
            <w:shd w:val="clear" w:color="auto" w:fill="D9E2F3" w:themeFill="accent1" w:themeFillTint="33"/>
          </w:tcPr>
          <w:p w14:paraId="5A56A28F" w14:textId="5F105140" w:rsidR="00156A9F" w:rsidRPr="00030A83" w:rsidRDefault="00616898" w:rsidP="00CB6448">
            <w:r>
              <w:t xml:space="preserve">Objectives </w:t>
            </w:r>
            <w:r w:rsidR="00BD627D">
              <w:t>&amp; actions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8A72097" w14:textId="25F2FD17" w:rsidR="00156A9F" w:rsidRPr="00030A83" w:rsidRDefault="002F5BAE" w:rsidP="00CB6448">
            <w:r>
              <w:t>N</w:t>
            </w:r>
            <w:r w:rsidR="0041665E">
              <w:t xml:space="preserve">o </w:t>
            </w:r>
            <w:r>
              <w:t xml:space="preserve">immediate </w:t>
            </w:r>
            <w:r w:rsidR="0041665E">
              <w:t>implications</w:t>
            </w:r>
            <w:r w:rsidR="0042328D">
              <w:t xml:space="preserve"> </w:t>
            </w:r>
            <w:r w:rsidR="0041665E">
              <w:t>for Pillar 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8AB4A2C" w14:textId="43FDEC11" w:rsidR="00156A9F" w:rsidRPr="00030A83" w:rsidRDefault="00156A9F" w:rsidP="00CB6448"/>
        </w:tc>
      </w:tr>
      <w:tr w:rsidR="00156A9F" w:rsidRPr="00030A83" w14:paraId="5391B4B5" w14:textId="5C8349CA" w:rsidTr="00E27A4F">
        <w:tc>
          <w:tcPr>
            <w:tcW w:w="2830" w:type="dxa"/>
            <w:shd w:val="clear" w:color="auto" w:fill="D9E2F3" w:themeFill="accent1" w:themeFillTint="33"/>
          </w:tcPr>
          <w:p w14:paraId="084F983A" w14:textId="2785CCFE" w:rsidR="00156A9F" w:rsidRPr="00030A83" w:rsidRDefault="00616898" w:rsidP="00CB6448">
            <w:r>
              <w:t xml:space="preserve">Complexity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708FB14C" w14:textId="3CDDB372" w:rsidR="00156A9F" w:rsidRPr="00030A83" w:rsidRDefault="002F5BAE" w:rsidP="00CB6448">
            <w:r>
              <w:t>A separate pillar does not add complexity for Pillar 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3B2ACFD" w14:textId="77777777" w:rsidR="00156A9F" w:rsidRPr="00030A83" w:rsidRDefault="00156A9F" w:rsidP="00CB6448"/>
        </w:tc>
      </w:tr>
      <w:tr w:rsidR="00156A9F" w:rsidRPr="00030A83" w14:paraId="5F5EE418" w14:textId="71D2A06F" w:rsidTr="00E27A4F">
        <w:tc>
          <w:tcPr>
            <w:tcW w:w="2830" w:type="dxa"/>
            <w:shd w:val="clear" w:color="auto" w:fill="D9E2F3" w:themeFill="accent1" w:themeFillTint="33"/>
          </w:tcPr>
          <w:p w14:paraId="17CE6696" w14:textId="06608EEE" w:rsidR="00156A9F" w:rsidRDefault="00A40FCD" w:rsidP="00CB6448">
            <w:r>
              <w:t>Coordination across pillars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6442525F" w14:textId="77777777" w:rsidR="00156A9F" w:rsidRPr="00030A83" w:rsidRDefault="00156A9F" w:rsidP="00CB6448"/>
        </w:tc>
        <w:tc>
          <w:tcPr>
            <w:tcW w:w="3119" w:type="dxa"/>
            <w:shd w:val="clear" w:color="auto" w:fill="FBE4D5" w:themeFill="accent2" w:themeFillTint="33"/>
          </w:tcPr>
          <w:p w14:paraId="3861BE68" w14:textId="747B8000" w:rsidR="00156A9F" w:rsidRPr="00030A83" w:rsidRDefault="00037965" w:rsidP="00CB6448">
            <w:r>
              <w:t>Potentially many overlaps with Pillar 1 increasing the need for coordination</w:t>
            </w:r>
          </w:p>
        </w:tc>
      </w:tr>
      <w:tr w:rsidR="00156A9F" w:rsidRPr="00030A83" w14:paraId="19639780" w14:textId="43EF4516" w:rsidTr="00E27A4F">
        <w:tc>
          <w:tcPr>
            <w:tcW w:w="2830" w:type="dxa"/>
            <w:shd w:val="clear" w:color="auto" w:fill="D9E2F3" w:themeFill="accent1" w:themeFillTint="33"/>
          </w:tcPr>
          <w:p w14:paraId="566167E6" w14:textId="3D6BDB27" w:rsidR="00156A9F" w:rsidRDefault="00A40FCD" w:rsidP="00CB6448">
            <w:r>
              <w:t xml:space="preserve">Governance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71DBD411" w14:textId="62829738" w:rsidR="00156A9F" w:rsidRPr="00030A83" w:rsidRDefault="00781B2B" w:rsidP="00CB6448">
            <w:r>
              <w:t>No immediate effect on Pillar 1 TSG members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D3A2A9E" w14:textId="7C318012" w:rsidR="00156A9F" w:rsidRPr="00030A83" w:rsidRDefault="00781B2B" w:rsidP="00CB6448">
            <w:r>
              <w:t xml:space="preserve">Countries </w:t>
            </w:r>
            <w:r w:rsidR="00A87FD9">
              <w:t>need additional continuous TSG capacity that could negatively affect Pillar 1 capacities</w:t>
            </w:r>
          </w:p>
        </w:tc>
      </w:tr>
      <w:tr w:rsidR="00E6279D" w:rsidRPr="00030A83" w14:paraId="4E7B36D7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4AFB2D16" w14:textId="19843466" w:rsidR="00E6279D" w:rsidRDefault="00E6279D" w:rsidP="00CB6448">
            <w:r>
              <w:t>Balanced involvement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0FD8F78" w14:textId="77777777" w:rsidR="00E6279D" w:rsidRDefault="00E6279D" w:rsidP="00CB6448"/>
        </w:tc>
        <w:tc>
          <w:tcPr>
            <w:tcW w:w="3119" w:type="dxa"/>
            <w:shd w:val="clear" w:color="auto" w:fill="FBE4D5" w:themeFill="accent2" w:themeFillTint="33"/>
          </w:tcPr>
          <w:p w14:paraId="3A75A657" w14:textId="40EA6BAC" w:rsidR="00E6279D" w:rsidRDefault="00E6279D" w:rsidP="00CB6448">
            <w:r>
              <w:t xml:space="preserve">No improvement regarding the involvement of </w:t>
            </w:r>
            <w:r w:rsidR="00BF2F92">
              <w:t>land-locked countries in Pillar 1</w:t>
            </w:r>
          </w:p>
        </w:tc>
      </w:tr>
      <w:tr w:rsidR="00B7177D" w:rsidRPr="00030A83" w14:paraId="3FBC6C8A" w14:textId="671EA4B5" w:rsidTr="00D87792">
        <w:tc>
          <w:tcPr>
            <w:tcW w:w="9067" w:type="dxa"/>
            <w:gridSpan w:val="3"/>
            <w:shd w:val="clear" w:color="auto" w:fill="FFF2CC" w:themeFill="accent4" w:themeFillTint="33"/>
          </w:tcPr>
          <w:p w14:paraId="745E8795" w14:textId="33D80AB5" w:rsidR="00B7177D" w:rsidRPr="006704BC" w:rsidRDefault="00B7177D" w:rsidP="00CB6448">
            <w:pPr>
              <w:rPr>
                <w:b/>
                <w:bCs/>
              </w:rPr>
            </w:pPr>
            <w:r w:rsidRPr="006704BC">
              <w:rPr>
                <w:b/>
                <w:bCs/>
              </w:rPr>
              <w:t xml:space="preserve">From a strategic perspective this </w:t>
            </w:r>
            <w:r w:rsidR="00CD7D9A">
              <w:rPr>
                <w:b/>
                <w:bCs/>
              </w:rPr>
              <w:t>alternative</w:t>
            </w:r>
            <w:r w:rsidR="006704BC" w:rsidRPr="006704BC">
              <w:rPr>
                <w:b/>
                <w:bCs/>
              </w:rPr>
              <w:t xml:space="preserve"> also means:</w:t>
            </w:r>
          </w:p>
          <w:p w14:paraId="55F3A91F" w14:textId="120B2389" w:rsidR="006704BC" w:rsidRDefault="00EB10CC" w:rsidP="00360396">
            <w:pPr>
              <w:ind w:left="589" w:hanging="283"/>
            </w:pPr>
            <w:r>
              <w:sym w:font="Wingdings" w:char="F0F0"/>
            </w:r>
            <w:r>
              <w:t xml:space="preserve"> </w:t>
            </w:r>
            <w:r w:rsidR="00DC1D51">
              <w:t>A clear commitment to green growth is strengthened in the EUSAIR Strategy (in line with EU policy objectives)</w:t>
            </w:r>
            <w:r w:rsidR="00BF2F92">
              <w:t>.</w:t>
            </w:r>
          </w:p>
          <w:p w14:paraId="5FAE95BE" w14:textId="61230B46" w:rsidR="00DC1D51" w:rsidRDefault="00752F4C" w:rsidP="00360396">
            <w:pPr>
              <w:ind w:left="589" w:hanging="283"/>
            </w:pPr>
            <w:r>
              <w:sym w:font="Wingdings" w:char="F0F0"/>
            </w:r>
            <w:r>
              <w:t xml:space="preserve"> Setting up a new TSG now is very late in the process </w:t>
            </w:r>
            <w:r w:rsidR="00360396">
              <w:t>for the Action plan update.</w:t>
            </w:r>
          </w:p>
          <w:p w14:paraId="1DA1A473" w14:textId="40680FEA" w:rsidR="00B7177D" w:rsidRPr="00030A83" w:rsidRDefault="00360396" w:rsidP="00360396">
            <w:pPr>
              <w:ind w:left="589" w:hanging="283"/>
            </w:pPr>
            <w:r>
              <w:sym w:font="Wingdings" w:char="F0F0"/>
            </w:r>
            <w:r>
              <w:t xml:space="preserve"> There is a risk to overload the EUSAIR with too many objectives.</w:t>
            </w:r>
          </w:p>
        </w:tc>
      </w:tr>
    </w:tbl>
    <w:p w14:paraId="54DA0667" w14:textId="77777777" w:rsidR="00CB7A0C" w:rsidRDefault="00CB7A0C" w:rsidP="0016163F"/>
    <w:p w14:paraId="4D6C5EEE" w14:textId="48920F7C" w:rsidR="003E0560" w:rsidRDefault="00D87792" w:rsidP="0016163F">
      <w:r>
        <w:t xml:space="preserve">If this </w:t>
      </w:r>
      <w:r w:rsidR="00CD7D9A">
        <w:t>alternative</w:t>
      </w:r>
      <w:r>
        <w:t xml:space="preserve"> was preferred by Pillar 1 TSG members</w:t>
      </w:r>
      <w:r w:rsidR="00E720E0">
        <w:t xml:space="preserve">, this would </w:t>
      </w:r>
      <w:r w:rsidR="00CD1A7E">
        <w:t xml:space="preserve">not affect the work of Pillar 1 </w:t>
      </w:r>
      <w:r w:rsidR="00E2683D">
        <w:t>or the update of the Action Plan for this pillar.</w:t>
      </w:r>
      <w:r w:rsidR="009E0CF9">
        <w:t xml:space="preserve"> </w:t>
      </w:r>
      <w:r w:rsidR="000C175C">
        <w:t xml:space="preserve">Achieving a more balanced engagement would be ‘out-sourced’ to the strategic </w:t>
      </w:r>
      <w:r w:rsidR="00740777">
        <w:t xml:space="preserve">EUSAIR </w:t>
      </w:r>
      <w:r w:rsidR="000C175C">
        <w:t xml:space="preserve">level </w:t>
      </w:r>
      <w:r w:rsidR="00740777">
        <w:t>and the status-quo within Pillar 1 remained unchanged.</w:t>
      </w:r>
      <w:r w:rsidR="00583578">
        <w:t xml:space="preserve"> The feeling of being </w:t>
      </w:r>
      <w:r w:rsidR="00BA7E16">
        <w:t>excluded</w:t>
      </w:r>
      <w:r w:rsidR="00583578">
        <w:t xml:space="preserve"> would not be solved </w:t>
      </w:r>
      <w:r w:rsidR="00E773F0">
        <w:t xml:space="preserve">at the level of the Pillar but across Pillars, with the risk that </w:t>
      </w:r>
      <w:r w:rsidR="007B2AF3">
        <w:t>for Pillar 1 the issue may reoccur after a while.</w:t>
      </w:r>
      <w:r w:rsidR="002832ED">
        <w:t xml:space="preserve"> </w:t>
      </w:r>
    </w:p>
    <w:p w14:paraId="34F0D43C" w14:textId="63D3BFA7" w:rsidR="00DD6EB3" w:rsidRPr="0016163F" w:rsidRDefault="002832ED" w:rsidP="0016163F">
      <w:r>
        <w:t xml:space="preserve">Some </w:t>
      </w:r>
      <w:r w:rsidR="004341FC">
        <w:t>additional thoughts would have to be spent nevertheless on how to overcome the lack of ‘blue technology’ capacity in Pillar 1</w:t>
      </w:r>
      <w:r w:rsidR="0066255C">
        <w:t>.</w:t>
      </w:r>
    </w:p>
    <w:p w14:paraId="1A136769" w14:textId="7B4ACD66" w:rsidR="00B307C3" w:rsidRDefault="0016163F" w:rsidP="003A49FF">
      <w:pPr>
        <w:pStyle w:val="berschrift2"/>
      </w:pPr>
      <w:bookmarkStart w:id="3" w:name="_Toc133330144"/>
      <w:r>
        <w:t xml:space="preserve">Extending </w:t>
      </w:r>
      <w:r w:rsidR="00180D98">
        <w:t>Pillar 1: Blue &amp; Green Growth</w:t>
      </w:r>
      <w:bookmarkEnd w:id="3"/>
    </w:p>
    <w:p w14:paraId="67EB6AC3" w14:textId="2D0BD14E" w:rsidR="0017094F" w:rsidRDefault="0044029A" w:rsidP="0017094F">
      <w:proofErr w:type="gramStart"/>
      <w:r>
        <w:t>Taking into account</w:t>
      </w:r>
      <w:proofErr w:type="gramEnd"/>
      <w:r>
        <w:t xml:space="preserve"> green growth </w:t>
      </w:r>
      <w:r w:rsidR="00164A5F">
        <w:t>objectives</w:t>
      </w:r>
      <w:r w:rsidR="00E56F33">
        <w:t xml:space="preserve"> to better include land-locked countries</w:t>
      </w:r>
      <w:r w:rsidR="00995642">
        <w:t>’</w:t>
      </w:r>
      <w:r w:rsidR="00E56F33">
        <w:t xml:space="preserve"> perspectives</w:t>
      </w:r>
      <w:r w:rsidR="00164A5F">
        <w:t xml:space="preserve"> could also be done via an extension of the blue growth pillar. This </w:t>
      </w:r>
      <w:r w:rsidR="00317D56">
        <w:t>way</w:t>
      </w:r>
      <w:r w:rsidR="00995642">
        <w:t xml:space="preserve"> green </w:t>
      </w:r>
      <w:r w:rsidR="006910AC">
        <w:t xml:space="preserve">growth objectives would be explicitly added and connected to blue growth objectives. Such an approach </w:t>
      </w:r>
      <w:r w:rsidR="00315FC2">
        <w:t>overcomes territorial divisions (terrestrial – coastal – maritime)</w:t>
      </w:r>
      <w:r w:rsidR="005461A7">
        <w:t xml:space="preserve">, creates the link between </w:t>
      </w:r>
      <w:r w:rsidR="00315FC2">
        <w:t xml:space="preserve">and values </w:t>
      </w:r>
      <w:r w:rsidR="00CD370D">
        <w:t xml:space="preserve">environmentally sustainable </w:t>
      </w:r>
      <w:r w:rsidR="00FF6E78">
        <w:t xml:space="preserve">economic development </w:t>
      </w:r>
      <w:r w:rsidR="004076AB">
        <w:t>in view of</w:t>
      </w:r>
      <w:r w:rsidR="00FF6E78">
        <w:t xml:space="preserve"> the whole Region</w:t>
      </w:r>
      <w:r w:rsidR="00F6185E">
        <w:t>: The common concern of blue and green growth is “</w:t>
      </w:r>
      <w:r w:rsidR="00F6185E" w:rsidRPr="00F6185E">
        <w:t>how to sustainably manage the planet’s resources in light of global warming, resource depletion, biodiversity loss, and ecosystem collapse</w:t>
      </w:r>
      <w:r w:rsidR="002726FE">
        <w:t>”</w:t>
      </w:r>
      <w:r w:rsidR="002726FE">
        <w:rPr>
          <w:rStyle w:val="Funotenzeichen"/>
        </w:rPr>
        <w:footnoteReference w:id="3"/>
      </w:r>
      <w:r w:rsidR="00F6185E" w:rsidRPr="00F6185E">
        <w:t>.</w:t>
      </w:r>
    </w:p>
    <w:p w14:paraId="53222A57" w14:textId="0B25299F" w:rsidR="00F07F9D" w:rsidRDefault="007C7D98" w:rsidP="0017094F">
      <w:r>
        <w:t xml:space="preserve">In this case </w:t>
      </w:r>
      <w:r w:rsidR="005A0B51">
        <w:t xml:space="preserve">topic 1 of the pillar could be extended to ‘blue and green </w:t>
      </w:r>
      <w:r w:rsidR="006D4BEB">
        <w:t>growth</w:t>
      </w:r>
      <w:r w:rsidR="005A0B51">
        <w:t xml:space="preserve">’ and </w:t>
      </w:r>
      <w:r w:rsidR="006D4BEB">
        <w:t xml:space="preserve">topic 3 could be extended to </w:t>
      </w:r>
      <w:r w:rsidR="00AA215C">
        <w:t>‘</w:t>
      </w:r>
      <w:r w:rsidR="00AF2729">
        <w:t>maritime</w:t>
      </w:r>
      <w:r w:rsidR="00AA215C">
        <w:t xml:space="preserve">, </w:t>
      </w:r>
      <w:proofErr w:type="gramStart"/>
      <w:r w:rsidR="00AA215C">
        <w:t>marine</w:t>
      </w:r>
      <w:proofErr w:type="gramEnd"/>
      <w:r w:rsidR="00AA215C">
        <w:t xml:space="preserve"> and terrestrial governance and </w:t>
      </w:r>
      <w:r w:rsidR="00AF2729">
        <w:t xml:space="preserve">services’ (maritime and terrestrial spatial planning). Topic 2 would remain untouched ‘fisheries and aquaculture’. </w:t>
      </w:r>
      <w:r w:rsidR="00F07F9D"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3118"/>
        <w:gridCol w:w="3119"/>
      </w:tblGrid>
      <w:tr w:rsidR="00CD370D" w:rsidRPr="00030A83" w14:paraId="6A473AF3" w14:textId="77777777" w:rsidTr="00E27A4F">
        <w:tc>
          <w:tcPr>
            <w:tcW w:w="2830" w:type="dxa"/>
            <w:shd w:val="clear" w:color="auto" w:fill="B4C6E7" w:themeFill="accent1" w:themeFillTint="66"/>
          </w:tcPr>
          <w:p w14:paraId="05C31044" w14:textId="77777777" w:rsidR="00CD370D" w:rsidRPr="003A49FF" w:rsidRDefault="00CD370D" w:rsidP="00CB64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consider for Pillar 1 TSG …</w:t>
            </w:r>
            <w:r w:rsidRPr="003A49F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2753C08B" w14:textId="77777777" w:rsidR="00CD370D" w:rsidRPr="002A2ECE" w:rsidRDefault="00CD370D" w:rsidP="00BF32C0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PRO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530E650B" w14:textId="77777777" w:rsidR="00CD370D" w:rsidRPr="002A2ECE" w:rsidRDefault="00CD370D" w:rsidP="00BF32C0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CON</w:t>
            </w:r>
          </w:p>
        </w:tc>
      </w:tr>
      <w:tr w:rsidR="00CD370D" w:rsidRPr="00030A83" w14:paraId="1DAADA3A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49AD61F4" w14:textId="35963592" w:rsidR="00CD370D" w:rsidRPr="00030A83" w:rsidRDefault="00CD370D" w:rsidP="00CB6448">
            <w:r>
              <w:t xml:space="preserve">Objectives </w:t>
            </w:r>
            <w:r w:rsidR="00BD627D">
              <w:t>&amp; actions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B93BA24" w14:textId="0E08C8FC" w:rsidR="00CD370D" w:rsidRPr="00030A83" w:rsidRDefault="0085306D" w:rsidP="00CB6448">
            <w:r>
              <w:t xml:space="preserve">Support to the natural </w:t>
            </w:r>
            <w:r w:rsidR="00595CC2">
              <w:t>relation</w:t>
            </w:r>
            <w:r>
              <w:t xml:space="preserve"> between blue and green growth</w:t>
            </w:r>
            <w:r w:rsidR="003031FF">
              <w:t xml:space="preserve"> by amending some </w:t>
            </w:r>
            <w:r w:rsidR="00595CC2">
              <w:t>Pillar 1 topics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D58AB28" w14:textId="1C61C186" w:rsidR="00CD370D" w:rsidRPr="00030A83" w:rsidRDefault="00D37E99" w:rsidP="00CB6448">
            <w:r>
              <w:t xml:space="preserve">Less focused pillar with a risk to lose </w:t>
            </w:r>
            <w:r w:rsidR="00BB552A">
              <w:t>clear objectives</w:t>
            </w:r>
          </w:p>
        </w:tc>
      </w:tr>
      <w:tr w:rsidR="00CD370D" w:rsidRPr="00030A83" w14:paraId="136839B8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3E829B7E" w14:textId="4498E683" w:rsidR="00CD370D" w:rsidRPr="00030A83" w:rsidRDefault="00CD370D" w:rsidP="00CB6448">
            <w:r>
              <w:t xml:space="preserve">Complexity </w:t>
            </w:r>
            <w:r w:rsidR="00AA3449">
              <w:t>within Pillar 1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39401FF" w14:textId="25B24473" w:rsidR="00CD370D" w:rsidRPr="00030A83" w:rsidRDefault="00CD370D" w:rsidP="00CB6448"/>
        </w:tc>
        <w:tc>
          <w:tcPr>
            <w:tcW w:w="3119" w:type="dxa"/>
            <w:shd w:val="clear" w:color="auto" w:fill="FBE4D5" w:themeFill="accent2" w:themeFillTint="33"/>
          </w:tcPr>
          <w:p w14:paraId="501D6994" w14:textId="1B277793" w:rsidR="00CD370D" w:rsidRPr="00030A83" w:rsidRDefault="00200BB5" w:rsidP="00CB6448">
            <w:r>
              <w:t>Increasing complexity</w:t>
            </w:r>
            <w:r w:rsidR="00231B87">
              <w:t xml:space="preserve"> of objectives</w:t>
            </w:r>
            <w:r w:rsidR="00B4192C">
              <w:t>,</w:t>
            </w:r>
            <w:r w:rsidR="00231B87">
              <w:t xml:space="preserve"> actions </w:t>
            </w:r>
            <w:r w:rsidR="00B4192C">
              <w:t xml:space="preserve">and </w:t>
            </w:r>
            <w:r w:rsidR="00E570CE">
              <w:t xml:space="preserve">involved team </w:t>
            </w:r>
            <w:r w:rsidR="00231B87">
              <w:t xml:space="preserve">may increase Pillar 1 coordination and may hamper </w:t>
            </w:r>
            <w:r w:rsidR="008C1B92">
              <w:t>clarity of responsibilities, tasks etc.</w:t>
            </w:r>
          </w:p>
        </w:tc>
      </w:tr>
      <w:tr w:rsidR="00CD370D" w:rsidRPr="00030A83" w14:paraId="53264FD0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207B115A" w14:textId="77777777" w:rsidR="00CD370D" w:rsidRDefault="00CD370D" w:rsidP="00CB6448">
            <w:r>
              <w:t>Coordination across pillars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C556471" w14:textId="062718DB" w:rsidR="00CD370D" w:rsidRPr="00030A83" w:rsidRDefault="007060FF" w:rsidP="00CB6448">
            <w:r>
              <w:t xml:space="preserve">With a clear division of </w:t>
            </w:r>
            <w:r w:rsidR="008E2791">
              <w:t>objectives, no overlaps between Pillars 1 and 3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2FB061C" w14:textId="5127E507" w:rsidR="00CD370D" w:rsidRPr="00030A83" w:rsidRDefault="00CD370D" w:rsidP="00CB6448"/>
        </w:tc>
      </w:tr>
      <w:tr w:rsidR="00CD370D" w:rsidRPr="00030A83" w14:paraId="7695B086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7FD0D120" w14:textId="77777777" w:rsidR="00CD370D" w:rsidRDefault="00CD370D" w:rsidP="00CB6448">
            <w:r>
              <w:t xml:space="preserve">Governance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8F3AE6A" w14:textId="6336C82C" w:rsidR="00CD370D" w:rsidRPr="00030A83" w:rsidRDefault="009F04C3" w:rsidP="00CB6448">
            <w:r>
              <w:t xml:space="preserve">Additional </w:t>
            </w:r>
            <w:r w:rsidR="00C8685D">
              <w:t>representatives in the TSG could help overcome the lack of ‘blue technology’ competence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776E0AB" w14:textId="1EED7F67" w:rsidR="00CD370D" w:rsidRPr="00030A83" w:rsidRDefault="0041730B" w:rsidP="00CB6448">
            <w:r>
              <w:t xml:space="preserve">Necessary to add people to Pillar 1 </w:t>
            </w:r>
            <w:r w:rsidR="004925AE">
              <w:t>to cover the additional themes</w:t>
            </w:r>
          </w:p>
        </w:tc>
      </w:tr>
      <w:tr w:rsidR="00CD370D" w:rsidRPr="00030A83" w14:paraId="21F2695F" w14:textId="77777777" w:rsidTr="00E27A4F">
        <w:tc>
          <w:tcPr>
            <w:tcW w:w="2830" w:type="dxa"/>
            <w:shd w:val="clear" w:color="auto" w:fill="D9E2F3" w:themeFill="accent1" w:themeFillTint="33"/>
          </w:tcPr>
          <w:p w14:paraId="67A1EB8E" w14:textId="77777777" w:rsidR="00CD370D" w:rsidRDefault="00CD370D" w:rsidP="00CB6448">
            <w:r>
              <w:t>Balanced involvement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9D68F8F" w14:textId="4E568D9B" w:rsidR="00CD370D" w:rsidRDefault="00411E65" w:rsidP="00CB6448">
            <w:r>
              <w:t xml:space="preserve">More balanced consideration of all countries’ </w:t>
            </w:r>
            <w:r w:rsidR="00E27A4F">
              <w:t>interests / perspectives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74E4D25" w14:textId="3D04B727" w:rsidR="00CD370D" w:rsidRDefault="00CD370D" w:rsidP="00CB6448"/>
        </w:tc>
      </w:tr>
      <w:tr w:rsidR="00CD370D" w:rsidRPr="00030A83" w14:paraId="6E521593" w14:textId="77777777" w:rsidTr="00CB6448">
        <w:tc>
          <w:tcPr>
            <w:tcW w:w="9067" w:type="dxa"/>
            <w:gridSpan w:val="3"/>
            <w:shd w:val="clear" w:color="auto" w:fill="FFF2CC" w:themeFill="accent4" w:themeFillTint="33"/>
          </w:tcPr>
          <w:p w14:paraId="6BC12EAF" w14:textId="185E087B" w:rsidR="00CD370D" w:rsidRPr="006704BC" w:rsidRDefault="00CD370D" w:rsidP="00CB6448">
            <w:pPr>
              <w:rPr>
                <w:b/>
                <w:bCs/>
              </w:rPr>
            </w:pPr>
            <w:r w:rsidRPr="006704BC">
              <w:rPr>
                <w:b/>
                <w:bCs/>
              </w:rPr>
              <w:t xml:space="preserve">From a strategic perspective this </w:t>
            </w:r>
            <w:r w:rsidR="00207EFF">
              <w:rPr>
                <w:b/>
                <w:bCs/>
              </w:rPr>
              <w:t>alternative</w:t>
            </w:r>
            <w:r w:rsidR="00207EFF" w:rsidRPr="006704BC">
              <w:rPr>
                <w:b/>
                <w:bCs/>
              </w:rPr>
              <w:t xml:space="preserve"> </w:t>
            </w:r>
            <w:r w:rsidRPr="006704BC">
              <w:rPr>
                <w:b/>
                <w:bCs/>
              </w:rPr>
              <w:t>also means:</w:t>
            </w:r>
          </w:p>
          <w:p w14:paraId="6D28F339" w14:textId="336063AB" w:rsidR="00CD370D" w:rsidRDefault="00CD370D" w:rsidP="00CB6448">
            <w:pPr>
              <w:ind w:left="589" w:hanging="283"/>
            </w:pPr>
            <w:r>
              <w:sym w:font="Wingdings" w:char="F0F0"/>
            </w:r>
            <w:r w:rsidR="00E570CE">
              <w:t xml:space="preserve"> A clear commitment to green growth is strengthened in the EUSAIR Strategy (in line with EU policy objectives)</w:t>
            </w:r>
            <w:r>
              <w:t>.</w:t>
            </w:r>
          </w:p>
          <w:p w14:paraId="5707B117" w14:textId="32A3836B" w:rsidR="00CD370D" w:rsidRDefault="00CD370D" w:rsidP="00CB6448">
            <w:pPr>
              <w:ind w:left="589" w:hanging="283"/>
            </w:pPr>
            <w:r>
              <w:sym w:font="Wingdings" w:char="F0F0"/>
            </w:r>
            <w:r w:rsidR="001D4A22">
              <w:t xml:space="preserve"> Changes could be more easily facilitated at strategic level than setting-up a new Pillar</w:t>
            </w:r>
            <w:r>
              <w:t>.</w:t>
            </w:r>
          </w:p>
          <w:p w14:paraId="5D21A209" w14:textId="46CB35F5" w:rsidR="00CD370D" w:rsidRPr="00030A83" w:rsidRDefault="00CD370D" w:rsidP="00CB6448">
            <w:pPr>
              <w:ind w:left="589" w:hanging="283"/>
            </w:pPr>
            <w:r>
              <w:sym w:font="Wingdings" w:char="F0F0"/>
            </w:r>
            <w:r w:rsidR="001D4A22">
              <w:t xml:space="preserve"> Overall, still more capacities and resources may be needed</w:t>
            </w:r>
            <w:r>
              <w:t>.</w:t>
            </w:r>
          </w:p>
        </w:tc>
      </w:tr>
    </w:tbl>
    <w:p w14:paraId="692D3124" w14:textId="77777777" w:rsidR="00CD370D" w:rsidRDefault="00CD370D" w:rsidP="0017094F"/>
    <w:p w14:paraId="67596513" w14:textId="0E182A16" w:rsidR="008D5363" w:rsidRDefault="008D5363" w:rsidP="0017094F">
      <w:r>
        <w:t xml:space="preserve">If this </w:t>
      </w:r>
      <w:r w:rsidR="00207EFF">
        <w:t xml:space="preserve">alternative </w:t>
      </w:r>
      <w:r>
        <w:t xml:space="preserve">was preferred by Pillar 1 TSG members, </w:t>
      </w:r>
      <w:r w:rsidR="00001DC0">
        <w:t>some</w:t>
      </w:r>
      <w:r>
        <w:t xml:space="preserve"> follow-up questions </w:t>
      </w:r>
      <w:r w:rsidR="00583642">
        <w:t xml:space="preserve">and tasks </w:t>
      </w:r>
      <w:r w:rsidR="006C39F9">
        <w:t xml:space="preserve">arise, which </w:t>
      </w:r>
      <w:r w:rsidR="00001DC0">
        <w:t>had</w:t>
      </w:r>
      <w:r w:rsidR="006C39F9">
        <w:t xml:space="preserve"> to be solved in a relatively short time t</w:t>
      </w:r>
      <w:r w:rsidR="005C2C86">
        <w:t>o ensure the timely update of the Pillar 1 action plan:</w:t>
      </w:r>
    </w:p>
    <w:p w14:paraId="77A6A1FF" w14:textId="77777777" w:rsidR="000A39CB" w:rsidRDefault="00861E94" w:rsidP="009F04C3">
      <w:pPr>
        <w:pStyle w:val="Listenabsatz"/>
        <w:numPr>
          <w:ilvl w:val="0"/>
          <w:numId w:val="39"/>
        </w:numPr>
      </w:pPr>
      <w:r>
        <w:t>Formulate green growth objectives</w:t>
      </w:r>
      <w:r w:rsidR="00C52A12">
        <w:t>, a clear Pillar 1 strategy</w:t>
      </w:r>
      <w:r w:rsidR="00DE576C">
        <w:t xml:space="preserve"> (red tape to manage the increased complexity)</w:t>
      </w:r>
      <w:r>
        <w:t xml:space="preserve"> </w:t>
      </w:r>
      <w:r w:rsidR="00583642">
        <w:t>and develop corresponding actions</w:t>
      </w:r>
      <w:r w:rsidR="00C52A12">
        <w:t xml:space="preserve">. </w:t>
      </w:r>
    </w:p>
    <w:p w14:paraId="4A894771" w14:textId="1AE9649D" w:rsidR="009F04C3" w:rsidRDefault="00CD2B07" w:rsidP="009F04C3">
      <w:pPr>
        <w:pStyle w:val="Listenabsatz"/>
        <w:numPr>
          <w:ilvl w:val="0"/>
          <w:numId w:val="39"/>
        </w:numPr>
      </w:pPr>
      <w:r>
        <w:t xml:space="preserve">Streamline blue and green growth objectives and actions in view of the countries’ needs to achieve a coherent </w:t>
      </w:r>
      <w:r w:rsidR="000617A7">
        <w:t>approach</w:t>
      </w:r>
      <w:r>
        <w:t xml:space="preserve">. </w:t>
      </w:r>
      <w:r w:rsidR="00C52A12">
        <w:t xml:space="preserve">This should be done jointly by (future) TSG members to create ownership for the then extended Pillar 1. </w:t>
      </w:r>
    </w:p>
    <w:p w14:paraId="5DF43948" w14:textId="5B6ADA4B" w:rsidR="008362E7" w:rsidRDefault="008362E7" w:rsidP="009F04C3">
      <w:pPr>
        <w:pStyle w:val="Listenabsatz"/>
        <w:numPr>
          <w:ilvl w:val="0"/>
          <w:numId w:val="39"/>
        </w:numPr>
      </w:pPr>
      <w:r>
        <w:t xml:space="preserve">Ensure </w:t>
      </w:r>
      <w:r w:rsidR="00CB51BC">
        <w:t>a clear differentiation from Pillar 3.</w:t>
      </w:r>
    </w:p>
    <w:p w14:paraId="680F5A2F" w14:textId="0A50EF2D" w:rsidR="000617A7" w:rsidRDefault="000617A7" w:rsidP="009F04C3">
      <w:pPr>
        <w:pStyle w:val="Listenabsatz"/>
        <w:numPr>
          <w:ilvl w:val="0"/>
          <w:numId w:val="39"/>
        </w:numPr>
      </w:pPr>
      <w:r>
        <w:t xml:space="preserve">What other representatives will have to be added to Pillar 1 to ensure adequate coverage of all </w:t>
      </w:r>
      <w:r w:rsidR="00333061">
        <w:t>topics beyond fisheries and aquaculture?</w:t>
      </w:r>
    </w:p>
    <w:p w14:paraId="52513DB4" w14:textId="06C5A9CA" w:rsidR="000B7BA2" w:rsidRPr="0017094F" w:rsidRDefault="00F32FA4" w:rsidP="009F04C3">
      <w:pPr>
        <w:pStyle w:val="Listenabsatz"/>
        <w:numPr>
          <w:ilvl w:val="0"/>
          <w:numId w:val="39"/>
        </w:numPr>
      </w:pPr>
      <w:r>
        <w:t>What is the best governance structure within Pillar 1 to accommodate additional people? Increasing the TSG size</w:t>
      </w:r>
      <w:r w:rsidR="00E934D3">
        <w:t xml:space="preserve"> or</w:t>
      </w:r>
      <w:r>
        <w:t xml:space="preserve"> </w:t>
      </w:r>
      <w:r w:rsidR="00E934D3">
        <w:t xml:space="preserve">setting-up </w:t>
      </w:r>
      <w:r>
        <w:t>separate TSGs</w:t>
      </w:r>
      <w:r w:rsidR="00792081">
        <w:t xml:space="preserve"> </w:t>
      </w:r>
      <w:r w:rsidR="00E934D3">
        <w:t>within the pillar?</w:t>
      </w:r>
      <w:r w:rsidR="000B7BA2">
        <w:t xml:space="preserve"> In case of the second option, how to coordinate the two TSGs</w:t>
      </w:r>
      <w:r w:rsidR="00155029">
        <w:t xml:space="preserve"> and how should they be differentiated, </w:t>
      </w:r>
      <w:proofErr w:type="gramStart"/>
      <w:r w:rsidR="00155029">
        <w:t>e.g.</w:t>
      </w:r>
      <w:proofErr w:type="gramEnd"/>
      <w:r w:rsidR="00155029">
        <w:t xml:space="preserve"> blue vs. green or by topics</w:t>
      </w:r>
      <w:r w:rsidR="0017094F">
        <w:t>?</w:t>
      </w:r>
    </w:p>
    <w:p w14:paraId="6BF29B02" w14:textId="7A1E3F98" w:rsidR="00180D98" w:rsidRDefault="00180D98" w:rsidP="00180D98">
      <w:pPr>
        <w:pStyle w:val="berschrift2"/>
      </w:pPr>
      <w:bookmarkStart w:id="4" w:name="_Toc133330145"/>
      <w:r>
        <w:t xml:space="preserve">Keep </w:t>
      </w:r>
      <w:proofErr w:type="gramStart"/>
      <w:r>
        <w:t>status quo</w:t>
      </w:r>
      <w:bookmarkEnd w:id="4"/>
      <w:proofErr w:type="gramEnd"/>
    </w:p>
    <w:p w14:paraId="621C3EC6" w14:textId="25A617DC" w:rsidR="004C5CF6" w:rsidRDefault="005D5432" w:rsidP="004C5CF6">
      <w:r>
        <w:t xml:space="preserve">The third </w:t>
      </w:r>
      <w:r w:rsidR="00B357FC">
        <w:t xml:space="preserve">principal </w:t>
      </w:r>
      <w:r>
        <w:t xml:space="preserve">alternative is to leave pillars unchanged, both the number of pillars and the structure of </w:t>
      </w:r>
      <w:r w:rsidR="00F914BA">
        <w:t>P</w:t>
      </w:r>
      <w:r>
        <w:t xml:space="preserve">illar 1. </w:t>
      </w:r>
      <w:r w:rsidR="0029707B">
        <w:t xml:space="preserve">In this case, </w:t>
      </w:r>
      <w:r w:rsidR="00432659">
        <w:t xml:space="preserve">the blue growth objective </w:t>
      </w:r>
      <w:r w:rsidR="005200DB">
        <w:t xml:space="preserve">remains at the core of EUSAIR </w:t>
      </w:r>
      <w:r w:rsidR="00741284">
        <w:t xml:space="preserve">‘sustainable economic development’ actions and ‘green’ objectives are tackled </w:t>
      </w:r>
      <w:r w:rsidR="00B357FC">
        <w:t xml:space="preserve">exclusively </w:t>
      </w:r>
      <w:proofErr w:type="gramStart"/>
      <w:r w:rsidR="00B357FC">
        <w:t>in the area of</w:t>
      </w:r>
      <w:proofErr w:type="gramEnd"/>
      <w:r w:rsidR="00B357FC">
        <w:t xml:space="preserve"> environmental protection.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3118"/>
        <w:gridCol w:w="3119"/>
      </w:tblGrid>
      <w:tr w:rsidR="00B357FC" w:rsidRPr="00030A83" w14:paraId="7E91511D" w14:textId="77777777" w:rsidTr="00CB6448">
        <w:tc>
          <w:tcPr>
            <w:tcW w:w="2830" w:type="dxa"/>
            <w:shd w:val="clear" w:color="auto" w:fill="B4C6E7" w:themeFill="accent1" w:themeFillTint="66"/>
          </w:tcPr>
          <w:p w14:paraId="76FCA495" w14:textId="77777777" w:rsidR="00B357FC" w:rsidRPr="003A49FF" w:rsidRDefault="00B357FC" w:rsidP="00CB64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consider for Pillar 1 TSG …</w:t>
            </w:r>
            <w:r w:rsidRPr="003A49F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5542D36D" w14:textId="77777777" w:rsidR="00B357FC" w:rsidRPr="002A2ECE" w:rsidRDefault="00B357FC" w:rsidP="00CB6448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PRO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7FB5DAA1" w14:textId="77777777" w:rsidR="00B357FC" w:rsidRPr="002A2ECE" w:rsidRDefault="00B357FC" w:rsidP="00CB6448">
            <w:pPr>
              <w:jc w:val="center"/>
              <w:rPr>
                <w:b/>
                <w:bCs/>
              </w:rPr>
            </w:pPr>
            <w:r w:rsidRPr="002A2ECE">
              <w:rPr>
                <w:b/>
                <w:bCs/>
              </w:rPr>
              <w:t>CON</w:t>
            </w:r>
          </w:p>
        </w:tc>
      </w:tr>
      <w:tr w:rsidR="00B357FC" w:rsidRPr="00030A83" w14:paraId="1D8B67C0" w14:textId="77777777" w:rsidTr="00CB6448">
        <w:tc>
          <w:tcPr>
            <w:tcW w:w="2830" w:type="dxa"/>
            <w:shd w:val="clear" w:color="auto" w:fill="D9E2F3" w:themeFill="accent1" w:themeFillTint="33"/>
          </w:tcPr>
          <w:p w14:paraId="27E1C4D7" w14:textId="7809C6DF" w:rsidR="00B357FC" w:rsidRPr="00030A83" w:rsidRDefault="00B357FC" w:rsidP="00CB6448">
            <w:r>
              <w:t xml:space="preserve">Objectives </w:t>
            </w:r>
            <w:r w:rsidR="00BD627D">
              <w:t>&amp; actions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B4936F6" w14:textId="69A34165" w:rsidR="00B357FC" w:rsidRPr="00030A83" w:rsidRDefault="00D932C8" w:rsidP="00CB6448">
            <w:r>
              <w:t>No immediate implications</w:t>
            </w:r>
            <w:r w:rsidR="00BD627D">
              <w:t xml:space="preserve"> for </w:t>
            </w:r>
            <w:r w:rsidR="00821193">
              <w:t xml:space="preserve">a general revision of </w:t>
            </w:r>
            <w:r w:rsidR="00BD627D">
              <w:t>Pillar 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2CE4073" w14:textId="77992BE0" w:rsidR="00B357FC" w:rsidRPr="00030A83" w:rsidRDefault="00821193" w:rsidP="00CB6448">
            <w:r>
              <w:t xml:space="preserve">Possibly still the need to </w:t>
            </w:r>
            <w:r w:rsidR="00900BA0">
              <w:t xml:space="preserve">twist ‘blue growth’ </w:t>
            </w:r>
            <w:r w:rsidR="00583679">
              <w:t>to enhance interests of land-locked countries</w:t>
            </w:r>
          </w:p>
        </w:tc>
      </w:tr>
      <w:tr w:rsidR="00B357FC" w:rsidRPr="00030A83" w14:paraId="65535DFC" w14:textId="77777777" w:rsidTr="00CB6448">
        <w:tc>
          <w:tcPr>
            <w:tcW w:w="2830" w:type="dxa"/>
            <w:shd w:val="clear" w:color="auto" w:fill="D9E2F3" w:themeFill="accent1" w:themeFillTint="33"/>
          </w:tcPr>
          <w:p w14:paraId="081800C7" w14:textId="77777777" w:rsidR="00B357FC" w:rsidRPr="00030A83" w:rsidRDefault="00B357FC" w:rsidP="00CB6448">
            <w:r>
              <w:t>Complexity within Pillar 1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BE28579" w14:textId="2278E6DA" w:rsidR="00B357FC" w:rsidRPr="00030A83" w:rsidRDefault="00583679" w:rsidP="00CB6448">
            <w:r>
              <w:t>No additional complexity</w:t>
            </w:r>
            <w:r w:rsidR="00396610">
              <w:t xml:space="preserve"> with continued current structure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C2728C1" w14:textId="70A466F5" w:rsidR="00B357FC" w:rsidRPr="00030A83" w:rsidRDefault="00B357FC" w:rsidP="00CB6448"/>
        </w:tc>
      </w:tr>
      <w:tr w:rsidR="00B357FC" w:rsidRPr="00030A83" w14:paraId="00A827DF" w14:textId="77777777" w:rsidTr="00CB6448">
        <w:tc>
          <w:tcPr>
            <w:tcW w:w="2830" w:type="dxa"/>
            <w:shd w:val="clear" w:color="auto" w:fill="D9E2F3" w:themeFill="accent1" w:themeFillTint="33"/>
          </w:tcPr>
          <w:p w14:paraId="4A497FA3" w14:textId="77777777" w:rsidR="00B357FC" w:rsidRDefault="00B357FC" w:rsidP="00CB6448">
            <w:r>
              <w:t>Coordination across pillars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0B26A0F" w14:textId="106CE2EC" w:rsidR="00B357FC" w:rsidRPr="00030A83" w:rsidRDefault="00E23A57" w:rsidP="00CB6448">
            <w:r>
              <w:t>No changes necessary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79B6CC2" w14:textId="77777777" w:rsidR="00B357FC" w:rsidRPr="00030A83" w:rsidRDefault="00B357FC" w:rsidP="00CB6448"/>
        </w:tc>
      </w:tr>
      <w:tr w:rsidR="00B357FC" w:rsidRPr="00030A83" w14:paraId="6F047ED9" w14:textId="77777777" w:rsidTr="00CB6448">
        <w:tc>
          <w:tcPr>
            <w:tcW w:w="2830" w:type="dxa"/>
            <w:shd w:val="clear" w:color="auto" w:fill="D9E2F3" w:themeFill="accent1" w:themeFillTint="33"/>
          </w:tcPr>
          <w:p w14:paraId="4E0E4956" w14:textId="77777777" w:rsidR="00B357FC" w:rsidRDefault="00B357FC" w:rsidP="00CB6448">
            <w:r>
              <w:t xml:space="preserve">Governance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5205258" w14:textId="391F20F6" w:rsidR="00B357FC" w:rsidRPr="00030A83" w:rsidRDefault="00B357FC" w:rsidP="00CB6448"/>
        </w:tc>
        <w:tc>
          <w:tcPr>
            <w:tcW w:w="3119" w:type="dxa"/>
            <w:shd w:val="clear" w:color="auto" w:fill="FBE4D5" w:themeFill="accent2" w:themeFillTint="33"/>
          </w:tcPr>
          <w:p w14:paraId="1403C0B4" w14:textId="68FAB4CD" w:rsidR="00B357FC" w:rsidRPr="00030A83" w:rsidRDefault="0018194A" w:rsidP="00CB6448">
            <w:r>
              <w:t xml:space="preserve">The current lack of ‘blue technology’ representatives </w:t>
            </w:r>
            <w:r w:rsidR="006256B1">
              <w:t>cannot be tackled in the context of a wider revision of Pillar 1</w:t>
            </w:r>
          </w:p>
        </w:tc>
      </w:tr>
      <w:tr w:rsidR="00B357FC" w:rsidRPr="00030A83" w14:paraId="78D53E47" w14:textId="77777777" w:rsidTr="00CB6448">
        <w:tc>
          <w:tcPr>
            <w:tcW w:w="2830" w:type="dxa"/>
            <w:shd w:val="clear" w:color="auto" w:fill="D9E2F3" w:themeFill="accent1" w:themeFillTint="33"/>
          </w:tcPr>
          <w:p w14:paraId="1A833349" w14:textId="77777777" w:rsidR="00B357FC" w:rsidRDefault="00B357FC" w:rsidP="00CB6448">
            <w:r>
              <w:t>Balanced involvement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6533317" w14:textId="7A405794" w:rsidR="00B357FC" w:rsidRDefault="00B357FC" w:rsidP="00CB6448"/>
        </w:tc>
        <w:tc>
          <w:tcPr>
            <w:tcW w:w="3119" w:type="dxa"/>
            <w:shd w:val="clear" w:color="auto" w:fill="FBE4D5" w:themeFill="accent2" w:themeFillTint="33"/>
          </w:tcPr>
          <w:p w14:paraId="30DBBC58" w14:textId="04FFC595" w:rsidR="00B357FC" w:rsidRDefault="00573B49" w:rsidP="00CB6448">
            <w:r>
              <w:t>Land-locked countries feel continuously excluded from some Pillar 1 activit</w:t>
            </w:r>
            <w:r w:rsidR="000750D9">
              <w:t>i</w:t>
            </w:r>
            <w:r>
              <w:t>es</w:t>
            </w:r>
          </w:p>
        </w:tc>
      </w:tr>
      <w:tr w:rsidR="00B357FC" w:rsidRPr="00030A83" w14:paraId="7A245904" w14:textId="77777777" w:rsidTr="00CB6448">
        <w:tc>
          <w:tcPr>
            <w:tcW w:w="9067" w:type="dxa"/>
            <w:gridSpan w:val="3"/>
            <w:shd w:val="clear" w:color="auto" w:fill="FFF2CC" w:themeFill="accent4" w:themeFillTint="33"/>
          </w:tcPr>
          <w:p w14:paraId="27C3207B" w14:textId="34D8DD62" w:rsidR="00B357FC" w:rsidRPr="006704BC" w:rsidRDefault="00B357FC" w:rsidP="00CB6448">
            <w:pPr>
              <w:rPr>
                <w:b/>
                <w:bCs/>
              </w:rPr>
            </w:pPr>
            <w:r w:rsidRPr="006704BC">
              <w:rPr>
                <w:b/>
                <w:bCs/>
              </w:rPr>
              <w:t xml:space="preserve">From a strategic perspective this </w:t>
            </w:r>
            <w:r w:rsidR="00207EFF">
              <w:rPr>
                <w:b/>
                <w:bCs/>
              </w:rPr>
              <w:t>alternative</w:t>
            </w:r>
            <w:r w:rsidRPr="006704BC">
              <w:rPr>
                <w:b/>
                <w:bCs/>
              </w:rPr>
              <w:t xml:space="preserve"> also means:</w:t>
            </w:r>
          </w:p>
          <w:p w14:paraId="03C1DDBD" w14:textId="650D307E" w:rsidR="00B357FC" w:rsidRDefault="00B357FC" w:rsidP="00CB6448">
            <w:pPr>
              <w:ind w:left="589" w:hanging="283"/>
            </w:pPr>
            <w:r>
              <w:sym w:font="Wingdings" w:char="F0F0"/>
            </w:r>
            <w:r w:rsidR="002007C8">
              <w:t xml:space="preserve"> </w:t>
            </w:r>
            <w:r w:rsidR="002007C8" w:rsidRPr="002007C8">
              <w:t>Green growth issues not addressed in EUSAIR</w:t>
            </w:r>
            <w:r w:rsidR="002007C8">
              <w:t xml:space="preserve"> (albeit its prominent role for EU policy objectives)</w:t>
            </w:r>
            <w:r>
              <w:t>.</w:t>
            </w:r>
          </w:p>
          <w:p w14:paraId="3F6440FA" w14:textId="3EBD2B48" w:rsidR="00B357FC" w:rsidRDefault="00B357FC" w:rsidP="00CB6448">
            <w:pPr>
              <w:ind w:left="589" w:hanging="283"/>
            </w:pPr>
            <w:r>
              <w:sym w:font="Wingdings" w:char="F0F0"/>
            </w:r>
            <w:r w:rsidR="002007C8">
              <w:t xml:space="preserve"> The thematic focus of </w:t>
            </w:r>
            <w:r w:rsidR="00E613C8">
              <w:t>EUSAIR is not blurred, which avoids being over-ambitious</w:t>
            </w:r>
            <w:r>
              <w:t>.</w:t>
            </w:r>
          </w:p>
          <w:p w14:paraId="041D7BD5" w14:textId="7EB1C028" w:rsidR="00B357FC" w:rsidRPr="00030A83" w:rsidRDefault="00B357FC" w:rsidP="00CB6448">
            <w:pPr>
              <w:ind w:left="589" w:hanging="283"/>
            </w:pPr>
            <w:r>
              <w:sym w:font="Wingdings" w:char="F0F0"/>
            </w:r>
            <w:r w:rsidR="00AF066C">
              <w:t xml:space="preserve"> </w:t>
            </w:r>
            <w:r w:rsidR="00D13DF1">
              <w:t xml:space="preserve">Across pillars, this </w:t>
            </w:r>
            <w:r w:rsidR="00207EFF">
              <w:t>alternative</w:t>
            </w:r>
            <w:r w:rsidR="00D13DF1">
              <w:t xml:space="preserve"> has the least implications</w:t>
            </w:r>
            <w:r>
              <w:t>.</w:t>
            </w:r>
          </w:p>
        </w:tc>
      </w:tr>
    </w:tbl>
    <w:p w14:paraId="7049FF4D" w14:textId="77777777" w:rsidR="004C5CF6" w:rsidRPr="004C5CF6" w:rsidRDefault="004C5CF6" w:rsidP="004C5CF6"/>
    <w:p w14:paraId="499A8F6C" w14:textId="1FBC25F3" w:rsidR="00EB0154" w:rsidRDefault="00EB0154" w:rsidP="00EB0154">
      <w:r>
        <w:t xml:space="preserve">If this </w:t>
      </w:r>
      <w:r w:rsidR="00207EFF">
        <w:t>alternative</w:t>
      </w:r>
      <w:r>
        <w:t xml:space="preserve"> was preferred by Pillar 1 TSG members, still some follow-up questions and tasks arise,</w:t>
      </w:r>
      <w:r w:rsidR="00EB3D6D">
        <w:t xml:space="preserve"> to overcome current challenges. This may be less time-consuming</w:t>
      </w:r>
      <w:r w:rsidR="00284022">
        <w:t xml:space="preserve"> than for the previous </w:t>
      </w:r>
      <w:r w:rsidR="00207EFF">
        <w:t>alternative</w:t>
      </w:r>
      <w:r w:rsidR="00EB3D6D">
        <w:t xml:space="preserve"> </w:t>
      </w:r>
      <w:r w:rsidR="00453CE4">
        <w:t xml:space="preserve">but could still be challenging for the </w:t>
      </w:r>
      <w:r>
        <w:t>timely update of the Pillar 1 action plan:</w:t>
      </w:r>
    </w:p>
    <w:p w14:paraId="36D08CDD" w14:textId="0D327143" w:rsidR="00284022" w:rsidRDefault="00453CE4" w:rsidP="00EB0154">
      <w:pPr>
        <w:pStyle w:val="Listenabsatz"/>
        <w:numPr>
          <w:ilvl w:val="0"/>
          <w:numId w:val="39"/>
        </w:numPr>
      </w:pPr>
      <w:r>
        <w:t xml:space="preserve">What could be done to better facilitate the interests and needs of </w:t>
      </w:r>
      <w:r w:rsidR="00284022">
        <w:t>the land-locked countries?</w:t>
      </w:r>
      <w:r w:rsidR="00F12F45">
        <w:t xml:space="preserve"> What are these countries needs t</w:t>
      </w:r>
      <w:r w:rsidR="0026613F">
        <w:t>hat have a twist to ‘blue growth’?</w:t>
      </w:r>
    </w:p>
    <w:p w14:paraId="497CFBF6" w14:textId="687E378F" w:rsidR="00EB0154" w:rsidRDefault="00284022" w:rsidP="00EB0154">
      <w:pPr>
        <w:pStyle w:val="Listenabsatz"/>
        <w:numPr>
          <w:ilvl w:val="0"/>
          <w:numId w:val="39"/>
        </w:numPr>
      </w:pPr>
      <w:r>
        <w:t xml:space="preserve">How could </w:t>
      </w:r>
      <w:r w:rsidR="00634BB8">
        <w:t xml:space="preserve">actions more explicitly consider ‘blue growth’ </w:t>
      </w:r>
      <w:r w:rsidR="007250CC">
        <w:t xml:space="preserve">in freshwater areas </w:t>
      </w:r>
      <w:r w:rsidR="00A80AAC">
        <w:t>or in case of ‘</w:t>
      </w:r>
      <w:r w:rsidR="007250CC">
        <w:t>blue technology</w:t>
      </w:r>
      <w:r w:rsidR="00A80AAC">
        <w:t>’ actions go</w:t>
      </w:r>
      <w:r w:rsidR="007250CC">
        <w:t xml:space="preserve"> even </w:t>
      </w:r>
      <w:r w:rsidR="00A80AAC">
        <w:t xml:space="preserve">beyond the currently perceived </w:t>
      </w:r>
      <w:r w:rsidR="007351AA">
        <w:t xml:space="preserve">territorial border between terrestrial, </w:t>
      </w:r>
      <w:proofErr w:type="gramStart"/>
      <w:r w:rsidR="007351AA">
        <w:t>coastal</w:t>
      </w:r>
      <w:proofErr w:type="gramEnd"/>
      <w:r w:rsidR="007351AA">
        <w:t xml:space="preserve"> and maritime areas?</w:t>
      </w:r>
    </w:p>
    <w:p w14:paraId="5EB23A2F" w14:textId="47C6F22A" w:rsidR="002007C8" w:rsidRDefault="0026613F" w:rsidP="00EB0154">
      <w:pPr>
        <w:pStyle w:val="Listenabsatz"/>
        <w:numPr>
          <w:ilvl w:val="0"/>
          <w:numId w:val="39"/>
        </w:numPr>
      </w:pPr>
      <w:r>
        <w:t>What other stakeholders / representatives are needed</w:t>
      </w:r>
      <w:r w:rsidR="004A070D">
        <w:t xml:space="preserve"> in Pillar 1, not least to better cover ‘blue technology’ actions</w:t>
      </w:r>
      <w:r w:rsidR="007C5211">
        <w:t>?</w:t>
      </w:r>
    </w:p>
    <w:p w14:paraId="17939380" w14:textId="26489345" w:rsidR="00907ABE" w:rsidRDefault="00344AEC" w:rsidP="003A49FF">
      <w:pPr>
        <w:pStyle w:val="berschrift2"/>
      </w:pPr>
      <w:bookmarkStart w:id="5" w:name="_Toc133330146"/>
      <w:r>
        <w:t>Tentative conclusions</w:t>
      </w:r>
      <w:bookmarkEnd w:id="5"/>
    </w:p>
    <w:p w14:paraId="1E58D6B9" w14:textId="100892CD" w:rsidR="00F3472A" w:rsidRDefault="00F3472A" w:rsidP="00F3472A">
      <w:r>
        <w:t xml:space="preserve">These outlines illustrate clearly that no </w:t>
      </w:r>
      <w:r w:rsidR="00CD7D9A">
        <w:t>alternative</w:t>
      </w:r>
      <w:r>
        <w:t xml:space="preserve"> </w:t>
      </w:r>
      <w:r w:rsidR="00B15CE0">
        <w:t xml:space="preserve">is </w:t>
      </w:r>
      <w:r w:rsidR="00344AEC">
        <w:t xml:space="preserve">superior to all others. Instead, </w:t>
      </w:r>
      <w:r w:rsidR="00D72799">
        <w:t xml:space="preserve">to </w:t>
      </w:r>
      <w:r w:rsidR="00344AEC">
        <w:t>overcom</w:t>
      </w:r>
      <w:r w:rsidR="00D72799">
        <w:t>e</w:t>
      </w:r>
      <w:r w:rsidR="00344AEC">
        <w:t xml:space="preserve"> the </w:t>
      </w:r>
      <w:r w:rsidR="00210FDE">
        <w:t>current</w:t>
      </w:r>
      <w:r w:rsidR="00D72799">
        <w:t xml:space="preserve">ly perceived </w:t>
      </w:r>
      <w:r w:rsidR="009E0CF9">
        <w:t>imbalance in Pillar 1</w:t>
      </w:r>
      <w:r w:rsidR="00C466B8">
        <w:t>, an open and honest reflection is necessary to (</w:t>
      </w:r>
      <w:proofErr w:type="spellStart"/>
      <w:r w:rsidR="00C466B8">
        <w:t>i</w:t>
      </w:r>
      <w:proofErr w:type="spellEnd"/>
      <w:r w:rsidR="00C466B8">
        <w:t>) enhance each other’s understanding</w:t>
      </w:r>
      <w:r w:rsidR="0076156B">
        <w:t xml:space="preserve">, (iii) develop a joint position </w:t>
      </w:r>
      <w:r w:rsidR="00717755">
        <w:t>towards the EUSAIR Governing Board</w:t>
      </w:r>
      <w:r w:rsidR="00C466B8">
        <w:t xml:space="preserve"> </w:t>
      </w:r>
      <w:r w:rsidR="0076156B">
        <w:t>and through this (ii) increase the ownership for joint actions</w:t>
      </w:r>
      <w:r w:rsidR="00C466B8">
        <w:t xml:space="preserve"> </w:t>
      </w:r>
      <w:r w:rsidR="00717755">
        <w:t>in Pillar 1</w:t>
      </w:r>
      <w:r w:rsidR="00491461">
        <w:t xml:space="preserve">. </w:t>
      </w:r>
    </w:p>
    <w:p w14:paraId="640684A1" w14:textId="33F48CCD" w:rsidR="003618B9" w:rsidRPr="00972FFC" w:rsidRDefault="00481E71" w:rsidP="002B0DDA">
      <w:r>
        <w:t xml:space="preserve">The TSG meeting shall facilitate the discussion towards such a joint position or at least </w:t>
      </w:r>
      <w:r w:rsidR="009E1DA4">
        <w:t xml:space="preserve">help developing joint preferences towards one or another </w:t>
      </w:r>
      <w:r w:rsidR="00CD7D9A">
        <w:t>alternative</w:t>
      </w:r>
      <w:r w:rsidR="00161B16">
        <w:t xml:space="preserve"> that </w:t>
      </w:r>
      <w:r w:rsidR="00161B16" w:rsidRPr="00972FFC">
        <w:t xml:space="preserve">offers a feasible </w:t>
      </w:r>
      <w:r w:rsidR="00972FFC" w:rsidRPr="00972FFC">
        <w:t xml:space="preserve">solution to </w:t>
      </w:r>
      <w:proofErr w:type="gramStart"/>
      <w:r w:rsidR="00972FFC" w:rsidRPr="00972FFC">
        <w:t>each and every</w:t>
      </w:r>
      <w:proofErr w:type="gramEnd"/>
      <w:r w:rsidR="00972FFC" w:rsidRPr="00972FFC">
        <w:t xml:space="preserve"> country involved in Pillar 1 of the EUSAIR</w:t>
      </w:r>
      <w:r w:rsidR="009E1DA4" w:rsidRPr="00972FFC">
        <w:t xml:space="preserve">. </w:t>
      </w:r>
    </w:p>
    <w:p w14:paraId="237A231E" w14:textId="77777777" w:rsidR="00CE3F4A" w:rsidRPr="00030A83" w:rsidRDefault="00CE3F4A" w:rsidP="002B0DDA"/>
    <w:sectPr w:rsidR="00CE3F4A" w:rsidRPr="00030A83" w:rsidSect="006C5DED">
      <w:headerReference w:type="default" r:id="rId11"/>
      <w:footerReference w:type="default" r:id="rId12"/>
      <w:pgSz w:w="11906" w:h="16838"/>
      <w:pgMar w:top="15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1F57" w14:textId="77777777" w:rsidR="00127479" w:rsidRDefault="00127479" w:rsidP="00D6797E">
      <w:pPr>
        <w:spacing w:after="0" w:line="240" w:lineRule="auto"/>
      </w:pPr>
      <w:r>
        <w:separator/>
      </w:r>
    </w:p>
  </w:endnote>
  <w:endnote w:type="continuationSeparator" w:id="0">
    <w:p w14:paraId="075D4A3E" w14:textId="77777777" w:rsidR="00127479" w:rsidRDefault="00127479" w:rsidP="00D6797E">
      <w:pPr>
        <w:spacing w:after="0" w:line="240" w:lineRule="auto"/>
      </w:pPr>
      <w:r>
        <w:continuationSeparator/>
      </w:r>
    </w:p>
  </w:endnote>
  <w:endnote w:type="continuationNotice" w:id="1">
    <w:p w14:paraId="146B487E" w14:textId="77777777" w:rsidR="00127479" w:rsidRDefault="00127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939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8D1B" w14:textId="7D36CDFE" w:rsidR="00211B87" w:rsidRDefault="00211B87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A44E8" w14:textId="77777777" w:rsidR="00211B87" w:rsidRDefault="00211B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9097" w14:textId="77777777" w:rsidR="00127479" w:rsidRDefault="00127479" w:rsidP="00D6797E">
      <w:pPr>
        <w:spacing w:after="0" w:line="240" w:lineRule="auto"/>
      </w:pPr>
      <w:r>
        <w:separator/>
      </w:r>
    </w:p>
  </w:footnote>
  <w:footnote w:type="continuationSeparator" w:id="0">
    <w:p w14:paraId="0205B7C4" w14:textId="77777777" w:rsidR="00127479" w:rsidRDefault="00127479" w:rsidP="00D6797E">
      <w:pPr>
        <w:spacing w:after="0" w:line="240" w:lineRule="auto"/>
      </w:pPr>
      <w:r>
        <w:continuationSeparator/>
      </w:r>
    </w:p>
  </w:footnote>
  <w:footnote w:type="continuationNotice" w:id="1">
    <w:p w14:paraId="0D6E7803" w14:textId="77777777" w:rsidR="00127479" w:rsidRDefault="00127479">
      <w:pPr>
        <w:spacing w:after="0" w:line="240" w:lineRule="auto"/>
      </w:pPr>
    </w:p>
  </w:footnote>
  <w:footnote w:id="2">
    <w:p w14:paraId="4DDD274C" w14:textId="62A4DC17" w:rsidR="003C5447" w:rsidRPr="003C5447" w:rsidRDefault="003C544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E97AC7">
          <w:rPr>
            <w:rStyle w:val="Hyperlink"/>
          </w:rPr>
          <w:t>https://www.oecd.org/greengrowth/</w:t>
        </w:r>
      </w:hyperlink>
      <w:r>
        <w:t xml:space="preserve"> </w:t>
      </w:r>
    </w:p>
  </w:footnote>
  <w:footnote w:id="3">
    <w:p w14:paraId="396971B5" w14:textId="4C33E336" w:rsidR="002726FE" w:rsidRPr="002726FE" w:rsidRDefault="002726FE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2726FE">
        <w:rPr>
          <w:lang w:val="de-DE"/>
        </w:rPr>
        <w:t xml:space="preserve"> </w:t>
      </w:r>
      <w:hyperlink r:id="rId2" w:history="1">
        <w:r w:rsidRPr="00E97AC7">
          <w:rPr>
            <w:rStyle w:val="Hyperlink"/>
            <w:lang w:val="de-DE"/>
          </w:rPr>
          <w:t>https://www.lowyinstitute.org/the-interpreter/explaining-green-blue-growth</w:t>
        </w:r>
      </w:hyperlink>
      <w:r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11B87" w14:paraId="4CA29A1A" w14:textId="77777777" w:rsidTr="006C5DED">
      <w:tc>
        <w:tcPr>
          <w:tcW w:w="4531" w:type="dxa"/>
        </w:tcPr>
        <w:p w14:paraId="33DD6140" w14:textId="25FA6C76" w:rsidR="00211B87" w:rsidRDefault="00211B87" w:rsidP="006C5DED">
          <w:pPr>
            <w:pStyle w:val="Kopfzeile"/>
          </w:pPr>
          <w:r w:rsidRPr="00A81216">
            <w:rPr>
              <w:rFonts w:ascii="Times New Roman" w:eastAsia="Times New Roman" w:hAnsi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131FB9B2" wp14:editId="43239870">
                <wp:extent cx="1485900" cy="657225"/>
                <wp:effectExtent l="0" t="0" r="0" b="0"/>
                <wp:docPr id="5" name="Picture 5" descr="C:\Users\smesec\AppData\Local\Temp\notes26D01A\logo_FACILITY-POINT_predlog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smesec\AppData\Local\Temp\notes26D01A\logo_FACILITY-POINT_predlog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4EE89B82" w14:textId="6C6854A8" w:rsidR="00211B87" w:rsidRDefault="00211B87" w:rsidP="006C5DED">
          <w:pPr>
            <w:pStyle w:val="Kopfzeile"/>
            <w:jc w:val="right"/>
          </w:pPr>
          <w:r w:rsidRPr="00A81216">
            <w:rPr>
              <w:rFonts w:ascii="Times New Roman" w:eastAsia="Times New Roman" w:hAnsi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79849ECC" wp14:editId="6FCCFC5B">
                <wp:extent cx="2466975" cy="790575"/>
                <wp:effectExtent l="0" t="0" r="0" b="0"/>
                <wp:docPr id="6" name="Picture 6" descr="A picture containing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Slika 3" descr="A picture containing ch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45237A" w14:textId="4EB4C534" w:rsidR="00207756" w:rsidRDefault="00211B87" w:rsidP="00207756">
    <w:pPr>
      <w:pStyle w:val="Kopfzeile"/>
      <w:jc w:val="right"/>
    </w:pPr>
    <w:r w:rsidRPr="00B655F9">
      <w:t>EUSAIR A</w:t>
    </w:r>
    <w:r>
      <w:t xml:space="preserve">ction </w:t>
    </w:r>
    <w:r w:rsidRPr="00B655F9">
      <w:t>P</w:t>
    </w:r>
    <w:r>
      <w:t>lan</w:t>
    </w:r>
    <w:r w:rsidR="00207756"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81"/>
    <w:multiLevelType w:val="multilevel"/>
    <w:tmpl w:val="C9C2BD30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877C1"/>
    <w:multiLevelType w:val="multilevel"/>
    <w:tmpl w:val="82A09538"/>
    <w:styleLink w:val="CurrentList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45004ED"/>
    <w:multiLevelType w:val="multilevel"/>
    <w:tmpl w:val="8084B0B8"/>
    <w:styleLink w:val="CurrentList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984E12"/>
    <w:multiLevelType w:val="multilevel"/>
    <w:tmpl w:val="749CE65E"/>
    <w:styleLink w:val="CurrentList21"/>
    <w:lvl w:ilvl="0">
      <w:start w:val="1"/>
      <w:numFmt w:val="decimal"/>
      <w:lvlText w:val="%1."/>
      <w:lvlJc w:val="left"/>
      <w:pPr>
        <w:ind w:left="2402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4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0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2" w:hanging="1440"/>
      </w:pPr>
      <w:rPr>
        <w:rFonts w:hint="default"/>
      </w:rPr>
    </w:lvl>
  </w:abstractNum>
  <w:abstractNum w:abstractNumId="4" w15:restartNumberingAfterBreak="0">
    <w:nsid w:val="1E6B1B4B"/>
    <w:multiLevelType w:val="multilevel"/>
    <w:tmpl w:val="99D85B0C"/>
    <w:styleLink w:val="CurrentList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C63B98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5F1F6C"/>
    <w:multiLevelType w:val="multilevel"/>
    <w:tmpl w:val="7B889D7A"/>
    <w:styleLink w:val="CurrentList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54FC"/>
    <w:multiLevelType w:val="multilevel"/>
    <w:tmpl w:val="CA6AE0F0"/>
    <w:styleLink w:val="CurrentList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4801"/>
    <w:multiLevelType w:val="multilevel"/>
    <w:tmpl w:val="000AF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77F427C"/>
    <w:multiLevelType w:val="multilevel"/>
    <w:tmpl w:val="39B8AF56"/>
    <w:styleLink w:val="CurrentList1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8D4DAF"/>
    <w:multiLevelType w:val="multilevel"/>
    <w:tmpl w:val="11DA444A"/>
    <w:styleLink w:val="CurrentList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CCC1C34"/>
    <w:multiLevelType w:val="multilevel"/>
    <w:tmpl w:val="801E6806"/>
    <w:styleLink w:val="CurrentList5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0C0E3E"/>
    <w:multiLevelType w:val="multilevel"/>
    <w:tmpl w:val="FAA052E4"/>
    <w:styleLink w:val="CurrentList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274"/>
    <w:multiLevelType w:val="multilevel"/>
    <w:tmpl w:val="54E2C2A2"/>
    <w:styleLink w:val="CurrentList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4" w15:restartNumberingAfterBreak="0">
    <w:nsid w:val="46987AAF"/>
    <w:multiLevelType w:val="multilevel"/>
    <w:tmpl w:val="D0642B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5" w15:restartNumberingAfterBreak="0">
    <w:nsid w:val="4C547367"/>
    <w:multiLevelType w:val="multilevel"/>
    <w:tmpl w:val="23DCFA60"/>
    <w:styleLink w:val="CurrentList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32134B"/>
    <w:multiLevelType w:val="multilevel"/>
    <w:tmpl w:val="9ED86F78"/>
    <w:styleLink w:val="CurrentList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C3539A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97B1E"/>
    <w:multiLevelType w:val="multilevel"/>
    <w:tmpl w:val="9ED86F78"/>
    <w:styleLink w:val="CurrentList3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6A6943"/>
    <w:multiLevelType w:val="hybridMultilevel"/>
    <w:tmpl w:val="042664BE"/>
    <w:lvl w:ilvl="0" w:tplc="6F1619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5775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6B683E"/>
    <w:multiLevelType w:val="multilevel"/>
    <w:tmpl w:val="C35A0484"/>
    <w:styleLink w:val="CurrentList17"/>
    <w:lvl w:ilvl="0">
      <w:start w:val="1"/>
      <w:numFmt w:val="decimal"/>
      <w:lvlText w:val="%1)"/>
      <w:lvlJc w:val="left"/>
      <w:pPr>
        <w:ind w:left="360" w:firstLine="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800B66"/>
    <w:multiLevelType w:val="multilevel"/>
    <w:tmpl w:val="5F800CBE"/>
    <w:styleLink w:val="CurrentList20"/>
    <w:lvl w:ilvl="0">
      <w:start w:val="1"/>
      <w:numFmt w:val="decimal"/>
      <w:lvlText w:val="%1."/>
      <w:lvlJc w:val="left"/>
      <w:pPr>
        <w:ind w:left="2402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4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6" w:hanging="25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0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2" w:hanging="1440"/>
      </w:pPr>
      <w:rPr>
        <w:rFonts w:hint="default"/>
      </w:rPr>
    </w:lvl>
  </w:abstractNum>
  <w:abstractNum w:abstractNumId="22" w15:restartNumberingAfterBreak="0">
    <w:nsid w:val="60D64459"/>
    <w:multiLevelType w:val="multilevel"/>
    <w:tmpl w:val="26DE9B0E"/>
    <w:styleLink w:val="CurrentList22"/>
    <w:lvl w:ilvl="0">
      <w:start w:val="1"/>
      <w:numFmt w:val="decimal"/>
      <w:lvlText w:val="%1."/>
      <w:lvlJc w:val="left"/>
      <w:pPr>
        <w:ind w:left="2402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4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0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2" w:hanging="1440"/>
      </w:pPr>
      <w:rPr>
        <w:rFonts w:hint="default"/>
      </w:rPr>
    </w:lvl>
  </w:abstractNum>
  <w:abstractNum w:abstractNumId="23" w15:restartNumberingAfterBreak="0">
    <w:nsid w:val="61084341"/>
    <w:multiLevelType w:val="multilevel"/>
    <w:tmpl w:val="7320E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4" w15:restartNumberingAfterBreak="0">
    <w:nsid w:val="63C95E00"/>
    <w:multiLevelType w:val="multilevel"/>
    <w:tmpl w:val="8084B0B8"/>
    <w:styleLink w:val="CurrentList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070E6"/>
    <w:multiLevelType w:val="multilevel"/>
    <w:tmpl w:val="68DC19EE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C4A3E"/>
    <w:multiLevelType w:val="multilevel"/>
    <w:tmpl w:val="1CE4CBC4"/>
    <w:lvl w:ilvl="0">
      <w:start w:val="1"/>
      <w:numFmt w:val="decimal"/>
      <w:lvlText w:val="%1."/>
      <w:lvlJc w:val="left"/>
      <w:pPr>
        <w:ind w:left="2402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4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0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2" w:hanging="1440"/>
      </w:pPr>
      <w:rPr>
        <w:rFonts w:hint="default"/>
      </w:rPr>
    </w:lvl>
  </w:abstractNum>
  <w:abstractNum w:abstractNumId="27" w15:restartNumberingAfterBreak="0">
    <w:nsid w:val="673D6578"/>
    <w:multiLevelType w:val="multilevel"/>
    <w:tmpl w:val="D2302C5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9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8" w15:restartNumberingAfterBreak="0">
    <w:nsid w:val="69193F0B"/>
    <w:multiLevelType w:val="multilevel"/>
    <w:tmpl w:val="97A4D5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CDF7B54"/>
    <w:multiLevelType w:val="multilevel"/>
    <w:tmpl w:val="801E6806"/>
    <w:styleLink w:val="CurrentList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BC24DE"/>
    <w:multiLevelType w:val="multilevel"/>
    <w:tmpl w:val="1F9034E6"/>
    <w:styleLink w:val="CurrentList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6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291424">
    <w:abstractNumId w:val="25"/>
  </w:num>
  <w:num w:numId="2" w16cid:durableId="1205407427">
    <w:abstractNumId w:val="16"/>
  </w:num>
  <w:num w:numId="3" w16cid:durableId="1925337445">
    <w:abstractNumId w:val="18"/>
  </w:num>
  <w:num w:numId="4" w16cid:durableId="458498623">
    <w:abstractNumId w:val="29"/>
  </w:num>
  <w:num w:numId="5" w16cid:durableId="535889976">
    <w:abstractNumId w:val="11"/>
  </w:num>
  <w:num w:numId="6" w16cid:durableId="1983734779">
    <w:abstractNumId w:val="17"/>
  </w:num>
  <w:num w:numId="7" w16cid:durableId="1987853167">
    <w:abstractNumId w:val="23"/>
  </w:num>
  <w:num w:numId="8" w16cid:durableId="492838324">
    <w:abstractNumId w:val="12"/>
  </w:num>
  <w:num w:numId="9" w16cid:durableId="72435967">
    <w:abstractNumId w:val="1"/>
  </w:num>
  <w:num w:numId="10" w16cid:durableId="1985502094">
    <w:abstractNumId w:val="5"/>
  </w:num>
  <w:num w:numId="11" w16cid:durableId="582682920">
    <w:abstractNumId w:val="28"/>
  </w:num>
  <w:num w:numId="12" w16cid:durableId="103964519">
    <w:abstractNumId w:val="7"/>
  </w:num>
  <w:num w:numId="13" w16cid:durableId="1414274553">
    <w:abstractNumId w:val="4"/>
  </w:num>
  <w:num w:numId="14" w16cid:durableId="343092882">
    <w:abstractNumId w:val="26"/>
  </w:num>
  <w:num w:numId="15" w16cid:durableId="504832325">
    <w:abstractNumId w:val="6"/>
  </w:num>
  <w:num w:numId="16" w16cid:durableId="1342975819">
    <w:abstractNumId w:val="9"/>
  </w:num>
  <w:num w:numId="17" w16cid:durableId="803348269">
    <w:abstractNumId w:val="2"/>
  </w:num>
  <w:num w:numId="18" w16cid:durableId="1868640519">
    <w:abstractNumId w:val="24"/>
  </w:num>
  <w:num w:numId="19" w16cid:durableId="257637905">
    <w:abstractNumId w:val="15"/>
  </w:num>
  <w:num w:numId="20" w16cid:durableId="1503276473">
    <w:abstractNumId w:val="14"/>
  </w:num>
  <w:num w:numId="21" w16cid:durableId="1510294529">
    <w:abstractNumId w:val="20"/>
  </w:num>
  <w:num w:numId="22" w16cid:durableId="742720124">
    <w:abstractNumId w:val="13"/>
  </w:num>
  <w:num w:numId="23" w16cid:durableId="1010793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8127888">
    <w:abstractNumId w:val="27"/>
  </w:num>
  <w:num w:numId="25" w16cid:durableId="134374756">
    <w:abstractNumId w:val="30"/>
  </w:num>
  <w:num w:numId="26" w16cid:durableId="161892507">
    <w:abstractNumId w:val="21"/>
  </w:num>
  <w:num w:numId="27" w16cid:durableId="1506818487">
    <w:abstractNumId w:val="3"/>
  </w:num>
  <w:num w:numId="28" w16cid:durableId="1159228984">
    <w:abstractNumId w:val="22"/>
  </w:num>
  <w:num w:numId="29" w16cid:durableId="1430849815">
    <w:abstractNumId w:val="8"/>
  </w:num>
  <w:num w:numId="30" w16cid:durableId="741369671">
    <w:abstractNumId w:val="0"/>
  </w:num>
  <w:num w:numId="31" w16cid:durableId="104153097">
    <w:abstractNumId w:val="10"/>
  </w:num>
  <w:num w:numId="32" w16cid:durableId="118377287">
    <w:abstractNumId w:val="28"/>
  </w:num>
  <w:num w:numId="33" w16cid:durableId="1898780697">
    <w:abstractNumId w:val="28"/>
  </w:num>
  <w:num w:numId="34" w16cid:durableId="382603985">
    <w:abstractNumId w:val="28"/>
  </w:num>
  <w:num w:numId="35" w16cid:durableId="1955283464">
    <w:abstractNumId w:val="28"/>
  </w:num>
  <w:num w:numId="36" w16cid:durableId="1902445083">
    <w:abstractNumId w:val="28"/>
  </w:num>
  <w:num w:numId="37" w16cid:durableId="1722366088">
    <w:abstractNumId w:val="28"/>
  </w:num>
  <w:num w:numId="38" w16cid:durableId="1766878381">
    <w:abstractNumId w:val="28"/>
  </w:num>
  <w:num w:numId="39" w16cid:durableId="37396700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s7Q0MTUzMDM3NLVU0lEKTi0uzszPAykwrAUApD3UuywAAAA="/>
  </w:docVars>
  <w:rsids>
    <w:rsidRoot w:val="00D6797E"/>
    <w:rsid w:val="00000C79"/>
    <w:rsid w:val="000018A6"/>
    <w:rsid w:val="00001DC0"/>
    <w:rsid w:val="00002622"/>
    <w:rsid w:val="00004CC3"/>
    <w:rsid w:val="000162F7"/>
    <w:rsid w:val="00017CBB"/>
    <w:rsid w:val="00020CE8"/>
    <w:rsid w:val="000256F5"/>
    <w:rsid w:val="00025BD8"/>
    <w:rsid w:val="000301E8"/>
    <w:rsid w:val="00030A83"/>
    <w:rsid w:val="00032DC2"/>
    <w:rsid w:val="00037965"/>
    <w:rsid w:val="0004292F"/>
    <w:rsid w:val="00043300"/>
    <w:rsid w:val="000521B8"/>
    <w:rsid w:val="00053A6C"/>
    <w:rsid w:val="000557D7"/>
    <w:rsid w:val="000559EF"/>
    <w:rsid w:val="000617A7"/>
    <w:rsid w:val="00063C43"/>
    <w:rsid w:val="00063E21"/>
    <w:rsid w:val="00064073"/>
    <w:rsid w:val="00071D83"/>
    <w:rsid w:val="000750D9"/>
    <w:rsid w:val="0007671A"/>
    <w:rsid w:val="00076BDA"/>
    <w:rsid w:val="0007715A"/>
    <w:rsid w:val="0007786D"/>
    <w:rsid w:val="00080960"/>
    <w:rsid w:val="00080B5F"/>
    <w:rsid w:val="00081286"/>
    <w:rsid w:val="00081640"/>
    <w:rsid w:val="0009244B"/>
    <w:rsid w:val="000970A4"/>
    <w:rsid w:val="000A12ED"/>
    <w:rsid w:val="000A2314"/>
    <w:rsid w:val="000A39CB"/>
    <w:rsid w:val="000A5678"/>
    <w:rsid w:val="000B103B"/>
    <w:rsid w:val="000B2CA9"/>
    <w:rsid w:val="000B582E"/>
    <w:rsid w:val="000B7BA2"/>
    <w:rsid w:val="000C175C"/>
    <w:rsid w:val="000C6D08"/>
    <w:rsid w:val="000C75AF"/>
    <w:rsid w:val="000D6BBD"/>
    <w:rsid w:val="000E5C1C"/>
    <w:rsid w:val="000F1242"/>
    <w:rsid w:val="000F414B"/>
    <w:rsid w:val="000F7570"/>
    <w:rsid w:val="000F783F"/>
    <w:rsid w:val="000F7A3A"/>
    <w:rsid w:val="00104AB6"/>
    <w:rsid w:val="001050E0"/>
    <w:rsid w:val="00112039"/>
    <w:rsid w:val="001210A0"/>
    <w:rsid w:val="00122024"/>
    <w:rsid w:val="00125136"/>
    <w:rsid w:val="00127479"/>
    <w:rsid w:val="00131207"/>
    <w:rsid w:val="0014197B"/>
    <w:rsid w:val="0014267C"/>
    <w:rsid w:val="00150E85"/>
    <w:rsid w:val="00154A07"/>
    <w:rsid w:val="00155029"/>
    <w:rsid w:val="00156694"/>
    <w:rsid w:val="00156A9F"/>
    <w:rsid w:val="00157406"/>
    <w:rsid w:val="00157C4E"/>
    <w:rsid w:val="001610F4"/>
    <w:rsid w:val="0016163F"/>
    <w:rsid w:val="00161B16"/>
    <w:rsid w:val="00164A5F"/>
    <w:rsid w:val="0017094F"/>
    <w:rsid w:val="00172153"/>
    <w:rsid w:val="00176700"/>
    <w:rsid w:val="00177453"/>
    <w:rsid w:val="00180D98"/>
    <w:rsid w:val="0018194A"/>
    <w:rsid w:val="001827A0"/>
    <w:rsid w:val="001927E0"/>
    <w:rsid w:val="001A3E33"/>
    <w:rsid w:val="001B6323"/>
    <w:rsid w:val="001C0CDF"/>
    <w:rsid w:val="001C4F27"/>
    <w:rsid w:val="001D4A22"/>
    <w:rsid w:val="001D6234"/>
    <w:rsid w:val="001D69C9"/>
    <w:rsid w:val="001E0DB8"/>
    <w:rsid w:val="001E7982"/>
    <w:rsid w:val="001F1B96"/>
    <w:rsid w:val="001F1D2B"/>
    <w:rsid w:val="001F2150"/>
    <w:rsid w:val="001F7E36"/>
    <w:rsid w:val="002007C8"/>
    <w:rsid w:val="00200BB5"/>
    <w:rsid w:val="002022F8"/>
    <w:rsid w:val="00203F8B"/>
    <w:rsid w:val="00204BC9"/>
    <w:rsid w:val="0020641C"/>
    <w:rsid w:val="00207756"/>
    <w:rsid w:val="00207EFF"/>
    <w:rsid w:val="002105AF"/>
    <w:rsid w:val="00210FDE"/>
    <w:rsid w:val="002111EF"/>
    <w:rsid w:val="00211B87"/>
    <w:rsid w:val="00214E80"/>
    <w:rsid w:val="00215D16"/>
    <w:rsid w:val="00215E64"/>
    <w:rsid w:val="002169CC"/>
    <w:rsid w:val="00216D7E"/>
    <w:rsid w:val="00216F0B"/>
    <w:rsid w:val="00220D65"/>
    <w:rsid w:val="00221D4C"/>
    <w:rsid w:val="00221E02"/>
    <w:rsid w:val="0023185A"/>
    <w:rsid w:val="00231B87"/>
    <w:rsid w:val="00234A57"/>
    <w:rsid w:val="0023785F"/>
    <w:rsid w:val="00240C8B"/>
    <w:rsid w:val="002418AD"/>
    <w:rsid w:val="00244432"/>
    <w:rsid w:val="00247E85"/>
    <w:rsid w:val="00250CC3"/>
    <w:rsid w:val="002531A7"/>
    <w:rsid w:val="00256D3F"/>
    <w:rsid w:val="00257A0F"/>
    <w:rsid w:val="002621D3"/>
    <w:rsid w:val="002625F6"/>
    <w:rsid w:val="0026613F"/>
    <w:rsid w:val="00270FE9"/>
    <w:rsid w:val="002726FE"/>
    <w:rsid w:val="002729E8"/>
    <w:rsid w:val="00275DB1"/>
    <w:rsid w:val="002767D1"/>
    <w:rsid w:val="002832ED"/>
    <w:rsid w:val="00284022"/>
    <w:rsid w:val="0028718B"/>
    <w:rsid w:val="00290BAB"/>
    <w:rsid w:val="00293D62"/>
    <w:rsid w:val="00294BE6"/>
    <w:rsid w:val="00294ED7"/>
    <w:rsid w:val="0029707B"/>
    <w:rsid w:val="0029709C"/>
    <w:rsid w:val="002A2ECE"/>
    <w:rsid w:val="002A3CBA"/>
    <w:rsid w:val="002A560A"/>
    <w:rsid w:val="002A6A14"/>
    <w:rsid w:val="002A6B1E"/>
    <w:rsid w:val="002B0CD2"/>
    <w:rsid w:val="002B0DDA"/>
    <w:rsid w:val="002B1EA9"/>
    <w:rsid w:val="002C1A63"/>
    <w:rsid w:val="002C5865"/>
    <w:rsid w:val="002D24BC"/>
    <w:rsid w:val="002D25DF"/>
    <w:rsid w:val="002D314E"/>
    <w:rsid w:val="002E11E1"/>
    <w:rsid w:val="002E2A76"/>
    <w:rsid w:val="002E537A"/>
    <w:rsid w:val="002F5BAE"/>
    <w:rsid w:val="00300082"/>
    <w:rsid w:val="00300B2C"/>
    <w:rsid w:val="00302D3D"/>
    <w:rsid w:val="003031FF"/>
    <w:rsid w:val="0030635A"/>
    <w:rsid w:val="00314FBE"/>
    <w:rsid w:val="00315FC2"/>
    <w:rsid w:val="003171BC"/>
    <w:rsid w:val="00317D56"/>
    <w:rsid w:val="00321AB3"/>
    <w:rsid w:val="003259CE"/>
    <w:rsid w:val="00333061"/>
    <w:rsid w:val="0033512D"/>
    <w:rsid w:val="00337BAA"/>
    <w:rsid w:val="003400E6"/>
    <w:rsid w:val="00340F0B"/>
    <w:rsid w:val="00341747"/>
    <w:rsid w:val="0034345B"/>
    <w:rsid w:val="00344AEC"/>
    <w:rsid w:val="00345D22"/>
    <w:rsid w:val="00346893"/>
    <w:rsid w:val="003470D7"/>
    <w:rsid w:val="00352F52"/>
    <w:rsid w:val="00360396"/>
    <w:rsid w:val="00360687"/>
    <w:rsid w:val="003618B9"/>
    <w:rsid w:val="00363887"/>
    <w:rsid w:val="00365280"/>
    <w:rsid w:val="00367EDA"/>
    <w:rsid w:val="003706C7"/>
    <w:rsid w:val="00377B52"/>
    <w:rsid w:val="003836DB"/>
    <w:rsid w:val="00387C6A"/>
    <w:rsid w:val="00390A4E"/>
    <w:rsid w:val="00396610"/>
    <w:rsid w:val="00397A9A"/>
    <w:rsid w:val="003A49FF"/>
    <w:rsid w:val="003B082E"/>
    <w:rsid w:val="003B445C"/>
    <w:rsid w:val="003B76EE"/>
    <w:rsid w:val="003C109D"/>
    <w:rsid w:val="003C3BE6"/>
    <w:rsid w:val="003C5447"/>
    <w:rsid w:val="003C5E18"/>
    <w:rsid w:val="003C68B2"/>
    <w:rsid w:val="003D3856"/>
    <w:rsid w:val="003E0560"/>
    <w:rsid w:val="003F4215"/>
    <w:rsid w:val="003F528E"/>
    <w:rsid w:val="00400B05"/>
    <w:rsid w:val="00403946"/>
    <w:rsid w:val="00404693"/>
    <w:rsid w:val="00405056"/>
    <w:rsid w:val="004061D6"/>
    <w:rsid w:val="004076AB"/>
    <w:rsid w:val="0041199B"/>
    <w:rsid w:val="00411E65"/>
    <w:rsid w:val="00415E9A"/>
    <w:rsid w:val="0041665E"/>
    <w:rsid w:val="00417070"/>
    <w:rsid w:val="0041730B"/>
    <w:rsid w:val="00417E4D"/>
    <w:rsid w:val="00422F16"/>
    <w:rsid w:val="0042328D"/>
    <w:rsid w:val="00424A02"/>
    <w:rsid w:val="00426C9D"/>
    <w:rsid w:val="00432659"/>
    <w:rsid w:val="004327B8"/>
    <w:rsid w:val="00433696"/>
    <w:rsid w:val="0043404B"/>
    <w:rsid w:val="004341FC"/>
    <w:rsid w:val="0044029A"/>
    <w:rsid w:val="00441169"/>
    <w:rsid w:val="00441539"/>
    <w:rsid w:val="00447A91"/>
    <w:rsid w:val="00450720"/>
    <w:rsid w:val="004520F2"/>
    <w:rsid w:val="00453CE4"/>
    <w:rsid w:val="00464291"/>
    <w:rsid w:val="00474B6B"/>
    <w:rsid w:val="00475CC8"/>
    <w:rsid w:val="0047671D"/>
    <w:rsid w:val="00477B4E"/>
    <w:rsid w:val="00481E71"/>
    <w:rsid w:val="00482AC1"/>
    <w:rsid w:val="00482FEC"/>
    <w:rsid w:val="004877EB"/>
    <w:rsid w:val="00491461"/>
    <w:rsid w:val="004925AE"/>
    <w:rsid w:val="00496FFD"/>
    <w:rsid w:val="004A070D"/>
    <w:rsid w:val="004A6452"/>
    <w:rsid w:val="004A6BB2"/>
    <w:rsid w:val="004B3BB9"/>
    <w:rsid w:val="004B4D83"/>
    <w:rsid w:val="004B5030"/>
    <w:rsid w:val="004B54FC"/>
    <w:rsid w:val="004B5999"/>
    <w:rsid w:val="004B68CB"/>
    <w:rsid w:val="004C5CF6"/>
    <w:rsid w:val="004C7A2A"/>
    <w:rsid w:val="004D67DB"/>
    <w:rsid w:val="004E408C"/>
    <w:rsid w:val="004F1B32"/>
    <w:rsid w:val="004F2111"/>
    <w:rsid w:val="004F2AFA"/>
    <w:rsid w:val="004F2B61"/>
    <w:rsid w:val="00501E79"/>
    <w:rsid w:val="00504298"/>
    <w:rsid w:val="005056AD"/>
    <w:rsid w:val="00510CA8"/>
    <w:rsid w:val="00510E61"/>
    <w:rsid w:val="005200DB"/>
    <w:rsid w:val="005219D1"/>
    <w:rsid w:val="00525419"/>
    <w:rsid w:val="005261CD"/>
    <w:rsid w:val="005311F3"/>
    <w:rsid w:val="0053682B"/>
    <w:rsid w:val="0053692F"/>
    <w:rsid w:val="00540589"/>
    <w:rsid w:val="0054082B"/>
    <w:rsid w:val="00542E7F"/>
    <w:rsid w:val="0054370C"/>
    <w:rsid w:val="005461A7"/>
    <w:rsid w:val="0055074F"/>
    <w:rsid w:val="005518B2"/>
    <w:rsid w:val="0055267A"/>
    <w:rsid w:val="00566782"/>
    <w:rsid w:val="00566E0E"/>
    <w:rsid w:val="0057332E"/>
    <w:rsid w:val="00573B49"/>
    <w:rsid w:val="005766D3"/>
    <w:rsid w:val="00582E41"/>
    <w:rsid w:val="005832B0"/>
    <w:rsid w:val="00583578"/>
    <w:rsid w:val="00583642"/>
    <w:rsid w:val="00583679"/>
    <w:rsid w:val="005870D9"/>
    <w:rsid w:val="00587CAC"/>
    <w:rsid w:val="005910EC"/>
    <w:rsid w:val="00593AB1"/>
    <w:rsid w:val="0059480C"/>
    <w:rsid w:val="00594A02"/>
    <w:rsid w:val="00595388"/>
    <w:rsid w:val="00595CC2"/>
    <w:rsid w:val="005A0B51"/>
    <w:rsid w:val="005A1811"/>
    <w:rsid w:val="005A3259"/>
    <w:rsid w:val="005A6EF7"/>
    <w:rsid w:val="005C2C86"/>
    <w:rsid w:val="005D00E7"/>
    <w:rsid w:val="005D1C8C"/>
    <w:rsid w:val="005D4981"/>
    <w:rsid w:val="005D5432"/>
    <w:rsid w:val="005D627B"/>
    <w:rsid w:val="005D75A2"/>
    <w:rsid w:val="005E1D22"/>
    <w:rsid w:val="005E2F15"/>
    <w:rsid w:val="005E35D2"/>
    <w:rsid w:val="005F4273"/>
    <w:rsid w:val="005F5DFC"/>
    <w:rsid w:val="0061045B"/>
    <w:rsid w:val="00613742"/>
    <w:rsid w:val="006148DD"/>
    <w:rsid w:val="00616898"/>
    <w:rsid w:val="006171FA"/>
    <w:rsid w:val="006256B1"/>
    <w:rsid w:val="0062676D"/>
    <w:rsid w:val="006318BE"/>
    <w:rsid w:val="00633A34"/>
    <w:rsid w:val="00634BB8"/>
    <w:rsid w:val="006403A0"/>
    <w:rsid w:val="00642AA8"/>
    <w:rsid w:val="00644403"/>
    <w:rsid w:val="00645CC1"/>
    <w:rsid w:val="00656232"/>
    <w:rsid w:val="0066255C"/>
    <w:rsid w:val="00666123"/>
    <w:rsid w:val="006674B7"/>
    <w:rsid w:val="006704BC"/>
    <w:rsid w:val="006705A9"/>
    <w:rsid w:val="00675809"/>
    <w:rsid w:val="006826D0"/>
    <w:rsid w:val="00682A41"/>
    <w:rsid w:val="00684A3C"/>
    <w:rsid w:val="006910AC"/>
    <w:rsid w:val="00697A1B"/>
    <w:rsid w:val="006A4B04"/>
    <w:rsid w:val="006A57F7"/>
    <w:rsid w:val="006A5CEC"/>
    <w:rsid w:val="006A6D50"/>
    <w:rsid w:val="006A7193"/>
    <w:rsid w:val="006B2659"/>
    <w:rsid w:val="006B6192"/>
    <w:rsid w:val="006C08CD"/>
    <w:rsid w:val="006C19D3"/>
    <w:rsid w:val="006C1A95"/>
    <w:rsid w:val="006C2920"/>
    <w:rsid w:val="006C3071"/>
    <w:rsid w:val="006C39F9"/>
    <w:rsid w:val="006C5DED"/>
    <w:rsid w:val="006D0053"/>
    <w:rsid w:val="006D079D"/>
    <w:rsid w:val="006D1976"/>
    <w:rsid w:val="006D4BEB"/>
    <w:rsid w:val="006D6F99"/>
    <w:rsid w:val="006E1488"/>
    <w:rsid w:val="006E317A"/>
    <w:rsid w:val="006E3A72"/>
    <w:rsid w:val="006E7B0A"/>
    <w:rsid w:val="006F60E0"/>
    <w:rsid w:val="00704780"/>
    <w:rsid w:val="0070522D"/>
    <w:rsid w:val="007060FF"/>
    <w:rsid w:val="00706FAC"/>
    <w:rsid w:val="00717755"/>
    <w:rsid w:val="00723BA0"/>
    <w:rsid w:val="007250CC"/>
    <w:rsid w:val="007303AE"/>
    <w:rsid w:val="00731296"/>
    <w:rsid w:val="007315D2"/>
    <w:rsid w:val="0073261E"/>
    <w:rsid w:val="007351AA"/>
    <w:rsid w:val="007357C8"/>
    <w:rsid w:val="00736847"/>
    <w:rsid w:val="007372CC"/>
    <w:rsid w:val="00740777"/>
    <w:rsid w:val="00740D98"/>
    <w:rsid w:val="00741284"/>
    <w:rsid w:val="00746D66"/>
    <w:rsid w:val="00747C6C"/>
    <w:rsid w:val="007508B5"/>
    <w:rsid w:val="00752CD6"/>
    <w:rsid w:val="00752F4C"/>
    <w:rsid w:val="00757E62"/>
    <w:rsid w:val="0076156B"/>
    <w:rsid w:val="00761F7C"/>
    <w:rsid w:val="00764A04"/>
    <w:rsid w:val="007651B7"/>
    <w:rsid w:val="00774B74"/>
    <w:rsid w:val="00776E52"/>
    <w:rsid w:val="007807E3"/>
    <w:rsid w:val="00780D04"/>
    <w:rsid w:val="007810C1"/>
    <w:rsid w:val="00781B2B"/>
    <w:rsid w:val="00790860"/>
    <w:rsid w:val="00792081"/>
    <w:rsid w:val="00795075"/>
    <w:rsid w:val="007A3508"/>
    <w:rsid w:val="007A4FC5"/>
    <w:rsid w:val="007A5243"/>
    <w:rsid w:val="007B2AF3"/>
    <w:rsid w:val="007B31F8"/>
    <w:rsid w:val="007C2860"/>
    <w:rsid w:val="007C34C6"/>
    <w:rsid w:val="007C5211"/>
    <w:rsid w:val="007C7A82"/>
    <w:rsid w:val="007C7D98"/>
    <w:rsid w:val="007D489D"/>
    <w:rsid w:val="007D564F"/>
    <w:rsid w:val="007D6DD2"/>
    <w:rsid w:val="007E07CD"/>
    <w:rsid w:val="007E5464"/>
    <w:rsid w:val="007E6644"/>
    <w:rsid w:val="007E79EC"/>
    <w:rsid w:val="007E7EE9"/>
    <w:rsid w:val="00800A0D"/>
    <w:rsid w:val="008107D8"/>
    <w:rsid w:val="00811A52"/>
    <w:rsid w:val="00811C58"/>
    <w:rsid w:val="00812EF9"/>
    <w:rsid w:val="00814567"/>
    <w:rsid w:val="00815091"/>
    <w:rsid w:val="00815201"/>
    <w:rsid w:val="00816222"/>
    <w:rsid w:val="00820741"/>
    <w:rsid w:val="00820EC9"/>
    <w:rsid w:val="00821193"/>
    <w:rsid w:val="008216FA"/>
    <w:rsid w:val="00824155"/>
    <w:rsid w:val="00824C7A"/>
    <w:rsid w:val="008327D9"/>
    <w:rsid w:val="008334AE"/>
    <w:rsid w:val="008362E7"/>
    <w:rsid w:val="0083644F"/>
    <w:rsid w:val="008373A3"/>
    <w:rsid w:val="00840B0D"/>
    <w:rsid w:val="008420A9"/>
    <w:rsid w:val="00842B71"/>
    <w:rsid w:val="00843EA2"/>
    <w:rsid w:val="0085306D"/>
    <w:rsid w:val="008534FD"/>
    <w:rsid w:val="0085564A"/>
    <w:rsid w:val="00861E94"/>
    <w:rsid w:val="008629FC"/>
    <w:rsid w:val="00863643"/>
    <w:rsid w:val="008675A0"/>
    <w:rsid w:val="00871457"/>
    <w:rsid w:val="00871E90"/>
    <w:rsid w:val="00873F51"/>
    <w:rsid w:val="008743E9"/>
    <w:rsid w:val="008758F2"/>
    <w:rsid w:val="00881CE5"/>
    <w:rsid w:val="00882AA1"/>
    <w:rsid w:val="008846AC"/>
    <w:rsid w:val="0088548C"/>
    <w:rsid w:val="0088777A"/>
    <w:rsid w:val="008951FA"/>
    <w:rsid w:val="008961F9"/>
    <w:rsid w:val="008A4F7F"/>
    <w:rsid w:val="008A5397"/>
    <w:rsid w:val="008A5F7D"/>
    <w:rsid w:val="008A675B"/>
    <w:rsid w:val="008C0C10"/>
    <w:rsid w:val="008C1B92"/>
    <w:rsid w:val="008C2061"/>
    <w:rsid w:val="008C3A2F"/>
    <w:rsid w:val="008C6100"/>
    <w:rsid w:val="008C74CD"/>
    <w:rsid w:val="008C775F"/>
    <w:rsid w:val="008C7A7A"/>
    <w:rsid w:val="008D31C5"/>
    <w:rsid w:val="008D4F7C"/>
    <w:rsid w:val="008D5363"/>
    <w:rsid w:val="008D62B7"/>
    <w:rsid w:val="008E2791"/>
    <w:rsid w:val="008F1BEF"/>
    <w:rsid w:val="008F1E22"/>
    <w:rsid w:val="00900BA0"/>
    <w:rsid w:val="00901568"/>
    <w:rsid w:val="009054ED"/>
    <w:rsid w:val="00907ABE"/>
    <w:rsid w:val="00910FC0"/>
    <w:rsid w:val="00916601"/>
    <w:rsid w:val="0092060F"/>
    <w:rsid w:val="00925452"/>
    <w:rsid w:val="00937F5D"/>
    <w:rsid w:val="00951080"/>
    <w:rsid w:val="00951285"/>
    <w:rsid w:val="00961B19"/>
    <w:rsid w:val="00964650"/>
    <w:rsid w:val="009653A2"/>
    <w:rsid w:val="00965930"/>
    <w:rsid w:val="009716C8"/>
    <w:rsid w:val="00972FFC"/>
    <w:rsid w:val="00981E48"/>
    <w:rsid w:val="00986145"/>
    <w:rsid w:val="00995642"/>
    <w:rsid w:val="0099597F"/>
    <w:rsid w:val="009A171F"/>
    <w:rsid w:val="009B1D21"/>
    <w:rsid w:val="009B51B4"/>
    <w:rsid w:val="009B570F"/>
    <w:rsid w:val="009B5B89"/>
    <w:rsid w:val="009B6DA1"/>
    <w:rsid w:val="009C212A"/>
    <w:rsid w:val="009C533A"/>
    <w:rsid w:val="009C5576"/>
    <w:rsid w:val="009D063C"/>
    <w:rsid w:val="009D543E"/>
    <w:rsid w:val="009E0B45"/>
    <w:rsid w:val="009E0CF9"/>
    <w:rsid w:val="009E17EF"/>
    <w:rsid w:val="009E1DA4"/>
    <w:rsid w:val="009E3B2D"/>
    <w:rsid w:val="009E521E"/>
    <w:rsid w:val="009F04C3"/>
    <w:rsid w:val="009F353A"/>
    <w:rsid w:val="009F6800"/>
    <w:rsid w:val="009F77C4"/>
    <w:rsid w:val="009F7D57"/>
    <w:rsid w:val="00A144A0"/>
    <w:rsid w:val="00A17A03"/>
    <w:rsid w:val="00A22C4F"/>
    <w:rsid w:val="00A23CA4"/>
    <w:rsid w:val="00A37033"/>
    <w:rsid w:val="00A375A8"/>
    <w:rsid w:val="00A40FCD"/>
    <w:rsid w:val="00A4366B"/>
    <w:rsid w:val="00A44D97"/>
    <w:rsid w:val="00A5638A"/>
    <w:rsid w:val="00A570D2"/>
    <w:rsid w:val="00A64C94"/>
    <w:rsid w:val="00A65438"/>
    <w:rsid w:val="00A67450"/>
    <w:rsid w:val="00A67ABD"/>
    <w:rsid w:val="00A72AA7"/>
    <w:rsid w:val="00A72BF2"/>
    <w:rsid w:val="00A751F3"/>
    <w:rsid w:val="00A75EAB"/>
    <w:rsid w:val="00A7655A"/>
    <w:rsid w:val="00A80AAC"/>
    <w:rsid w:val="00A84265"/>
    <w:rsid w:val="00A84A4D"/>
    <w:rsid w:val="00A86D11"/>
    <w:rsid w:val="00A87CBB"/>
    <w:rsid w:val="00A87FD9"/>
    <w:rsid w:val="00A90792"/>
    <w:rsid w:val="00A91018"/>
    <w:rsid w:val="00A917BF"/>
    <w:rsid w:val="00AA13D8"/>
    <w:rsid w:val="00AA215C"/>
    <w:rsid w:val="00AA2312"/>
    <w:rsid w:val="00AA3449"/>
    <w:rsid w:val="00AA5E5A"/>
    <w:rsid w:val="00AB197A"/>
    <w:rsid w:val="00AC5F7B"/>
    <w:rsid w:val="00AC7F03"/>
    <w:rsid w:val="00AD0349"/>
    <w:rsid w:val="00AD5CED"/>
    <w:rsid w:val="00AD5F97"/>
    <w:rsid w:val="00AD6B61"/>
    <w:rsid w:val="00AD792D"/>
    <w:rsid w:val="00AE2224"/>
    <w:rsid w:val="00AE3BE2"/>
    <w:rsid w:val="00AF066C"/>
    <w:rsid w:val="00AF2729"/>
    <w:rsid w:val="00AF48B7"/>
    <w:rsid w:val="00B00093"/>
    <w:rsid w:val="00B007AF"/>
    <w:rsid w:val="00B037D9"/>
    <w:rsid w:val="00B03FBE"/>
    <w:rsid w:val="00B06659"/>
    <w:rsid w:val="00B075EC"/>
    <w:rsid w:val="00B07B37"/>
    <w:rsid w:val="00B1094C"/>
    <w:rsid w:val="00B15CE0"/>
    <w:rsid w:val="00B16D7F"/>
    <w:rsid w:val="00B2081F"/>
    <w:rsid w:val="00B221F7"/>
    <w:rsid w:val="00B22506"/>
    <w:rsid w:val="00B2251C"/>
    <w:rsid w:val="00B23DFC"/>
    <w:rsid w:val="00B307C3"/>
    <w:rsid w:val="00B357FC"/>
    <w:rsid w:val="00B3726A"/>
    <w:rsid w:val="00B4192C"/>
    <w:rsid w:val="00B41B53"/>
    <w:rsid w:val="00B473FB"/>
    <w:rsid w:val="00B502B6"/>
    <w:rsid w:val="00B5105B"/>
    <w:rsid w:val="00B52B7D"/>
    <w:rsid w:val="00B5473D"/>
    <w:rsid w:val="00B7177D"/>
    <w:rsid w:val="00B73816"/>
    <w:rsid w:val="00B74208"/>
    <w:rsid w:val="00B7708F"/>
    <w:rsid w:val="00B824B2"/>
    <w:rsid w:val="00B85574"/>
    <w:rsid w:val="00B85E48"/>
    <w:rsid w:val="00B86377"/>
    <w:rsid w:val="00B92907"/>
    <w:rsid w:val="00B92ECA"/>
    <w:rsid w:val="00B94DAF"/>
    <w:rsid w:val="00BA07DA"/>
    <w:rsid w:val="00BA0F86"/>
    <w:rsid w:val="00BA1A3E"/>
    <w:rsid w:val="00BA29C1"/>
    <w:rsid w:val="00BA35F9"/>
    <w:rsid w:val="00BA5E50"/>
    <w:rsid w:val="00BA7E16"/>
    <w:rsid w:val="00BB552A"/>
    <w:rsid w:val="00BB7625"/>
    <w:rsid w:val="00BC4047"/>
    <w:rsid w:val="00BC44DF"/>
    <w:rsid w:val="00BC643C"/>
    <w:rsid w:val="00BD2347"/>
    <w:rsid w:val="00BD627D"/>
    <w:rsid w:val="00BD6B1C"/>
    <w:rsid w:val="00BE4898"/>
    <w:rsid w:val="00BE5A99"/>
    <w:rsid w:val="00BF2F92"/>
    <w:rsid w:val="00BF32C0"/>
    <w:rsid w:val="00BF5496"/>
    <w:rsid w:val="00BF79E4"/>
    <w:rsid w:val="00C01907"/>
    <w:rsid w:val="00C0285B"/>
    <w:rsid w:val="00C04013"/>
    <w:rsid w:val="00C0773E"/>
    <w:rsid w:val="00C1452D"/>
    <w:rsid w:val="00C15801"/>
    <w:rsid w:val="00C21ADC"/>
    <w:rsid w:val="00C255CA"/>
    <w:rsid w:val="00C2627D"/>
    <w:rsid w:val="00C312EF"/>
    <w:rsid w:val="00C320BF"/>
    <w:rsid w:val="00C33583"/>
    <w:rsid w:val="00C37082"/>
    <w:rsid w:val="00C408D1"/>
    <w:rsid w:val="00C40ADA"/>
    <w:rsid w:val="00C42F90"/>
    <w:rsid w:val="00C442F5"/>
    <w:rsid w:val="00C456FB"/>
    <w:rsid w:val="00C45CA9"/>
    <w:rsid w:val="00C466B8"/>
    <w:rsid w:val="00C52A12"/>
    <w:rsid w:val="00C530F5"/>
    <w:rsid w:val="00C6115E"/>
    <w:rsid w:val="00C73705"/>
    <w:rsid w:val="00C7396F"/>
    <w:rsid w:val="00C77D01"/>
    <w:rsid w:val="00C83794"/>
    <w:rsid w:val="00C8685D"/>
    <w:rsid w:val="00C87B20"/>
    <w:rsid w:val="00C92EF1"/>
    <w:rsid w:val="00C93279"/>
    <w:rsid w:val="00C957D4"/>
    <w:rsid w:val="00CA5ACA"/>
    <w:rsid w:val="00CB51BC"/>
    <w:rsid w:val="00CB5ADB"/>
    <w:rsid w:val="00CB7A0C"/>
    <w:rsid w:val="00CC02A2"/>
    <w:rsid w:val="00CC057F"/>
    <w:rsid w:val="00CC33C6"/>
    <w:rsid w:val="00CC682D"/>
    <w:rsid w:val="00CC6869"/>
    <w:rsid w:val="00CD0636"/>
    <w:rsid w:val="00CD1A7E"/>
    <w:rsid w:val="00CD2B07"/>
    <w:rsid w:val="00CD370D"/>
    <w:rsid w:val="00CD7D9A"/>
    <w:rsid w:val="00CE3F4A"/>
    <w:rsid w:val="00CF2E23"/>
    <w:rsid w:val="00CF3DE1"/>
    <w:rsid w:val="00CF5CDA"/>
    <w:rsid w:val="00D00D0C"/>
    <w:rsid w:val="00D03DF6"/>
    <w:rsid w:val="00D04422"/>
    <w:rsid w:val="00D121C2"/>
    <w:rsid w:val="00D13DF1"/>
    <w:rsid w:val="00D1656C"/>
    <w:rsid w:val="00D177A7"/>
    <w:rsid w:val="00D25F66"/>
    <w:rsid w:val="00D315A5"/>
    <w:rsid w:val="00D37E99"/>
    <w:rsid w:val="00D44C95"/>
    <w:rsid w:val="00D4767E"/>
    <w:rsid w:val="00D50829"/>
    <w:rsid w:val="00D54994"/>
    <w:rsid w:val="00D551E6"/>
    <w:rsid w:val="00D6099B"/>
    <w:rsid w:val="00D6797E"/>
    <w:rsid w:val="00D72799"/>
    <w:rsid w:val="00D81D53"/>
    <w:rsid w:val="00D84506"/>
    <w:rsid w:val="00D85948"/>
    <w:rsid w:val="00D87792"/>
    <w:rsid w:val="00D87F63"/>
    <w:rsid w:val="00D90032"/>
    <w:rsid w:val="00D932C8"/>
    <w:rsid w:val="00D933BB"/>
    <w:rsid w:val="00D94120"/>
    <w:rsid w:val="00DA0757"/>
    <w:rsid w:val="00DA090F"/>
    <w:rsid w:val="00DA4BD0"/>
    <w:rsid w:val="00DA65C8"/>
    <w:rsid w:val="00DA7D8B"/>
    <w:rsid w:val="00DB1EF6"/>
    <w:rsid w:val="00DB40F7"/>
    <w:rsid w:val="00DB5BD0"/>
    <w:rsid w:val="00DB720C"/>
    <w:rsid w:val="00DC1A77"/>
    <w:rsid w:val="00DC1D51"/>
    <w:rsid w:val="00DD0593"/>
    <w:rsid w:val="00DD5169"/>
    <w:rsid w:val="00DD522B"/>
    <w:rsid w:val="00DD6BF8"/>
    <w:rsid w:val="00DD6EB3"/>
    <w:rsid w:val="00DE15CB"/>
    <w:rsid w:val="00DE178D"/>
    <w:rsid w:val="00DE4228"/>
    <w:rsid w:val="00DE4284"/>
    <w:rsid w:val="00DE576C"/>
    <w:rsid w:val="00DF1FCA"/>
    <w:rsid w:val="00DF64AD"/>
    <w:rsid w:val="00E01650"/>
    <w:rsid w:val="00E14403"/>
    <w:rsid w:val="00E16110"/>
    <w:rsid w:val="00E221FB"/>
    <w:rsid w:val="00E23A57"/>
    <w:rsid w:val="00E23E8A"/>
    <w:rsid w:val="00E2683D"/>
    <w:rsid w:val="00E26F0F"/>
    <w:rsid w:val="00E27A4F"/>
    <w:rsid w:val="00E32BD2"/>
    <w:rsid w:val="00E33ADF"/>
    <w:rsid w:val="00E443A0"/>
    <w:rsid w:val="00E56A4D"/>
    <w:rsid w:val="00E56F33"/>
    <w:rsid w:val="00E570CE"/>
    <w:rsid w:val="00E6111A"/>
    <w:rsid w:val="00E613C8"/>
    <w:rsid w:val="00E6279D"/>
    <w:rsid w:val="00E62884"/>
    <w:rsid w:val="00E645D5"/>
    <w:rsid w:val="00E65008"/>
    <w:rsid w:val="00E720E0"/>
    <w:rsid w:val="00E773F0"/>
    <w:rsid w:val="00E80A03"/>
    <w:rsid w:val="00E83DB8"/>
    <w:rsid w:val="00E872A6"/>
    <w:rsid w:val="00E90746"/>
    <w:rsid w:val="00E934D3"/>
    <w:rsid w:val="00E97331"/>
    <w:rsid w:val="00EA3348"/>
    <w:rsid w:val="00EA3D2D"/>
    <w:rsid w:val="00EA6F72"/>
    <w:rsid w:val="00EA74DB"/>
    <w:rsid w:val="00EB0154"/>
    <w:rsid w:val="00EB10CC"/>
    <w:rsid w:val="00EB1C00"/>
    <w:rsid w:val="00EB3D6D"/>
    <w:rsid w:val="00EB3DE1"/>
    <w:rsid w:val="00EB5446"/>
    <w:rsid w:val="00EB5EE7"/>
    <w:rsid w:val="00EB6BE7"/>
    <w:rsid w:val="00EC446D"/>
    <w:rsid w:val="00EC468D"/>
    <w:rsid w:val="00EC5C34"/>
    <w:rsid w:val="00ED0EA3"/>
    <w:rsid w:val="00ED22C4"/>
    <w:rsid w:val="00ED3E84"/>
    <w:rsid w:val="00ED4BF6"/>
    <w:rsid w:val="00ED6DA0"/>
    <w:rsid w:val="00EE232F"/>
    <w:rsid w:val="00EF1B60"/>
    <w:rsid w:val="00EF5D9B"/>
    <w:rsid w:val="00F04A9C"/>
    <w:rsid w:val="00F05C5C"/>
    <w:rsid w:val="00F07F9D"/>
    <w:rsid w:val="00F10CAC"/>
    <w:rsid w:val="00F1109A"/>
    <w:rsid w:val="00F11106"/>
    <w:rsid w:val="00F12047"/>
    <w:rsid w:val="00F12F45"/>
    <w:rsid w:val="00F14CB5"/>
    <w:rsid w:val="00F24313"/>
    <w:rsid w:val="00F27111"/>
    <w:rsid w:val="00F300BE"/>
    <w:rsid w:val="00F31092"/>
    <w:rsid w:val="00F32FA4"/>
    <w:rsid w:val="00F33A52"/>
    <w:rsid w:val="00F3472A"/>
    <w:rsid w:val="00F34895"/>
    <w:rsid w:val="00F34E19"/>
    <w:rsid w:val="00F3758D"/>
    <w:rsid w:val="00F43F7A"/>
    <w:rsid w:val="00F5039F"/>
    <w:rsid w:val="00F51089"/>
    <w:rsid w:val="00F540C1"/>
    <w:rsid w:val="00F57130"/>
    <w:rsid w:val="00F60882"/>
    <w:rsid w:val="00F6185E"/>
    <w:rsid w:val="00F66CC1"/>
    <w:rsid w:val="00F7467F"/>
    <w:rsid w:val="00F7662C"/>
    <w:rsid w:val="00F82632"/>
    <w:rsid w:val="00F914BA"/>
    <w:rsid w:val="00F91C41"/>
    <w:rsid w:val="00F94FB1"/>
    <w:rsid w:val="00FA3B66"/>
    <w:rsid w:val="00FA5F66"/>
    <w:rsid w:val="00FA627F"/>
    <w:rsid w:val="00FB01F9"/>
    <w:rsid w:val="00FB0B8A"/>
    <w:rsid w:val="00FB5ABA"/>
    <w:rsid w:val="00FB5D4D"/>
    <w:rsid w:val="00FC307D"/>
    <w:rsid w:val="00FC572C"/>
    <w:rsid w:val="00FC5A76"/>
    <w:rsid w:val="00FC6D11"/>
    <w:rsid w:val="00FC7176"/>
    <w:rsid w:val="00FD093B"/>
    <w:rsid w:val="00FE0ACC"/>
    <w:rsid w:val="00FE49BF"/>
    <w:rsid w:val="00FE6D8D"/>
    <w:rsid w:val="00FF24AA"/>
    <w:rsid w:val="00FF6BB4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22E1"/>
  <w15:docId w15:val="{86818D75-B7BC-437D-BFD5-D045DDB5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032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A49FF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49FF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08B5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00E7"/>
    <w:pPr>
      <w:keepNext/>
      <w:numPr>
        <w:ilvl w:val="3"/>
        <w:numId w:val="11"/>
      </w:numPr>
      <w:spacing w:before="240" w:after="60" w:line="276" w:lineRule="auto"/>
      <w:outlineLvl w:val="3"/>
    </w:pPr>
    <w:rPr>
      <w:rFonts w:asciiTheme="majorHAnsi" w:eastAsia="Times New Roman" w:hAnsiTheme="majorHAnsi" w:cs="Times New Roman"/>
      <w:bCs/>
      <w:color w:val="2F5496" w:themeColor="accent1" w:themeShade="BF"/>
      <w:sz w:val="24"/>
      <w:szCs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86145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D792D"/>
    <w:pPr>
      <w:numPr>
        <w:ilvl w:val="5"/>
        <w:numId w:val="11"/>
      </w:numPr>
      <w:spacing w:before="240" w:after="60" w:line="276" w:lineRule="auto"/>
      <w:outlineLvl w:val="5"/>
    </w:pPr>
    <w:rPr>
      <w:rFonts w:ascii="Calibri" w:eastAsia="Times New Roman" w:hAnsi="Calibri" w:cs="Times New Roman"/>
      <w:bCs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00E6"/>
    <w:pPr>
      <w:numPr>
        <w:ilvl w:val="6"/>
        <w:numId w:val="1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00E6"/>
    <w:pPr>
      <w:numPr>
        <w:ilvl w:val="7"/>
        <w:numId w:val="1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00E6"/>
    <w:pPr>
      <w:numPr>
        <w:ilvl w:val="8"/>
        <w:numId w:val="11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97E"/>
  </w:style>
  <w:style w:type="paragraph" w:styleId="Fuzeile">
    <w:name w:val="footer"/>
    <w:basedOn w:val="Standard"/>
    <w:link w:val="FuzeileZchn"/>
    <w:uiPriority w:val="99"/>
    <w:unhideWhenUsed/>
    <w:rsid w:val="00D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97E"/>
  </w:style>
  <w:style w:type="character" w:customStyle="1" w:styleId="berschrift1Zchn">
    <w:name w:val="Überschrift 1 Zchn"/>
    <w:basedOn w:val="Absatz-Standardschriftart"/>
    <w:link w:val="berschrift1"/>
    <w:uiPriority w:val="9"/>
    <w:rsid w:val="003A49F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49FF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32BD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508B5"/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2A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2A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2A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2A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2AA7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6C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C4F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F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F27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F7E36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98614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17A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7A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7A03"/>
    <w:rPr>
      <w:vertAlign w:val="superscript"/>
    </w:rPr>
  </w:style>
  <w:style w:type="paragraph" w:customStyle="1" w:styleId="Default">
    <w:name w:val="Default"/>
    <w:rsid w:val="00595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1E7982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8107D8"/>
    <w:rPr>
      <w:rFonts w:asciiTheme="majorHAnsi" w:eastAsia="Times New Roman" w:hAnsiTheme="majorHAnsi" w:cs="Times New Roman"/>
      <w:bCs/>
      <w:color w:val="2F5496" w:themeColor="accent1" w:themeShade="BF"/>
      <w:sz w:val="24"/>
      <w:szCs w:val="28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D792D"/>
    <w:rPr>
      <w:rFonts w:ascii="Calibri" w:eastAsia="Times New Roman" w:hAnsi="Calibri" w:cs="Times New Roman"/>
      <w:bCs/>
      <w:u w:val="single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00E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00E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00E6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B075EC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075EC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079D"/>
    <w:pPr>
      <w:spacing w:before="480" w:line="276" w:lineRule="auto"/>
      <w:outlineLvl w:val="9"/>
    </w:pPr>
    <w:rPr>
      <w:b/>
      <w:bCs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6D079D"/>
    <w:pPr>
      <w:spacing w:before="360" w:after="360"/>
    </w:pPr>
    <w:rPr>
      <w:rFonts w:cstheme="minorHAnsi"/>
      <w:b/>
      <w:bCs/>
      <w:caps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D079D"/>
    <w:pPr>
      <w:spacing w:after="0"/>
    </w:pPr>
    <w:rPr>
      <w:rFonts w:cstheme="minorHAnsi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2202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202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22024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E645D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numbering" w:customStyle="1" w:styleId="CurrentList1">
    <w:name w:val="Current List1"/>
    <w:uiPriority w:val="99"/>
    <w:rsid w:val="00824C7A"/>
    <w:pPr>
      <w:numPr>
        <w:numId w:val="1"/>
      </w:numPr>
    </w:pPr>
  </w:style>
  <w:style w:type="numbering" w:customStyle="1" w:styleId="CurrentList2">
    <w:name w:val="Current List2"/>
    <w:uiPriority w:val="99"/>
    <w:rsid w:val="00824C7A"/>
    <w:pPr>
      <w:numPr>
        <w:numId w:val="2"/>
      </w:numPr>
    </w:pPr>
  </w:style>
  <w:style w:type="numbering" w:customStyle="1" w:styleId="CurrentList3">
    <w:name w:val="Current List3"/>
    <w:uiPriority w:val="99"/>
    <w:rsid w:val="00824C7A"/>
    <w:pPr>
      <w:numPr>
        <w:numId w:val="3"/>
      </w:numPr>
    </w:pPr>
  </w:style>
  <w:style w:type="numbering" w:customStyle="1" w:styleId="CurrentList4">
    <w:name w:val="Current List4"/>
    <w:uiPriority w:val="99"/>
    <w:rsid w:val="00824C7A"/>
    <w:pPr>
      <w:numPr>
        <w:numId w:val="4"/>
      </w:numPr>
    </w:pPr>
  </w:style>
  <w:style w:type="numbering" w:customStyle="1" w:styleId="CurrentList5">
    <w:name w:val="Current List5"/>
    <w:uiPriority w:val="99"/>
    <w:rsid w:val="00DB1EF6"/>
    <w:pPr>
      <w:numPr>
        <w:numId w:val="5"/>
      </w:numPr>
    </w:pPr>
  </w:style>
  <w:style w:type="numbering" w:customStyle="1" w:styleId="CurrentList6">
    <w:name w:val="Current List6"/>
    <w:uiPriority w:val="99"/>
    <w:rsid w:val="00DB1EF6"/>
    <w:pPr>
      <w:numPr>
        <w:numId w:val="6"/>
      </w:numPr>
    </w:pPr>
  </w:style>
  <w:style w:type="numbering" w:customStyle="1" w:styleId="CurrentList7">
    <w:name w:val="Current List7"/>
    <w:uiPriority w:val="99"/>
    <w:rsid w:val="006C1A95"/>
    <w:pPr>
      <w:numPr>
        <w:numId w:val="8"/>
      </w:numPr>
    </w:pPr>
  </w:style>
  <w:style w:type="numbering" w:customStyle="1" w:styleId="CurrentList8">
    <w:name w:val="Current List8"/>
    <w:uiPriority w:val="99"/>
    <w:rsid w:val="002621D3"/>
    <w:pPr>
      <w:numPr>
        <w:numId w:val="9"/>
      </w:numPr>
    </w:pPr>
  </w:style>
  <w:style w:type="numbering" w:customStyle="1" w:styleId="CurrentList9">
    <w:name w:val="Current List9"/>
    <w:uiPriority w:val="99"/>
    <w:rsid w:val="002621D3"/>
    <w:pPr>
      <w:numPr>
        <w:numId w:val="10"/>
      </w:numPr>
    </w:pPr>
  </w:style>
  <w:style w:type="numbering" w:customStyle="1" w:styleId="CurrentList10">
    <w:name w:val="Current List10"/>
    <w:uiPriority w:val="99"/>
    <w:rsid w:val="008107D8"/>
    <w:pPr>
      <w:numPr>
        <w:numId w:val="12"/>
      </w:numPr>
    </w:pPr>
  </w:style>
  <w:style w:type="numbering" w:customStyle="1" w:styleId="CurrentList11">
    <w:name w:val="Current List11"/>
    <w:uiPriority w:val="99"/>
    <w:rsid w:val="008107D8"/>
    <w:pPr>
      <w:numPr>
        <w:numId w:val="13"/>
      </w:numPr>
    </w:pPr>
  </w:style>
  <w:style w:type="numbering" w:customStyle="1" w:styleId="CurrentList12">
    <w:name w:val="Current List12"/>
    <w:uiPriority w:val="99"/>
    <w:rsid w:val="008107D8"/>
    <w:pPr>
      <w:numPr>
        <w:numId w:val="15"/>
      </w:numPr>
    </w:pPr>
  </w:style>
  <w:style w:type="numbering" w:customStyle="1" w:styleId="CurrentList13">
    <w:name w:val="Current List13"/>
    <w:uiPriority w:val="99"/>
    <w:rsid w:val="008107D8"/>
    <w:pPr>
      <w:numPr>
        <w:numId w:val="16"/>
      </w:numPr>
    </w:pPr>
  </w:style>
  <w:style w:type="numbering" w:customStyle="1" w:styleId="CurrentList14">
    <w:name w:val="Current List14"/>
    <w:uiPriority w:val="99"/>
    <w:rsid w:val="00800A0D"/>
    <w:pPr>
      <w:numPr>
        <w:numId w:val="17"/>
      </w:numPr>
    </w:pPr>
  </w:style>
  <w:style w:type="numbering" w:customStyle="1" w:styleId="CurrentList15">
    <w:name w:val="Current List15"/>
    <w:uiPriority w:val="99"/>
    <w:rsid w:val="00800A0D"/>
    <w:pPr>
      <w:numPr>
        <w:numId w:val="18"/>
      </w:numPr>
    </w:pPr>
  </w:style>
  <w:style w:type="numbering" w:customStyle="1" w:styleId="CurrentList16">
    <w:name w:val="Current List16"/>
    <w:uiPriority w:val="99"/>
    <w:rsid w:val="00800A0D"/>
    <w:pPr>
      <w:numPr>
        <w:numId w:val="19"/>
      </w:numPr>
    </w:pPr>
  </w:style>
  <w:style w:type="numbering" w:customStyle="1" w:styleId="CurrentList17">
    <w:name w:val="Current List17"/>
    <w:uiPriority w:val="99"/>
    <w:rsid w:val="005D00E7"/>
    <w:pPr>
      <w:numPr>
        <w:numId w:val="21"/>
      </w:numPr>
    </w:pPr>
  </w:style>
  <w:style w:type="numbering" w:customStyle="1" w:styleId="CurrentList18">
    <w:name w:val="Current List18"/>
    <w:uiPriority w:val="99"/>
    <w:rsid w:val="005D00E7"/>
    <w:pPr>
      <w:numPr>
        <w:numId w:val="22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E645D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numbering" w:customStyle="1" w:styleId="CurrentList19">
    <w:name w:val="Current List19"/>
    <w:uiPriority w:val="99"/>
    <w:rsid w:val="00A4366B"/>
    <w:pPr>
      <w:numPr>
        <w:numId w:val="25"/>
      </w:numPr>
    </w:pPr>
  </w:style>
  <w:style w:type="numbering" w:customStyle="1" w:styleId="CurrentList20">
    <w:name w:val="Current List20"/>
    <w:uiPriority w:val="99"/>
    <w:rsid w:val="007508B5"/>
    <w:pPr>
      <w:numPr>
        <w:numId w:val="26"/>
      </w:numPr>
    </w:pPr>
  </w:style>
  <w:style w:type="numbering" w:customStyle="1" w:styleId="CurrentList21">
    <w:name w:val="Current List21"/>
    <w:uiPriority w:val="99"/>
    <w:rsid w:val="007508B5"/>
    <w:pPr>
      <w:numPr>
        <w:numId w:val="27"/>
      </w:numPr>
    </w:pPr>
  </w:style>
  <w:style w:type="numbering" w:customStyle="1" w:styleId="CurrentList22">
    <w:name w:val="Current List22"/>
    <w:uiPriority w:val="99"/>
    <w:rsid w:val="007508B5"/>
    <w:pPr>
      <w:numPr>
        <w:numId w:val="28"/>
      </w:numPr>
    </w:pPr>
  </w:style>
  <w:style w:type="numbering" w:customStyle="1" w:styleId="CurrentList23">
    <w:name w:val="Current List23"/>
    <w:uiPriority w:val="99"/>
    <w:rsid w:val="00EE232F"/>
    <w:pPr>
      <w:numPr>
        <w:numId w:val="3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C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wyinstitute.org/the-interpreter/explaining-green-blue-growth" TargetMode="External"/><Relationship Id="rId1" Type="http://schemas.openxmlformats.org/officeDocument/2006/relationships/hyperlink" Target="https://www.oecd.org/greengrowt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149B3306DB14FAD0F038AE04EB62C" ma:contentTypeVersion="2" ma:contentTypeDescription="Create a new document." ma:contentTypeScope="" ma:versionID="4aab82e9d51d9a28af63ccc09eb76f0b">
  <xsd:schema xmlns:xsd="http://www.w3.org/2001/XMLSchema" xmlns:xs="http://www.w3.org/2001/XMLSchema" xmlns:p="http://schemas.microsoft.com/office/2006/metadata/properties" xmlns:ns2="16f095a2-d4b7-4c3e-b331-d42aee83604f" targetNamespace="http://schemas.microsoft.com/office/2006/metadata/properties" ma:root="true" ma:fieldsID="e955e81e54f46326e7ce84c9ca0df021" ns2:_="">
    <xsd:import namespace="16f095a2-d4b7-4c3e-b331-d42aee836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95a2-d4b7-4c3e-b331-d42aee836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4A608-0593-4BA3-8803-812D76E1D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B0FD2-A519-4737-9145-82737DAC5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802DE8-96EB-4CE5-AF3E-92E830230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019EB-1176-41E0-AB74-7A5501B05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95a2-d4b7-4c3e-b331-d42aee83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9199</Characters>
  <Application>Microsoft Office Word</Application>
  <DocSecurity>0</DocSecurity>
  <Lines>76</Lines>
  <Paragraphs>21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</dc:creator>
  <cp:lastModifiedBy>Sabine Zillmer</cp:lastModifiedBy>
  <cp:revision>13</cp:revision>
  <cp:lastPrinted>2023-01-31T12:51:00Z</cp:lastPrinted>
  <dcterms:created xsi:type="dcterms:W3CDTF">2023-04-26T06:36:00Z</dcterms:created>
  <dcterms:modified xsi:type="dcterms:W3CDTF">2023-04-26T08:00:00Z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eba742bd6fa4a2bd9e0afed60738bf037886e13716b5f527ff479d5a1a3efc69</vt:lpwstr>
  </property>
  <property fmtid="{D5CDD505-2E9C-101B-9397-08002B2CF9AE}" pid="3" name="ContentTypeId">
    <vt:lpwstr>0x010100A78149B3306DB14FAD0F038AE04EB62C</vt:lpwstr>
  </property>
  <property fmtid="{D5CDD505-2E9C-101B-9397-08002B2CF9AE}" pid="4" name="MediaServiceImageTags">
    <vt:lpwstr/>
  </property>
  <property fmtid="{D5CDD505-2E9C-101B-9397-08002B2CF9AE}" pid="5" name="Order">
    <vt:r8>697600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