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F977" w14:textId="77777777" w:rsidR="00007F97" w:rsidRDefault="00C415CD">
      <w:pPr>
        <w:jc w:val="center"/>
        <w:rPr>
          <w:b/>
          <w:bCs/>
          <w:sz w:val="28"/>
          <w:szCs w:val="28"/>
        </w:rPr>
      </w:pPr>
      <w:r>
        <w:rPr>
          <w:b/>
          <w:bCs/>
          <w:sz w:val="28"/>
          <w:szCs w:val="28"/>
        </w:rPr>
        <w:t>Rules of Procedure</w:t>
      </w:r>
    </w:p>
    <w:p w14:paraId="29563022" w14:textId="2073E83A" w:rsidR="00007F97" w:rsidRDefault="00C415CD">
      <w:pPr>
        <w:jc w:val="center"/>
        <w:rPr>
          <w:b/>
          <w:bCs/>
          <w:sz w:val="28"/>
          <w:szCs w:val="28"/>
        </w:rPr>
      </w:pPr>
      <w:r>
        <w:rPr>
          <w:b/>
          <w:bCs/>
          <w:sz w:val="28"/>
          <w:szCs w:val="28"/>
        </w:rPr>
        <w:t>for the Governing Board of the EU Strategy for the Adriatic and Ionian Region</w:t>
      </w:r>
    </w:p>
    <w:p w14:paraId="6A816363" w14:textId="77777777" w:rsidR="00007F97" w:rsidRDefault="00007F97"/>
    <w:p w14:paraId="00CEC168" w14:textId="77777777" w:rsidR="00007F97" w:rsidRDefault="00C415CD">
      <w:r>
        <w:t xml:space="preserve">Adopted on XX.XX </w:t>
      </w:r>
    </w:p>
    <w:p w14:paraId="16DE709A" w14:textId="77777777" w:rsidR="00007F97" w:rsidRDefault="00007F97"/>
    <w:p w14:paraId="6E9271CD" w14:textId="0AEC6E5D" w:rsidR="00007F97" w:rsidRDefault="00F20698" w:rsidP="00A75CEC">
      <w:pPr>
        <w:pStyle w:val="Naslov1"/>
        <w:numPr>
          <w:ilvl w:val="0"/>
          <w:numId w:val="3"/>
        </w:numPr>
        <w:tabs>
          <w:tab w:val="clear" w:pos="900"/>
          <w:tab w:val="clear" w:pos="1128"/>
          <w:tab w:val="left" w:pos="993"/>
        </w:tabs>
        <w:ind w:left="851" w:hanging="284"/>
      </w:pPr>
      <w:r>
        <w:t xml:space="preserve"> </w:t>
      </w:r>
      <w:r w:rsidR="00C415CD">
        <w:t xml:space="preserve">Preamble </w:t>
      </w:r>
    </w:p>
    <w:p w14:paraId="0324B11C" w14:textId="77777777" w:rsidR="00007F97" w:rsidRDefault="00C415CD">
      <w:r>
        <w:t>The EU Strategy for the Adriatic and Ionian Region (EUSAIR) was adopted via a Communication by the European Commission on 17 June 2014</w:t>
      </w:r>
      <w:r>
        <w:rPr>
          <w:rStyle w:val="FootnoteAnchor"/>
        </w:rPr>
        <w:footnoteReference w:id="1"/>
      </w:r>
      <w:r>
        <w:t>, and endorsed by the EU General Affairs Council on 29 September 2014 and by the European Council of 23-24 October 2014. The Addendum to the EUSAIR Communication formally included in the EUSAIR the Republic of North Macedonia in April 2020</w:t>
      </w:r>
      <w:r>
        <w:rPr>
          <w:rStyle w:val="FootnoteAnchor"/>
        </w:rPr>
        <w:footnoteReference w:id="2"/>
      </w:r>
      <w:r>
        <w:t xml:space="preserve"> and the Republic of San Marino</w:t>
      </w:r>
      <w:r>
        <w:rPr>
          <w:rStyle w:val="FootnoteAnchor"/>
        </w:rPr>
        <w:footnoteReference w:id="3"/>
      </w:r>
      <w:r>
        <w:t xml:space="preserve"> in February 2022.</w:t>
      </w:r>
    </w:p>
    <w:p w14:paraId="31AB4322" w14:textId="0A757F59" w:rsidR="00007F97" w:rsidRDefault="00C415CD">
      <w:r>
        <w:rPr>
          <w:lang w:eastAsia="en-GB"/>
        </w:rPr>
        <w:t>The EUSAIR governance and management architecture, endorsed by the Ministers of Foreign Affairs of the then eight participating countries at the launch event of 18 November 2014 and further updated by the Governance Architecture Paper, finalised on 10 October 2024, includes the setting</w:t>
      </w:r>
      <w:r>
        <w:t xml:space="preserve"> up of an EUSAIR Governing Board. </w:t>
      </w:r>
    </w:p>
    <w:p w14:paraId="123B3F88" w14:textId="77777777" w:rsidR="00007F97" w:rsidRDefault="00007F97"/>
    <w:p w14:paraId="0600F62A" w14:textId="2B52979D" w:rsidR="00007F97" w:rsidRDefault="00F20698" w:rsidP="00A75CEC">
      <w:pPr>
        <w:pStyle w:val="Naslov1"/>
        <w:numPr>
          <w:ilvl w:val="0"/>
          <w:numId w:val="3"/>
        </w:numPr>
        <w:tabs>
          <w:tab w:val="clear" w:pos="900"/>
          <w:tab w:val="clear" w:pos="1128"/>
          <w:tab w:val="left" w:pos="993"/>
        </w:tabs>
        <w:ind w:left="851" w:hanging="284"/>
      </w:pPr>
      <w:r>
        <w:t xml:space="preserve"> </w:t>
      </w:r>
      <w:r w:rsidR="00C415CD">
        <w:t>Responsibility of the Governing Board (GB)</w:t>
      </w:r>
    </w:p>
    <w:p w14:paraId="6DF04DBF" w14:textId="77777777" w:rsidR="00007F97" w:rsidRDefault="00C415CD">
      <w:pPr>
        <w:rPr>
          <w:lang w:eastAsia="en-GB"/>
        </w:rPr>
      </w:pPr>
      <w:r>
        <w:rPr>
          <w:lang w:eastAsia="en-GB"/>
        </w:rPr>
        <w:t>The GB is the core strategic decision-making body of the EUSAIR. Acting as interface between the political/ministerial level and the operational/managerial level, the GB issues strategic guidelines to the Thematic Steering Groups (TSGs) and governance support structures with respect to implementation and management of the EUSAIR and its revised Action Plan</w:t>
      </w:r>
      <w:r>
        <w:rPr>
          <w:rStyle w:val="FootnoteAnchor"/>
          <w:rFonts w:eastAsia="Times New Roman"/>
          <w:lang w:eastAsia="en-GB"/>
        </w:rPr>
        <w:footnoteReference w:id="4"/>
      </w:r>
      <w:r>
        <w:rPr>
          <w:lang w:eastAsia="en-GB"/>
        </w:rPr>
        <w:t xml:space="preserve">, coordinates their work </w:t>
      </w:r>
      <w:r>
        <w:t>through strategic guidance,</w:t>
      </w:r>
      <w:r>
        <w:rPr>
          <w:lang w:eastAsia="en-GB"/>
        </w:rPr>
        <w:t xml:space="preserve"> and ensures linkages between them. </w:t>
      </w:r>
    </w:p>
    <w:p w14:paraId="36E383D6" w14:textId="77777777" w:rsidR="00007F97" w:rsidRDefault="00C415CD">
      <w:r>
        <w:lastRenderedPageBreak/>
        <w:t>To this end, representatives in the GB from the participating countries shall be duly empowered by their respective Governments. The GB is a guardian of the proper functioning of the EUSAIR and proper implementation of the Action Plan.</w:t>
      </w:r>
    </w:p>
    <w:p w14:paraId="52D210D2" w14:textId="77777777" w:rsidR="001147D5" w:rsidRDefault="001147D5"/>
    <w:p w14:paraId="51456E80" w14:textId="1A8F33DC" w:rsidR="00007F97" w:rsidRDefault="00F20698" w:rsidP="00A75CEC">
      <w:pPr>
        <w:pStyle w:val="Naslov1"/>
        <w:numPr>
          <w:ilvl w:val="0"/>
          <w:numId w:val="3"/>
        </w:numPr>
        <w:tabs>
          <w:tab w:val="clear" w:pos="900"/>
          <w:tab w:val="clear" w:pos="1128"/>
          <w:tab w:val="left" w:pos="993"/>
        </w:tabs>
        <w:ind w:left="851" w:hanging="284"/>
      </w:pPr>
      <w:r>
        <w:t xml:space="preserve"> </w:t>
      </w:r>
      <w:r w:rsidR="00C415CD">
        <w:t>Composition of the GB</w:t>
      </w:r>
    </w:p>
    <w:p w14:paraId="6FAD0275" w14:textId="77777777" w:rsidR="00007F97" w:rsidRDefault="00C415CD">
      <w:r>
        <w:t>Standing Members with decision-making right:</w:t>
      </w:r>
    </w:p>
    <w:p w14:paraId="5B443A2A" w14:textId="21BE1FCA" w:rsidR="00007F97" w:rsidRDefault="00C415CD">
      <w:pPr>
        <w:pStyle w:val="Odstavekseznama"/>
        <w:numPr>
          <w:ilvl w:val="0"/>
          <w:numId w:val="9"/>
        </w:numPr>
        <w:rPr>
          <w:lang w:eastAsia="hu-HU"/>
        </w:rPr>
      </w:pPr>
      <w:r>
        <w:rPr>
          <w:lang w:eastAsia="hu-HU"/>
        </w:rPr>
        <w:t>National representatives: Each participating country is represented by two formally appointed National Coordinators and/or their deputies</w:t>
      </w:r>
      <w:r w:rsidR="00B269D6">
        <w:rPr>
          <w:lang w:eastAsia="hu-HU"/>
        </w:rPr>
        <w:t xml:space="preserve"> (hereinafter National Coordinators)</w:t>
      </w:r>
      <w:r>
        <w:rPr>
          <w:lang w:eastAsia="hu-HU"/>
        </w:rPr>
        <w:t>, i.e. one senior official from the Ministry of Foreign Affairs</w:t>
      </w:r>
      <w:r>
        <w:rPr>
          <w:rStyle w:val="FootnoteAnchor"/>
          <w:color w:val="000000"/>
          <w:lang w:eastAsia="hu-HU"/>
        </w:rPr>
        <w:footnoteReference w:id="5"/>
      </w:r>
      <w:r>
        <w:rPr>
          <w:lang w:eastAsia="hu-HU"/>
        </w:rPr>
        <w:t xml:space="preserve"> and one senior official from the national administration responsible for coordinating EU funds in the countr</w:t>
      </w:r>
      <w:bookmarkStart w:id="0" w:name="_Hlk218854103"/>
      <w:bookmarkEnd w:id="0"/>
      <w:r>
        <w:rPr>
          <w:lang w:eastAsia="hu-HU"/>
        </w:rPr>
        <w:t>y</w:t>
      </w:r>
      <w:r>
        <w:rPr>
          <w:rStyle w:val="FootnoteAnchor"/>
          <w:color w:val="000000"/>
          <w:lang w:eastAsia="hu-HU"/>
        </w:rPr>
        <w:footnoteReference w:id="6"/>
      </w:r>
      <w:bookmarkStart w:id="1" w:name="_Hlk218854110"/>
      <w:bookmarkEnd w:id="1"/>
      <w:r>
        <w:rPr>
          <w:lang w:eastAsia="hu-HU"/>
        </w:rPr>
        <w:t xml:space="preserve">; </w:t>
      </w:r>
    </w:p>
    <w:p w14:paraId="63783A3E" w14:textId="21BDD902" w:rsidR="00007F97" w:rsidRDefault="00C415CD">
      <w:r w:rsidRPr="002D7AB6">
        <w:rPr>
          <w:lang w:eastAsia="hu-HU"/>
        </w:rPr>
        <w:t>In justified circumstances</w:t>
      </w:r>
      <w:r w:rsidR="0049423E">
        <w:rPr>
          <w:lang w:eastAsia="hu-HU"/>
        </w:rPr>
        <w:t xml:space="preserve"> when appointed National Coordinator and its deputy cannot attend the specific GB meeting</w:t>
      </w:r>
      <w:r w:rsidRPr="002D7AB6">
        <w:rPr>
          <w:lang w:eastAsia="hu-HU"/>
        </w:rPr>
        <w:t xml:space="preserve">, </w:t>
      </w:r>
      <w:r w:rsidR="00363224">
        <w:rPr>
          <w:lang w:eastAsia="hu-HU"/>
        </w:rPr>
        <w:t xml:space="preserve">they </w:t>
      </w:r>
      <w:r w:rsidRPr="002D7AB6">
        <w:rPr>
          <w:lang w:eastAsia="hu-HU"/>
        </w:rPr>
        <w:t>can appoint/delegate a substitute.</w:t>
      </w:r>
      <w:r w:rsidR="00AD4AD0">
        <w:rPr>
          <w:lang w:eastAsia="hu-HU"/>
        </w:rPr>
        <w:t xml:space="preserve"> T</w:t>
      </w:r>
      <w:r w:rsidR="00AD4AD0" w:rsidRPr="00AD4AD0">
        <w:rPr>
          <w:lang w:eastAsia="hu-HU"/>
        </w:rPr>
        <w:t xml:space="preserve">he </w:t>
      </w:r>
      <w:r w:rsidR="006A60D0">
        <w:rPr>
          <w:lang w:eastAsia="hu-HU"/>
        </w:rPr>
        <w:t>substitute</w:t>
      </w:r>
      <w:r w:rsidR="00AD4AD0" w:rsidRPr="00AD4AD0">
        <w:rPr>
          <w:lang w:eastAsia="hu-HU"/>
        </w:rPr>
        <w:t xml:space="preserve"> </w:t>
      </w:r>
      <w:proofErr w:type="gramStart"/>
      <w:r w:rsidR="00AD4AD0" w:rsidRPr="00AD4AD0">
        <w:rPr>
          <w:lang w:eastAsia="hu-HU"/>
        </w:rPr>
        <w:t xml:space="preserve">has </w:t>
      </w:r>
      <w:r w:rsidR="00AD4AD0">
        <w:rPr>
          <w:lang w:eastAsia="hu-HU"/>
        </w:rPr>
        <w:t>to</w:t>
      </w:r>
      <w:proofErr w:type="gramEnd"/>
      <w:r w:rsidR="00AD4AD0">
        <w:rPr>
          <w:lang w:eastAsia="hu-HU"/>
        </w:rPr>
        <w:t xml:space="preserve"> </w:t>
      </w:r>
      <w:r w:rsidR="00B269D6">
        <w:rPr>
          <w:lang w:eastAsia="hu-HU"/>
        </w:rPr>
        <w:t>be given</w:t>
      </w:r>
      <w:r w:rsidR="00AD4AD0">
        <w:rPr>
          <w:lang w:eastAsia="hu-HU"/>
        </w:rPr>
        <w:t xml:space="preserve"> </w:t>
      </w:r>
      <w:r w:rsidR="00AD4AD0" w:rsidRPr="00AD4AD0">
        <w:rPr>
          <w:lang w:eastAsia="hu-HU"/>
        </w:rPr>
        <w:t>the power to vote on the decisions that need to be made at that</w:t>
      </w:r>
      <w:r w:rsidR="00AD4AD0">
        <w:rPr>
          <w:lang w:eastAsia="hu-HU"/>
        </w:rPr>
        <w:t xml:space="preserve"> specific</w:t>
      </w:r>
      <w:r w:rsidR="00AD4AD0" w:rsidRPr="00AD4AD0">
        <w:rPr>
          <w:lang w:eastAsia="hu-HU"/>
        </w:rPr>
        <w:t xml:space="preserve"> GB</w:t>
      </w:r>
      <w:r w:rsidR="00AD4AD0">
        <w:rPr>
          <w:lang w:eastAsia="hu-HU"/>
        </w:rPr>
        <w:t xml:space="preserve"> meeting. </w:t>
      </w:r>
      <w:r w:rsidR="00AD4AD0" w:rsidRPr="00AD4AD0">
        <w:rPr>
          <w:lang w:eastAsia="hu-HU"/>
        </w:rPr>
        <w:t xml:space="preserve">The information should be submitted to Presidency in written form no later than </w:t>
      </w:r>
      <w:r w:rsidR="00AD4AD0">
        <w:rPr>
          <w:lang w:eastAsia="hu-HU"/>
        </w:rPr>
        <w:t>48 hours</w:t>
      </w:r>
      <w:r w:rsidR="00AD4AD0" w:rsidRPr="00AD4AD0">
        <w:rPr>
          <w:lang w:eastAsia="hu-HU"/>
        </w:rPr>
        <w:t xml:space="preserve"> prior to the </w:t>
      </w:r>
      <w:r w:rsidR="006A60D0">
        <w:rPr>
          <w:lang w:eastAsia="hu-HU"/>
        </w:rPr>
        <w:t xml:space="preserve">GB </w:t>
      </w:r>
      <w:r w:rsidR="00AD4AD0" w:rsidRPr="00AD4AD0">
        <w:rPr>
          <w:lang w:eastAsia="hu-HU"/>
        </w:rPr>
        <w:t>meeting.</w:t>
      </w:r>
    </w:p>
    <w:p w14:paraId="165F4653" w14:textId="77777777" w:rsidR="00007F97" w:rsidRDefault="00C415CD">
      <w:r>
        <w:t>Standing Members without decision-making right:</w:t>
      </w:r>
    </w:p>
    <w:p w14:paraId="6019A3E9" w14:textId="77777777" w:rsidR="00007F97" w:rsidRDefault="00C415CD">
      <w:pPr>
        <w:pStyle w:val="Odstavekseznama"/>
        <w:numPr>
          <w:ilvl w:val="0"/>
          <w:numId w:val="9"/>
        </w:numPr>
      </w:pPr>
      <w:r>
        <w:rPr>
          <w:lang w:eastAsia="hu-HU"/>
        </w:rPr>
        <w:t>Formally appointed Pillar Coordinators and/or their deputies (Thematic Steering Groups Coordinators</w:t>
      </w:r>
      <w:proofErr w:type="gramStart"/>
      <w:r>
        <w:rPr>
          <w:lang w:eastAsia="hu-HU"/>
        </w:rPr>
        <w:t>);</w:t>
      </w:r>
      <w:proofErr w:type="gramEnd"/>
    </w:p>
    <w:p w14:paraId="52B1FF9B" w14:textId="77777777" w:rsidR="00007F97" w:rsidRDefault="00C415CD">
      <w:pPr>
        <w:pStyle w:val="Odstavekseznama"/>
        <w:numPr>
          <w:ilvl w:val="0"/>
          <w:numId w:val="9"/>
        </w:numPr>
      </w:pPr>
      <w:r>
        <w:rPr>
          <w:lang w:eastAsia="hu-HU"/>
        </w:rPr>
        <w:t xml:space="preserve">Commission services led by DG REGIO, including DG MARE and DG ENEST.  Other EC Directorates General will be invited as appropriate, especially those thematically relating to the </w:t>
      </w:r>
      <w:proofErr w:type="gramStart"/>
      <w:r>
        <w:rPr>
          <w:lang w:eastAsia="hu-HU"/>
        </w:rPr>
        <w:t>Pillars;</w:t>
      </w:r>
      <w:proofErr w:type="gramEnd"/>
    </w:p>
    <w:p w14:paraId="11A7AE9C" w14:textId="77777777" w:rsidR="00007F97" w:rsidRDefault="00C415CD">
      <w:pPr>
        <w:pStyle w:val="Odstavekseznama"/>
        <w:numPr>
          <w:ilvl w:val="0"/>
          <w:numId w:val="9"/>
        </w:numPr>
      </w:pPr>
      <w:r>
        <w:rPr>
          <w:lang w:eastAsia="hu-HU"/>
        </w:rPr>
        <w:t xml:space="preserve">A representative of the European </w:t>
      </w:r>
      <w:proofErr w:type="gramStart"/>
      <w:r>
        <w:rPr>
          <w:lang w:eastAsia="hu-HU"/>
        </w:rPr>
        <w:t>Parliament;</w:t>
      </w:r>
      <w:proofErr w:type="gramEnd"/>
    </w:p>
    <w:p w14:paraId="68E24D38" w14:textId="77777777" w:rsidR="00007F97" w:rsidRDefault="00C415CD">
      <w:pPr>
        <w:pStyle w:val="Odstavekseznama"/>
        <w:numPr>
          <w:ilvl w:val="0"/>
          <w:numId w:val="9"/>
        </w:numPr>
        <w:rPr>
          <w:lang w:eastAsia="hu-HU"/>
        </w:rPr>
      </w:pPr>
      <w:r>
        <w:rPr>
          <w:lang w:eastAsia="hu-HU"/>
        </w:rPr>
        <w:t xml:space="preserve">A representative of the Committee of the Regions accompanied by a representative of its Adriatic-Ionian Interregional </w:t>
      </w:r>
      <w:proofErr w:type="gramStart"/>
      <w:r>
        <w:rPr>
          <w:lang w:eastAsia="hu-HU"/>
        </w:rPr>
        <w:t>Group;</w:t>
      </w:r>
      <w:proofErr w:type="gramEnd"/>
    </w:p>
    <w:p w14:paraId="4CB9402C" w14:textId="77777777" w:rsidR="00007F97" w:rsidRDefault="00C415CD">
      <w:pPr>
        <w:pStyle w:val="Odstavekseznama"/>
        <w:numPr>
          <w:ilvl w:val="0"/>
          <w:numId w:val="9"/>
        </w:numPr>
        <w:rPr>
          <w:lang w:eastAsia="hu-HU"/>
        </w:rPr>
      </w:pPr>
      <w:r>
        <w:rPr>
          <w:lang w:eastAsia="hu-HU"/>
        </w:rPr>
        <w:t xml:space="preserve">A representative of the European Economic and Social </w:t>
      </w:r>
      <w:proofErr w:type="gramStart"/>
      <w:r>
        <w:rPr>
          <w:lang w:eastAsia="hu-HU"/>
        </w:rPr>
        <w:t>Committee;</w:t>
      </w:r>
      <w:proofErr w:type="gramEnd"/>
    </w:p>
    <w:p w14:paraId="79DFC839" w14:textId="77777777" w:rsidR="00007F97" w:rsidRDefault="00C415CD">
      <w:pPr>
        <w:pStyle w:val="Odstavekseznama"/>
        <w:numPr>
          <w:ilvl w:val="0"/>
          <w:numId w:val="9"/>
        </w:numPr>
        <w:rPr>
          <w:lang w:eastAsia="hu-HU"/>
        </w:rPr>
      </w:pPr>
      <w:r>
        <w:rPr>
          <w:lang w:eastAsia="hu-HU"/>
        </w:rPr>
        <w:t xml:space="preserve">The Permanent Secretariat of the Adriatic-Ionian </w:t>
      </w:r>
      <w:proofErr w:type="gramStart"/>
      <w:r>
        <w:rPr>
          <w:lang w:eastAsia="hu-HU"/>
        </w:rPr>
        <w:t>Initiative;</w:t>
      </w:r>
      <w:proofErr w:type="gramEnd"/>
    </w:p>
    <w:p w14:paraId="191136A9" w14:textId="77777777" w:rsidR="00007F97" w:rsidRDefault="00C415CD">
      <w:pPr>
        <w:pStyle w:val="Odstavekseznama"/>
        <w:numPr>
          <w:ilvl w:val="0"/>
          <w:numId w:val="9"/>
        </w:numPr>
        <w:rPr>
          <w:color w:val="000000"/>
          <w:lang w:eastAsia="hu-HU"/>
        </w:rPr>
      </w:pPr>
      <w:r>
        <w:rPr>
          <w:color w:val="000000"/>
          <w:lang w:eastAsia="hu-HU"/>
        </w:rPr>
        <w:t>R</w:t>
      </w:r>
      <w:r>
        <w:rPr>
          <w:lang w:eastAsia="hu-HU"/>
        </w:rPr>
        <w:t xml:space="preserve">epresentatives of the Managing Authority of the IPA ADRION </w:t>
      </w:r>
      <w:proofErr w:type="gramStart"/>
      <w:r>
        <w:rPr>
          <w:lang w:eastAsia="hu-HU"/>
        </w:rPr>
        <w:t>programme;</w:t>
      </w:r>
      <w:proofErr w:type="gramEnd"/>
    </w:p>
    <w:p w14:paraId="446A9FED" w14:textId="77777777" w:rsidR="00007F97" w:rsidRDefault="00C415CD">
      <w:pPr>
        <w:pStyle w:val="Odstavekseznama"/>
        <w:numPr>
          <w:ilvl w:val="0"/>
          <w:numId w:val="9"/>
        </w:numPr>
        <w:rPr>
          <w:color w:val="000000"/>
          <w:lang w:eastAsia="hu-HU"/>
        </w:rPr>
      </w:pPr>
      <w:r>
        <w:rPr>
          <w:color w:val="000000"/>
          <w:lang w:eastAsia="hu-HU"/>
        </w:rPr>
        <w:t xml:space="preserve">Representatives </w:t>
      </w:r>
      <w:r>
        <w:rPr>
          <w:lang w:eastAsia="hu-HU"/>
        </w:rPr>
        <w:t xml:space="preserve">of the EUSAIR Governance </w:t>
      </w:r>
      <w:proofErr w:type="gramStart"/>
      <w:r>
        <w:rPr>
          <w:lang w:eastAsia="hu-HU"/>
        </w:rPr>
        <w:t>Point;</w:t>
      </w:r>
      <w:proofErr w:type="gramEnd"/>
    </w:p>
    <w:p w14:paraId="49861938" w14:textId="77777777" w:rsidR="00007F97" w:rsidRDefault="00C415CD">
      <w:pPr>
        <w:pStyle w:val="Odstavekseznama"/>
        <w:numPr>
          <w:ilvl w:val="0"/>
          <w:numId w:val="9"/>
        </w:numPr>
        <w:rPr>
          <w:color w:val="000000"/>
          <w:lang w:eastAsia="hu-HU"/>
        </w:rPr>
      </w:pPr>
      <w:r>
        <w:rPr>
          <w:lang w:eastAsia="hu-HU"/>
        </w:rPr>
        <w:t>EUSAIR Youth Council representative.</w:t>
      </w:r>
    </w:p>
    <w:p w14:paraId="3882562E" w14:textId="77777777" w:rsidR="00007F97" w:rsidRDefault="00007F97">
      <w:pPr>
        <w:pStyle w:val="Odstavekseznama"/>
        <w:rPr>
          <w:lang w:eastAsia="hu-HU"/>
        </w:rPr>
      </w:pPr>
    </w:p>
    <w:p w14:paraId="7B30FE92" w14:textId="02C53FE4" w:rsidR="00007F97" w:rsidRDefault="00F20698" w:rsidP="00A75CEC">
      <w:pPr>
        <w:pStyle w:val="Naslov1"/>
        <w:numPr>
          <w:ilvl w:val="0"/>
          <w:numId w:val="3"/>
        </w:numPr>
        <w:tabs>
          <w:tab w:val="clear" w:pos="900"/>
          <w:tab w:val="clear" w:pos="1128"/>
          <w:tab w:val="left" w:pos="993"/>
        </w:tabs>
        <w:ind w:left="851" w:hanging="284"/>
      </w:pPr>
      <w:r>
        <w:lastRenderedPageBreak/>
        <w:t xml:space="preserve"> </w:t>
      </w:r>
      <w:r w:rsidR="00C415CD">
        <w:t xml:space="preserve">Chairing of the GB </w:t>
      </w:r>
    </w:p>
    <w:p w14:paraId="20B6A7B4" w14:textId="52AF1AD2" w:rsidR="00007F97" w:rsidRDefault="00C415CD">
      <w:r>
        <w:t>Pursuing the rotation principle, the GB is chaired by the country holding the pro tempore Presidency of the EUSAIR and the Adriatic and Ionian Initiative (AII), supported by the Commission (Directorate–General for Regional and Urban Policy, DG REGIO) in keeping with its leading role of strategic coordinator of the Strategy, in line with the Conclusions of the GAC of 29 September 2014. The duration of pro-tempore Presidency is one-year, from 1</w:t>
      </w:r>
      <w:r>
        <w:rPr>
          <w:vertAlign w:val="superscript"/>
        </w:rPr>
        <w:t>st</w:t>
      </w:r>
      <w:r>
        <w:t xml:space="preserve"> of June till 31</w:t>
      </w:r>
      <w:r>
        <w:rPr>
          <w:vertAlign w:val="superscript"/>
        </w:rPr>
        <w:t>st</w:t>
      </w:r>
      <w:r>
        <w:t xml:space="preserve"> of May next year. The rotation order is decided by the GB, following the general principle of alternating EU member state and EU candidate country.</w:t>
      </w:r>
      <w:r w:rsidR="00381A7F">
        <w:t xml:space="preserve"> </w:t>
      </w:r>
      <w:r>
        <w:t xml:space="preserve">The Chair cooperates with the previous and forthcoming </w:t>
      </w:r>
      <w:r w:rsidRPr="00712CDF">
        <w:t>Chairmanships</w:t>
      </w:r>
      <w:r w:rsidR="006A60D0">
        <w:t>,</w:t>
      </w:r>
      <w:r w:rsidRPr="00712CDF">
        <w:t xml:space="preserve"> </w:t>
      </w:r>
      <w:r w:rsidRPr="002D7AB6">
        <w:t xml:space="preserve">part of the </w:t>
      </w:r>
      <w:r>
        <w:t>EUSAIR TRIO Presidency.</w:t>
      </w:r>
    </w:p>
    <w:p w14:paraId="1A4C59AB" w14:textId="77777777" w:rsidR="00007F97" w:rsidRDefault="00007F97">
      <w:pPr>
        <w:pStyle w:val="Odstavekseznama"/>
        <w:rPr>
          <w:lang w:eastAsia="hu-HU"/>
        </w:rPr>
      </w:pPr>
    </w:p>
    <w:p w14:paraId="7E18AE37" w14:textId="6430AD72" w:rsidR="00007F97" w:rsidRDefault="00F20698" w:rsidP="008174B1">
      <w:pPr>
        <w:pStyle w:val="Naslov1"/>
        <w:numPr>
          <w:ilvl w:val="0"/>
          <w:numId w:val="3"/>
        </w:numPr>
        <w:tabs>
          <w:tab w:val="clear" w:pos="900"/>
          <w:tab w:val="clear" w:pos="1128"/>
          <w:tab w:val="left" w:pos="993"/>
        </w:tabs>
        <w:ind w:left="851" w:hanging="284"/>
      </w:pPr>
      <w:r>
        <w:t xml:space="preserve"> </w:t>
      </w:r>
      <w:r w:rsidR="00C415CD">
        <w:t xml:space="preserve">Empowerment of National Coordinators (NCs) </w:t>
      </w:r>
    </w:p>
    <w:p w14:paraId="13E05D8F" w14:textId="77777777" w:rsidR="00007F97" w:rsidRDefault="00C415CD">
      <w:pPr>
        <w:rPr>
          <w:lang w:eastAsia="hu-HU"/>
        </w:rPr>
      </w:pPr>
      <w:r>
        <w:rPr>
          <w:lang w:eastAsia="hu-HU"/>
        </w:rPr>
        <w:t>As core strategic decision-makers within the EUSAIR governance architecture, the NCs designated by participating EUSAIR countries shall be duly empowered by their respective national structures. They also have a strategic coordination function of the Strategy within their country</w:t>
      </w:r>
      <w:r>
        <w:rPr>
          <w:rStyle w:val="FootnoteAnchor"/>
          <w:color w:val="000000"/>
          <w:lang w:eastAsia="hu-HU"/>
        </w:rPr>
        <w:footnoteReference w:id="7"/>
      </w:r>
      <w:r>
        <w:rPr>
          <w:lang w:eastAsia="hu-HU"/>
        </w:rPr>
        <w:t xml:space="preserve">. </w:t>
      </w:r>
    </w:p>
    <w:p w14:paraId="2171E7E1" w14:textId="77777777" w:rsidR="00007F97" w:rsidRDefault="00007F97">
      <w:pPr>
        <w:pStyle w:val="Odstavekseznama"/>
        <w:rPr>
          <w:lang w:eastAsia="hu-HU"/>
        </w:rPr>
      </w:pPr>
    </w:p>
    <w:p w14:paraId="29D96DAB" w14:textId="3A7AE148" w:rsidR="00007F97" w:rsidRDefault="00F20698" w:rsidP="008174B1">
      <w:pPr>
        <w:pStyle w:val="Naslov1"/>
        <w:numPr>
          <w:ilvl w:val="0"/>
          <w:numId w:val="3"/>
        </w:numPr>
        <w:tabs>
          <w:tab w:val="clear" w:pos="900"/>
          <w:tab w:val="clear" w:pos="1128"/>
          <w:tab w:val="left" w:pos="993"/>
        </w:tabs>
        <w:ind w:left="851" w:hanging="284"/>
      </w:pPr>
      <w:r>
        <w:t xml:space="preserve"> </w:t>
      </w:r>
      <w:r w:rsidR="00C415CD">
        <w:t>Administrative, operational and substantive support to the GB</w:t>
      </w:r>
    </w:p>
    <w:p w14:paraId="1551052D" w14:textId="02DD8026" w:rsidR="00007F97" w:rsidRDefault="00C415CD">
      <w:pPr>
        <w:pStyle w:val="Odstavekseznama"/>
        <w:numPr>
          <w:ilvl w:val="1"/>
          <w:numId w:val="13"/>
        </w:numPr>
        <w:rPr>
          <w:lang w:eastAsia="hu-HU"/>
        </w:rPr>
      </w:pPr>
      <w:r>
        <w:rPr>
          <w:lang w:eastAsia="hu-HU"/>
        </w:rPr>
        <w:t xml:space="preserve">The EUSAIR Facility Point supports the GB and the GB Chair administratively and operationally in their functions, including decision support. Decision support for functions d) and e) in </w:t>
      </w:r>
      <w:r w:rsidR="00F20698">
        <w:rPr>
          <w:lang w:eastAsia="hu-HU"/>
        </w:rPr>
        <w:t>§</w:t>
      </w:r>
      <w:r>
        <w:rPr>
          <w:lang w:eastAsia="hu-HU"/>
        </w:rPr>
        <w:t xml:space="preserve"> 7 are provided by projects EUSAIR StEP and SP4EUSAIR, respectively.</w:t>
      </w:r>
    </w:p>
    <w:p w14:paraId="604050D5" w14:textId="77777777" w:rsidR="00007F97" w:rsidRDefault="00007F97">
      <w:pPr>
        <w:pStyle w:val="Odstavekseznama"/>
        <w:ind w:left="360"/>
        <w:rPr>
          <w:lang w:eastAsia="hu-HU"/>
        </w:rPr>
      </w:pPr>
    </w:p>
    <w:p w14:paraId="1E69F225" w14:textId="77777777" w:rsidR="00007F97" w:rsidRDefault="00C415CD">
      <w:pPr>
        <w:pStyle w:val="Odstavekseznama"/>
        <w:numPr>
          <w:ilvl w:val="1"/>
          <w:numId w:val="13"/>
        </w:numPr>
        <w:rPr>
          <w:lang w:eastAsia="hu-HU"/>
        </w:rPr>
      </w:pPr>
      <w:r>
        <w:t>The EUSAIR Facility Point maintains all documentation related to Governing Board meetings and decisions in an online repository to ensure institutional memory.</w:t>
      </w:r>
    </w:p>
    <w:p w14:paraId="617B2518" w14:textId="77777777" w:rsidR="00007F97" w:rsidRDefault="00007F97">
      <w:pPr>
        <w:pStyle w:val="Odstavekseznama"/>
        <w:rPr>
          <w:lang w:eastAsia="hu-HU"/>
        </w:rPr>
      </w:pPr>
    </w:p>
    <w:p w14:paraId="4C4AF7A3" w14:textId="17216319" w:rsidR="00007F97" w:rsidRDefault="00F20698" w:rsidP="008174B1">
      <w:pPr>
        <w:pStyle w:val="Naslov1"/>
        <w:numPr>
          <w:ilvl w:val="0"/>
          <w:numId w:val="3"/>
        </w:numPr>
        <w:tabs>
          <w:tab w:val="clear" w:pos="900"/>
          <w:tab w:val="clear" w:pos="1128"/>
          <w:tab w:val="left" w:pos="993"/>
        </w:tabs>
        <w:ind w:left="851" w:hanging="284"/>
      </w:pPr>
      <w:r>
        <w:t xml:space="preserve"> </w:t>
      </w:r>
      <w:r w:rsidR="00C415CD">
        <w:t>Functions of the GB</w:t>
      </w:r>
    </w:p>
    <w:p w14:paraId="730B13F5" w14:textId="77777777" w:rsidR="00007F97" w:rsidRDefault="00C415CD">
      <w:r>
        <w:t xml:space="preserve">Functions of the GB should </w:t>
      </w:r>
      <w:r>
        <w:rPr>
          <w:i/>
        </w:rPr>
        <w:t>inter alia</w:t>
      </w:r>
      <w:r>
        <w:t xml:space="preserve"> include:</w:t>
      </w:r>
    </w:p>
    <w:p w14:paraId="0B09A5DA" w14:textId="77777777" w:rsidR="00007F97" w:rsidRDefault="00C415CD">
      <w:pPr>
        <w:pStyle w:val="Odstavekseznama"/>
        <w:numPr>
          <w:ilvl w:val="0"/>
          <w:numId w:val="2"/>
        </w:numPr>
      </w:pPr>
      <w:r>
        <w:t xml:space="preserve">Issuing strategic guidelines to the Thematic Steering Groups (TSGs) including their follow-up and ensuring linkages between the </w:t>
      </w:r>
      <w:proofErr w:type="gramStart"/>
      <w:r>
        <w:t>TSGs;</w:t>
      </w:r>
      <w:proofErr w:type="gramEnd"/>
    </w:p>
    <w:p w14:paraId="0C2C5BD0" w14:textId="77777777" w:rsidR="00007F97" w:rsidRDefault="00C415CD">
      <w:pPr>
        <w:pStyle w:val="Odstavekseznama"/>
        <w:numPr>
          <w:ilvl w:val="0"/>
          <w:numId w:val="2"/>
        </w:numPr>
      </w:pPr>
      <w:r>
        <w:lastRenderedPageBreak/>
        <w:t xml:space="preserve">Ensuring well-functioning EUSAIR governance and providing general </w:t>
      </w:r>
      <w:proofErr w:type="gramStart"/>
      <w:r>
        <w:t>leadership;</w:t>
      </w:r>
      <w:proofErr w:type="gramEnd"/>
    </w:p>
    <w:p w14:paraId="1CCAF635" w14:textId="77777777" w:rsidR="00007F97" w:rsidRDefault="00C415CD">
      <w:pPr>
        <w:pStyle w:val="Odstavekseznama"/>
        <w:numPr>
          <w:ilvl w:val="0"/>
          <w:numId w:val="2"/>
        </w:numPr>
      </w:pPr>
      <w:r>
        <w:t xml:space="preserve">Assessing the progress of the implementation of the Action </w:t>
      </w:r>
      <w:proofErr w:type="gramStart"/>
      <w:r>
        <w:t>Plan;</w:t>
      </w:r>
      <w:proofErr w:type="gramEnd"/>
    </w:p>
    <w:p w14:paraId="31541936" w14:textId="77777777" w:rsidR="00007F97" w:rsidRDefault="00C415CD">
      <w:pPr>
        <w:pStyle w:val="Odstavekseznama"/>
        <w:numPr>
          <w:ilvl w:val="0"/>
          <w:numId w:val="2"/>
        </w:numPr>
      </w:pPr>
      <w:r>
        <w:t xml:space="preserve">Promoting appropriate funding for the strategy implementation, including by encouraging cooperation with networks of relevant managing authorities and financial </w:t>
      </w:r>
      <w:proofErr w:type="gramStart"/>
      <w:r>
        <w:t>instruments;</w:t>
      </w:r>
      <w:proofErr w:type="gramEnd"/>
    </w:p>
    <w:p w14:paraId="0257EAD0" w14:textId="77777777" w:rsidR="00007F97" w:rsidRDefault="00C415CD">
      <w:pPr>
        <w:pStyle w:val="Odstavekseznama"/>
        <w:numPr>
          <w:ilvl w:val="0"/>
          <w:numId w:val="2"/>
        </w:numPr>
      </w:pPr>
      <w:r>
        <w:t xml:space="preserve">Endorsing EUSAIR Flagships upon proposal provided by </w:t>
      </w:r>
      <w:proofErr w:type="gramStart"/>
      <w:r>
        <w:t>TSGs;</w:t>
      </w:r>
      <w:proofErr w:type="gramEnd"/>
      <w:r>
        <w:t xml:space="preserve"> </w:t>
      </w:r>
    </w:p>
    <w:p w14:paraId="01D7D7E7" w14:textId="77777777" w:rsidR="00007F97" w:rsidRDefault="00C415CD">
      <w:pPr>
        <w:pStyle w:val="Odstavekseznama"/>
        <w:numPr>
          <w:ilvl w:val="0"/>
          <w:numId w:val="2"/>
        </w:numPr>
      </w:pPr>
      <w:r>
        <w:t xml:space="preserve">Approving establishing of TSG thematic working groups upon proposal provided by </w:t>
      </w:r>
      <w:proofErr w:type="gramStart"/>
      <w:r>
        <w:t>TSGs;</w:t>
      </w:r>
      <w:proofErr w:type="gramEnd"/>
      <w:r>
        <w:t xml:space="preserve"> </w:t>
      </w:r>
    </w:p>
    <w:p w14:paraId="50825E16" w14:textId="27968A25" w:rsidR="00007F97" w:rsidRDefault="00C415CD">
      <w:pPr>
        <w:pStyle w:val="Odstavekseznama"/>
        <w:numPr>
          <w:ilvl w:val="0"/>
          <w:numId w:val="2"/>
        </w:numPr>
      </w:pPr>
      <w:r>
        <w:t xml:space="preserve">Ensuring coordination with existing regional cooperation organisations, as appropriate. </w:t>
      </w:r>
      <w:r w:rsidRPr="002D7AB6">
        <w:t xml:space="preserve">Any participating country could propose additional discussion or approval linked to coordination with specific regional cooperation </w:t>
      </w:r>
      <w:proofErr w:type="gramStart"/>
      <w:r w:rsidRPr="002D7AB6">
        <w:t>organisations</w:t>
      </w:r>
      <w:r w:rsidR="00F20698">
        <w:t>;</w:t>
      </w:r>
      <w:proofErr w:type="gramEnd"/>
    </w:p>
    <w:p w14:paraId="34604010" w14:textId="77777777" w:rsidR="00007F97" w:rsidRDefault="00C415CD">
      <w:pPr>
        <w:pStyle w:val="Odstavekseznama"/>
        <w:numPr>
          <w:ilvl w:val="0"/>
          <w:numId w:val="2"/>
        </w:numPr>
      </w:pPr>
      <w:r>
        <w:t xml:space="preserve">Guiding and adopting monitoring and evaluation </w:t>
      </w:r>
      <w:proofErr w:type="gramStart"/>
      <w:r>
        <w:t>framework;</w:t>
      </w:r>
      <w:proofErr w:type="gramEnd"/>
    </w:p>
    <w:p w14:paraId="6B868259" w14:textId="77777777" w:rsidR="00007F97" w:rsidRDefault="00C415CD">
      <w:pPr>
        <w:pStyle w:val="Odstavekseznama"/>
        <w:numPr>
          <w:ilvl w:val="0"/>
          <w:numId w:val="2"/>
        </w:numPr>
      </w:pPr>
      <w:r>
        <w:t xml:space="preserve">Adopting possible revision proposals of the Strategy and/or the Action </w:t>
      </w:r>
      <w:proofErr w:type="gramStart"/>
      <w:r>
        <w:t>Plan;</w:t>
      </w:r>
      <w:proofErr w:type="gramEnd"/>
    </w:p>
    <w:p w14:paraId="112CF636" w14:textId="7ED2E908" w:rsidR="00007F97" w:rsidRDefault="00C415CD" w:rsidP="002D7AB6">
      <w:pPr>
        <w:pStyle w:val="Odstavekseznama"/>
        <w:numPr>
          <w:ilvl w:val="0"/>
          <w:numId w:val="2"/>
        </w:numPr>
      </w:pPr>
      <w:bookmarkStart w:id="2" w:name="_Hlk218852434"/>
      <w:bookmarkEnd w:id="2"/>
      <w:r w:rsidRPr="002D7AB6">
        <w:t>Endorsing</w:t>
      </w:r>
      <w:r w:rsidRPr="00EF5F18">
        <w:t xml:space="preserve"> the </w:t>
      </w:r>
      <w:r>
        <w:t xml:space="preserve">EUSAIR Youth Council members and encouraging meaningful contribution of the Youth Council to the </w:t>
      </w:r>
      <w:proofErr w:type="gramStart"/>
      <w:r>
        <w:t>Strategy</w:t>
      </w:r>
      <w:r w:rsidR="00F20698">
        <w:t>;</w:t>
      </w:r>
      <w:proofErr w:type="gramEnd"/>
      <w:r>
        <w:t xml:space="preserve">    </w:t>
      </w:r>
    </w:p>
    <w:p w14:paraId="04EE38E8" w14:textId="77777777" w:rsidR="00007F97" w:rsidRDefault="00C415CD">
      <w:pPr>
        <w:pStyle w:val="Odstavekseznama"/>
        <w:numPr>
          <w:ilvl w:val="0"/>
          <w:numId w:val="2"/>
        </w:numPr>
      </w:pPr>
      <w:r>
        <w:t xml:space="preserve">Providing orientations for the EUSAIR Governance Point, including issuing guidelines on information and publicity about the </w:t>
      </w:r>
      <w:proofErr w:type="gramStart"/>
      <w:r>
        <w:t>Strategy;</w:t>
      </w:r>
      <w:proofErr w:type="gramEnd"/>
    </w:p>
    <w:p w14:paraId="4209D41A" w14:textId="77777777" w:rsidR="00007F97" w:rsidRDefault="00C415CD">
      <w:pPr>
        <w:pStyle w:val="Odstavekseznama"/>
        <w:numPr>
          <w:ilvl w:val="0"/>
          <w:numId w:val="2"/>
        </w:numPr>
      </w:pPr>
      <w:r>
        <w:t>Providing orientations and guidance for the EUSAIR Forum as proposed by the EUSAIR Presidency (e.g. setting the agenda</w:t>
      </w:r>
      <w:proofErr w:type="gramStart"/>
      <w:r>
        <w:t>);</w:t>
      </w:r>
      <w:proofErr w:type="gramEnd"/>
    </w:p>
    <w:p w14:paraId="0E1ACFA7" w14:textId="77777777" w:rsidR="00007F97" w:rsidRDefault="00C415CD">
      <w:pPr>
        <w:pStyle w:val="Odstavekseznama"/>
        <w:numPr>
          <w:ilvl w:val="0"/>
          <w:numId w:val="2"/>
        </w:numPr>
      </w:pPr>
      <w:r>
        <w:t>Convening and preparing meetings at ministerial level, as appropriate.</w:t>
      </w:r>
    </w:p>
    <w:p w14:paraId="359CE3DB" w14:textId="7194E041" w:rsidR="00007F97" w:rsidRDefault="00007F97"/>
    <w:p w14:paraId="5EDE0626" w14:textId="76E364AF" w:rsidR="00007F97" w:rsidRDefault="00F20698" w:rsidP="002E6BDF">
      <w:pPr>
        <w:pStyle w:val="Naslov1"/>
        <w:numPr>
          <w:ilvl w:val="0"/>
          <w:numId w:val="3"/>
        </w:numPr>
        <w:tabs>
          <w:tab w:val="clear" w:pos="900"/>
        </w:tabs>
        <w:ind w:left="851" w:hanging="131"/>
      </w:pPr>
      <w:r>
        <w:t xml:space="preserve"> </w:t>
      </w:r>
      <w:r w:rsidR="00C415CD">
        <w:t xml:space="preserve">Meetings </w:t>
      </w:r>
    </w:p>
    <w:p w14:paraId="069EC57C" w14:textId="77777777" w:rsidR="00007F97" w:rsidRDefault="00C415CD">
      <w:pPr>
        <w:pStyle w:val="Odstavekseznama"/>
        <w:numPr>
          <w:ilvl w:val="1"/>
          <w:numId w:val="4"/>
        </w:numPr>
        <w:ind w:left="567" w:hanging="567"/>
        <w:rPr>
          <w:lang w:eastAsia="hu-HU"/>
        </w:rPr>
      </w:pPr>
      <w:r>
        <w:rPr>
          <w:lang w:eastAsia="hu-HU"/>
        </w:rPr>
        <w:t xml:space="preserve">The GB shall convene at least twice in the Presidency year. Extraordinary GB meetings shall be called by the Chair, in cooperation with the Commission, upon consultations </w:t>
      </w:r>
      <w:r>
        <w:rPr>
          <w:lang w:val="en-US" w:eastAsia="hu-HU"/>
        </w:rPr>
        <w:t>and consensual approval of all participating countries</w:t>
      </w:r>
      <w:r>
        <w:rPr>
          <w:lang w:eastAsia="hu-HU"/>
        </w:rPr>
        <w:t xml:space="preserve">. </w:t>
      </w:r>
    </w:p>
    <w:p w14:paraId="349EE1BD" w14:textId="77777777" w:rsidR="008D21AC" w:rsidRDefault="008D21AC" w:rsidP="008D21AC">
      <w:pPr>
        <w:pStyle w:val="Odstavekseznama"/>
        <w:ind w:left="567"/>
        <w:rPr>
          <w:lang w:eastAsia="hu-HU"/>
        </w:rPr>
      </w:pPr>
    </w:p>
    <w:p w14:paraId="140AEC2F" w14:textId="77777777" w:rsidR="00007F97" w:rsidRDefault="00C415CD">
      <w:pPr>
        <w:pStyle w:val="Odstavekseznama"/>
        <w:numPr>
          <w:ilvl w:val="1"/>
          <w:numId w:val="4"/>
        </w:numPr>
        <w:ind w:left="567" w:hanging="567"/>
        <w:rPr>
          <w:lang w:eastAsia="hu-HU"/>
        </w:rPr>
      </w:pPr>
      <w:r>
        <w:rPr>
          <w:lang w:eastAsia="hu-HU"/>
        </w:rPr>
        <w:t xml:space="preserve">The Chair, in coordination with the Commission, proposes venue, date, and duration of the meeting. GB members need to be pre-notified of the venue, date, and duration of the meeting at least 45 calendar days prior to its beginning. </w:t>
      </w:r>
    </w:p>
    <w:p w14:paraId="10CC2CEF" w14:textId="77777777" w:rsidR="008D21AC" w:rsidRDefault="008D21AC" w:rsidP="008D21AC">
      <w:pPr>
        <w:pStyle w:val="Odstavekseznama"/>
        <w:ind w:left="567"/>
        <w:rPr>
          <w:lang w:eastAsia="hu-HU"/>
        </w:rPr>
      </w:pPr>
    </w:p>
    <w:p w14:paraId="02137B27" w14:textId="77777777" w:rsidR="00007F97" w:rsidRDefault="00C415CD">
      <w:pPr>
        <w:pStyle w:val="Odstavekseznama"/>
        <w:numPr>
          <w:ilvl w:val="1"/>
          <w:numId w:val="4"/>
        </w:numPr>
        <w:ind w:left="567" w:hanging="567"/>
        <w:rPr>
          <w:lang w:eastAsia="hu-HU"/>
        </w:rPr>
      </w:pPr>
      <w:r>
        <w:rPr>
          <w:lang w:eastAsia="hu-HU"/>
        </w:rPr>
        <w:t>The GB meetings can be organized in person, on-line or in hybrid format.</w:t>
      </w:r>
    </w:p>
    <w:p w14:paraId="0C1CDCB6" w14:textId="77777777" w:rsidR="008D21AC" w:rsidRDefault="008D21AC" w:rsidP="008D21AC">
      <w:pPr>
        <w:pStyle w:val="Odstavekseznama"/>
        <w:ind w:left="567"/>
        <w:rPr>
          <w:lang w:eastAsia="hu-HU"/>
        </w:rPr>
      </w:pPr>
    </w:p>
    <w:p w14:paraId="43C86DCB" w14:textId="77777777" w:rsidR="00753E99" w:rsidRDefault="00C415CD">
      <w:pPr>
        <w:pStyle w:val="Odstavekseznama"/>
        <w:numPr>
          <w:ilvl w:val="1"/>
          <w:numId w:val="4"/>
        </w:numPr>
        <w:ind w:left="567" w:hanging="567"/>
      </w:pPr>
      <w:r>
        <w:rPr>
          <w:lang w:eastAsia="hu-HU"/>
        </w:rPr>
        <w:t xml:space="preserve">The meetings will be administratively and operationally supported by the EUSAIR Facility Point. The Facility Point Lead Partner provides administrative support to GB meetings, (e.g. preparation of agenda and issue papers/documents, registration of participants, drafting of minutes/operational conclusions and other secretarial </w:t>
      </w:r>
      <w:r>
        <w:rPr>
          <w:lang w:eastAsia="hu-HU"/>
        </w:rPr>
        <w:lastRenderedPageBreak/>
        <w:t>services). The Facility Point Project Partner from the country where the GB meeting is held provides operational support (e.g. venue, catering, etc.).</w:t>
      </w:r>
      <w:r w:rsidR="00B94E2F">
        <w:rPr>
          <w:lang w:eastAsia="hu-HU"/>
        </w:rPr>
        <w:t xml:space="preserve"> </w:t>
      </w:r>
    </w:p>
    <w:p w14:paraId="05054268" w14:textId="77777777" w:rsidR="008D21AC" w:rsidRDefault="008D21AC" w:rsidP="008D21AC">
      <w:pPr>
        <w:pStyle w:val="Odstavekseznama"/>
        <w:ind w:left="567"/>
      </w:pPr>
    </w:p>
    <w:p w14:paraId="7B002DB5" w14:textId="3465E329" w:rsidR="00007F97" w:rsidRDefault="00C415CD">
      <w:pPr>
        <w:pStyle w:val="Odstavekseznama"/>
        <w:numPr>
          <w:ilvl w:val="1"/>
          <w:numId w:val="4"/>
        </w:numPr>
        <w:ind w:left="567" w:hanging="567"/>
      </w:pPr>
      <w:r>
        <w:rPr>
          <w:lang w:eastAsia="hu-HU"/>
        </w:rPr>
        <w:t xml:space="preserve">Meetings of the GB can only be attended by Standing Members indicated in § 3. National Coordinators can be accompanied by nominated members of National Delegations. </w:t>
      </w:r>
    </w:p>
    <w:p w14:paraId="123C0C2A" w14:textId="77777777" w:rsidR="008D21AC" w:rsidRDefault="008D21AC" w:rsidP="008D21AC">
      <w:pPr>
        <w:pStyle w:val="Odstavekseznama"/>
        <w:ind w:left="567"/>
      </w:pPr>
    </w:p>
    <w:p w14:paraId="31234A23" w14:textId="3BBEF497" w:rsidR="00007F97" w:rsidRDefault="00C415CD" w:rsidP="002D7AB6">
      <w:pPr>
        <w:pStyle w:val="Odstavekseznama"/>
        <w:numPr>
          <w:ilvl w:val="1"/>
          <w:numId w:val="4"/>
        </w:numPr>
        <w:ind w:left="567" w:hanging="567"/>
        <w:rPr>
          <w:lang w:eastAsia="hu-HU"/>
        </w:rPr>
      </w:pPr>
      <w:r>
        <w:rPr>
          <w:lang w:eastAsia="hu-HU"/>
        </w:rPr>
        <w:t xml:space="preserve">The GB may decide to invite other participants as guests, as appropriate, in particular in accordance with the GB's agenda. Any Standing Member may propose guest participation, by submitting a written request to the Chair and the EUSAIR Facility Point at least seven calendar days prior to the meeting. The proposal should include the guest’s name, affiliation, and purpose of attendance. </w:t>
      </w:r>
      <w:r w:rsidRPr="002D7AB6">
        <w:rPr>
          <w:lang w:eastAsia="hu-HU"/>
        </w:rPr>
        <w:t>The</w:t>
      </w:r>
      <w:r w:rsidR="000219BC">
        <w:rPr>
          <w:lang w:eastAsia="hu-HU"/>
        </w:rPr>
        <w:t xml:space="preserve"> </w:t>
      </w:r>
      <w:r w:rsidRPr="002D7AB6">
        <w:rPr>
          <w:lang w:eastAsia="hu-HU"/>
        </w:rPr>
        <w:t xml:space="preserve">Chair will forward the proposal to the GB. The decision on inviting will be approved by participating countries </w:t>
      </w:r>
      <w:proofErr w:type="gramStart"/>
      <w:r w:rsidRPr="002D7AB6">
        <w:rPr>
          <w:lang w:eastAsia="hu-HU"/>
        </w:rPr>
        <w:t>on the basis of</w:t>
      </w:r>
      <w:proofErr w:type="gramEnd"/>
      <w:r w:rsidRPr="002D7AB6">
        <w:rPr>
          <w:lang w:eastAsia="hu-HU"/>
        </w:rPr>
        <w:t xml:space="preserve"> consensus. If approved by the GB, the guest will be formally invited by the Chair, to participate in the meeting, or to the relevant portion of it.</w:t>
      </w:r>
    </w:p>
    <w:p w14:paraId="1931EA5C" w14:textId="77777777" w:rsidR="008D21AC" w:rsidRPr="00053578" w:rsidRDefault="008D21AC" w:rsidP="008D21AC">
      <w:pPr>
        <w:pStyle w:val="Odstavekseznama"/>
        <w:ind w:left="567"/>
        <w:rPr>
          <w:lang w:eastAsia="hu-HU"/>
        </w:rPr>
      </w:pPr>
    </w:p>
    <w:p w14:paraId="31DFE919" w14:textId="77777777" w:rsidR="00007F97" w:rsidRDefault="00C415CD">
      <w:pPr>
        <w:pStyle w:val="Odstavekseznama"/>
        <w:numPr>
          <w:ilvl w:val="1"/>
          <w:numId w:val="4"/>
        </w:numPr>
        <w:ind w:left="567" w:hanging="567"/>
        <w:rPr>
          <w:lang w:eastAsia="hu-HU"/>
        </w:rPr>
      </w:pPr>
      <w:r>
        <w:rPr>
          <w:lang w:eastAsia="hu-HU"/>
        </w:rPr>
        <w:t xml:space="preserve">GB meetings shall be conducted in English. Participants may bring interpreters at their own expenses. </w:t>
      </w:r>
    </w:p>
    <w:p w14:paraId="75FE2963" w14:textId="77777777" w:rsidR="00007F97" w:rsidRDefault="00007F97"/>
    <w:p w14:paraId="3286BBD8" w14:textId="2F55D580" w:rsidR="00007F97" w:rsidRDefault="00F20698" w:rsidP="008174B1">
      <w:pPr>
        <w:pStyle w:val="Naslov1"/>
        <w:numPr>
          <w:ilvl w:val="0"/>
          <w:numId w:val="3"/>
        </w:numPr>
        <w:tabs>
          <w:tab w:val="clear" w:pos="900"/>
          <w:tab w:val="clear" w:pos="1128"/>
          <w:tab w:val="left" w:pos="993"/>
        </w:tabs>
        <w:ind w:left="851" w:hanging="284"/>
      </w:pPr>
      <w:r>
        <w:t xml:space="preserve"> </w:t>
      </w:r>
      <w:r w:rsidR="00C415CD">
        <w:t>Agenda of the GB meetings</w:t>
      </w:r>
    </w:p>
    <w:p w14:paraId="75E11120" w14:textId="77777777" w:rsidR="00007F97" w:rsidRDefault="00C415CD">
      <w:pPr>
        <w:pStyle w:val="Odstavekseznama"/>
        <w:numPr>
          <w:ilvl w:val="1"/>
          <w:numId w:val="5"/>
        </w:numPr>
        <w:ind w:left="426" w:hanging="426"/>
        <w:rPr>
          <w:lang w:eastAsia="hu-HU"/>
        </w:rPr>
      </w:pPr>
      <w:r>
        <w:rPr>
          <w:lang w:eastAsia="hu-HU"/>
        </w:rPr>
        <w:t xml:space="preserve">A draft agenda, prepared by the Chair in cooperation with the Commission, supported by the EUSAIR Facility Point Lead Partner, is provided at the latest 30 calendar days before the meeting. </w:t>
      </w:r>
    </w:p>
    <w:p w14:paraId="0627BC19" w14:textId="77777777" w:rsidR="008D21AC" w:rsidRDefault="008D21AC" w:rsidP="008D21AC">
      <w:pPr>
        <w:pStyle w:val="Odstavekseznama"/>
        <w:ind w:left="426"/>
        <w:rPr>
          <w:lang w:eastAsia="hu-HU"/>
        </w:rPr>
      </w:pPr>
    </w:p>
    <w:p w14:paraId="7B284D69" w14:textId="06FB129D" w:rsidR="00007F97" w:rsidRDefault="00C415CD" w:rsidP="002D7AB6">
      <w:pPr>
        <w:pStyle w:val="Odstavekseznama"/>
        <w:numPr>
          <w:ilvl w:val="1"/>
          <w:numId w:val="5"/>
        </w:numPr>
        <w:ind w:left="426" w:hanging="426"/>
        <w:rPr>
          <w:lang w:eastAsia="hu-HU"/>
        </w:rPr>
      </w:pPr>
      <w:r>
        <w:rPr>
          <w:lang w:eastAsia="hu-HU"/>
        </w:rPr>
        <w:t xml:space="preserve">The draft agenda shall indicate for each point whether a written document shall be provided. </w:t>
      </w:r>
      <w:bookmarkStart w:id="3" w:name="_Hlk218852939"/>
      <w:bookmarkEnd w:id="3"/>
      <w:r>
        <w:rPr>
          <w:lang w:eastAsia="hu-HU"/>
        </w:rPr>
        <w:t xml:space="preserve">Documents </w:t>
      </w:r>
      <w:r w:rsidRPr="002D7AB6">
        <w:rPr>
          <w:lang w:eastAsia="hu-HU"/>
        </w:rPr>
        <w:t xml:space="preserve">foreseen for approval </w:t>
      </w:r>
      <w:r w:rsidRPr="000219BC">
        <w:rPr>
          <w:lang w:eastAsia="hu-HU"/>
        </w:rPr>
        <w:t>shall be sent at least 22 calendar days prior to the meeting</w:t>
      </w:r>
      <w:r w:rsidRPr="002D7AB6">
        <w:rPr>
          <w:lang w:eastAsia="hu-HU"/>
        </w:rPr>
        <w:t>, documents foreseen for discussion or information shall be sent</w:t>
      </w:r>
      <w:r w:rsidRPr="000219BC">
        <w:rPr>
          <w:lang w:eastAsia="hu-HU"/>
        </w:rPr>
        <w:t xml:space="preserve"> 10 calendar days </w:t>
      </w:r>
      <w:r w:rsidRPr="002D7AB6">
        <w:rPr>
          <w:lang w:eastAsia="hu-HU"/>
        </w:rPr>
        <w:t>prior</w:t>
      </w:r>
      <w:r w:rsidRPr="000219BC">
        <w:rPr>
          <w:lang w:eastAsia="hu-HU"/>
        </w:rPr>
        <w:t xml:space="preserve"> </w:t>
      </w:r>
      <w:r w:rsidRPr="002D7AB6">
        <w:rPr>
          <w:lang w:eastAsia="hu-HU"/>
        </w:rPr>
        <w:t>to the meeting</w:t>
      </w:r>
      <w:r w:rsidRPr="000219BC">
        <w:rPr>
          <w:lang w:eastAsia="hu-HU"/>
        </w:rPr>
        <w:t>,</w:t>
      </w:r>
      <w:r w:rsidRPr="000219BC">
        <w:t xml:space="preserve"> </w:t>
      </w:r>
      <w:r w:rsidRPr="000219BC">
        <w:rPr>
          <w:lang w:eastAsia="hu-HU"/>
        </w:rPr>
        <w:t>unless exceptional duly justified circumstances require circulating a document closer to the date of the meeting, but not less than 5 calendar days.</w:t>
      </w:r>
    </w:p>
    <w:p w14:paraId="5236CC67" w14:textId="77777777" w:rsidR="008D21AC" w:rsidRPr="000219BC" w:rsidRDefault="008D21AC" w:rsidP="008D21AC">
      <w:pPr>
        <w:pStyle w:val="Odstavekseznama"/>
        <w:ind w:left="426"/>
        <w:rPr>
          <w:lang w:eastAsia="hu-HU"/>
        </w:rPr>
      </w:pPr>
    </w:p>
    <w:p w14:paraId="542EBBDD" w14:textId="77777777" w:rsidR="00007F97" w:rsidRDefault="00C415CD">
      <w:pPr>
        <w:pStyle w:val="Odstavekseznama"/>
        <w:numPr>
          <w:ilvl w:val="1"/>
          <w:numId w:val="5"/>
        </w:numPr>
        <w:ind w:left="426" w:hanging="426"/>
        <w:rPr>
          <w:lang w:eastAsia="hu-HU"/>
        </w:rPr>
      </w:pPr>
      <w:r>
        <w:rPr>
          <w:lang w:eastAsia="hu-HU"/>
        </w:rPr>
        <w:t>Any request to put an item on the agenda (except for points under "any other business") must be communicated to the Chair at least 10 calendar days before the date of the meeting. If there is evidence of urgency, the GB members can propose to add other items to the agenda at the meeting itself. Their final inclusion will be subject to approval by the GB. The final agenda is adopted at the GB meeting as one of the first items of the agenda.</w:t>
      </w:r>
    </w:p>
    <w:p w14:paraId="1FE9FDE8" w14:textId="77777777" w:rsidR="00007F97" w:rsidRDefault="00007F97">
      <w:pPr>
        <w:pStyle w:val="Odstavekseznama"/>
        <w:ind w:left="357"/>
        <w:rPr>
          <w:lang w:eastAsia="hu-HU"/>
        </w:rPr>
      </w:pPr>
    </w:p>
    <w:p w14:paraId="6EBE60FB" w14:textId="77777777" w:rsidR="00007F97" w:rsidRPr="002E6BDF" w:rsidRDefault="00C415CD" w:rsidP="008174B1">
      <w:pPr>
        <w:pStyle w:val="Naslov1"/>
        <w:numPr>
          <w:ilvl w:val="0"/>
          <w:numId w:val="3"/>
        </w:numPr>
        <w:tabs>
          <w:tab w:val="clear" w:pos="900"/>
          <w:tab w:val="clear" w:pos="1128"/>
          <w:tab w:val="left" w:pos="993"/>
        </w:tabs>
        <w:ind w:left="851" w:hanging="284"/>
      </w:pPr>
      <w:r w:rsidRPr="002E6BDF">
        <w:t>Conclusions and minutes of the GB meetings</w:t>
      </w:r>
    </w:p>
    <w:p w14:paraId="189B63C3" w14:textId="77777777" w:rsidR="00007F97" w:rsidRDefault="00C415CD">
      <w:pPr>
        <w:pStyle w:val="Odstavekseznama"/>
        <w:numPr>
          <w:ilvl w:val="1"/>
          <w:numId w:val="6"/>
        </w:numPr>
        <w:ind w:left="567" w:hanging="567"/>
        <w:rPr>
          <w:lang w:eastAsia="hu-HU"/>
        </w:rPr>
      </w:pPr>
      <w:r>
        <w:rPr>
          <w:lang w:eastAsia="hu-HU"/>
        </w:rPr>
        <w:t xml:space="preserve">The Chair supported by the EUSAIR Facility Point drafts conclusions at the GB meeting capturing adopted decisions and agreed conclusions. At the latest at the end of the meeting, the GB conclusions are adopted. </w:t>
      </w:r>
    </w:p>
    <w:p w14:paraId="28C6278E" w14:textId="77777777" w:rsidR="008D21AC" w:rsidRDefault="008D21AC" w:rsidP="008D21AC">
      <w:pPr>
        <w:pStyle w:val="Odstavekseznama"/>
        <w:ind w:left="567"/>
        <w:rPr>
          <w:lang w:eastAsia="hu-HU"/>
        </w:rPr>
      </w:pPr>
    </w:p>
    <w:p w14:paraId="1C4EFCF2" w14:textId="58FF4EFE" w:rsidR="00007F97" w:rsidRDefault="00C415CD">
      <w:pPr>
        <w:pStyle w:val="Odstavekseznama"/>
        <w:numPr>
          <w:ilvl w:val="1"/>
          <w:numId w:val="6"/>
        </w:numPr>
        <w:ind w:left="567" w:hanging="567"/>
        <w:rPr>
          <w:lang w:eastAsia="hu-HU"/>
        </w:rPr>
      </w:pPr>
      <w:r>
        <w:rPr>
          <w:lang w:eastAsia="hu-HU"/>
        </w:rPr>
        <w:t>The Chair</w:t>
      </w:r>
      <w:r w:rsidR="0072320F">
        <w:rPr>
          <w:lang w:eastAsia="hu-HU"/>
        </w:rPr>
        <w:t xml:space="preserve"> </w:t>
      </w:r>
      <w:r>
        <w:rPr>
          <w:lang w:eastAsia="hu-HU"/>
        </w:rPr>
        <w:t xml:space="preserve">drafts and circulates the minutes within 20 calendar days following GB meetings. Participants shall provide comments, if any, within 10 calendar days after reception of the minutes. Minutes, amended </w:t>
      </w:r>
      <w:proofErr w:type="gramStart"/>
      <w:r>
        <w:rPr>
          <w:lang w:eastAsia="hu-HU"/>
        </w:rPr>
        <w:t>on the basis of</w:t>
      </w:r>
      <w:proofErr w:type="gramEnd"/>
      <w:r>
        <w:rPr>
          <w:lang w:eastAsia="hu-HU"/>
        </w:rPr>
        <w:t xml:space="preserve"> received comments, shall be formally adopted at the next GB meeting.</w:t>
      </w:r>
    </w:p>
    <w:p w14:paraId="1D4A7FDF" w14:textId="77777777" w:rsidR="00007F97" w:rsidRDefault="00007F97">
      <w:pPr>
        <w:pStyle w:val="Odstavekseznama"/>
        <w:ind w:left="357"/>
        <w:rPr>
          <w:lang w:eastAsia="hu-HU"/>
        </w:rPr>
      </w:pPr>
    </w:p>
    <w:p w14:paraId="4E184B14" w14:textId="55863E63" w:rsidR="00007F97" w:rsidRDefault="00C415CD" w:rsidP="008174B1">
      <w:pPr>
        <w:pStyle w:val="Naslov1"/>
        <w:numPr>
          <w:ilvl w:val="0"/>
          <w:numId w:val="3"/>
        </w:numPr>
        <w:tabs>
          <w:tab w:val="clear" w:pos="900"/>
          <w:tab w:val="clear" w:pos="1128"/>
          <w:tab w:val="left" w:pos="993"/>
        </w:tabs>
        <w:ind w:left="851" w:hanging="284"/>
      </w:pPr>
      <w:r>
        <w:t xml:space="preserve">Decision-making rules </w:t>
      </w:r>
    </w:p>
    <w:p w14:paraId="1606193A" w14:textId="1470887C" w:rsidR="00277C6D" w:rsidRDefault="00C415CD">
      <w:pPr>
        <w:pStyle w:val="Odstavekseznama"/>
        <w:numPr>
          <w:ilvl w:val="1"/>
          <w:numId w:val="7"/>
        </w:numPr>
        <w:ind w:left="567" w:hanging="567"/>
      </w:pPr>
      <w:r>
        <w:rPr>
          <w:lang w:eastAsia="hu-HU"/>
        </w:rPr>
        <w:t>For GB meetings to be entitled to make decisions, a quorum of at least six countries (50% + 1 rule), represented by their National Coordinators</w:t>
      </w:r>
      <w:r>
        <w:t xml:space="preserve"> </w:t>
      </w:r>
      <w:r w:rsidR="001272F0">
        <w:t xml:space="preserve">or </w:t>
      </w:r>
      <w:r>
        <w:t>their delegated/appointed substitutes</w:t>
      </w:r>
      <w:r w:rsidR="001272F0">
        <w:t xml:space="preserve"> as defined in </w:t>
      </w:r>
      <w:bookmarkStart w:id="4" w:name="_Hlk221269076"/>
      <w:r w:rsidR="007C2732">
        <w:rPr>
          <w:lang w:eastAsia="hu-HU"/>
        </w:rPr>
        <w:t>§</w:t>
      </w:r>
      <w:bookmarkEnd w:id="4"/>
      <w:r w:rsidR="001272F0">
        <w:t xml:space="preserve"> 3</w:t>
      </w:r>
      <w:r>
        <w:rPr>
          <w:lang w:eastAsia="hu-HU"/>
        </w:rPr>
        <w:t>, must be secured. Absence of Standing Members not entitled to participate in decision making will not affect the required quorum.</w:t>
      </w:r>
    </w:p>
    <w:p w14:paraId="6E5CDD91" w14:textId="77777777" w:rsidR="00277C6D" w:rsidRDefault="00277C6D" w:rsidP="002D7AB6">
      <w:pPr>
        <w:pStyle w:val="Odstavekseznama"/>
        <w:ind w:left="567"/>
      </w:pPr>
    </w:p>
    <w:p w14:paraId="60836EEA" w14:textId="4D09DB38" w:rsidR="00736760" w:rsidRDefault="00C415CD" w:rsidP="00736760">
      <w:pPr>
        <w:pStyle w:val="Odstavekseznama"/>
        <w:numPr>
          <w:ilvl w:val="1"/>
          <w:numId w:val="7"/>
        </w:numPr>
        <w:ind w:left="567" w:hanging="567"/>
      </w:pPr>
      <w:r>
        <w:t xml:space="preserve">Decisions at the GB meeting are made by consensus among the National Coordinators or their delegated/appointed substitutes attending the meeting. According to the “one country one vote” principle, each participating country delegation shall have one vote. </w:t>
      </w:r>
      <w:r w:rsidRPr="00277C6D">
        <w:t xml:space="preserve">Country delegations have the right to abstain from voting. An abstention does not count against </w:t>
      </w:r>
      <w:r w:rsidRPr="002D7AB6">
        <w:t>consensus.</w:t>
      </w:r>
      <w:r w:rsidRPr="00277C6D">
        <w:t xml:space="preserve"> Votes cannot be delegated to other countries.</w:t>
      </w:r>
    </w:p>
    <w:p w14:paraId="5AD47778" w14:textId="43E5C355" w:rsidR="00736760" w:rsidRPr="00277C6D" w:rsidRDefault="00736760" w:rsidP="00736760">
      <w:pPr>
        <w:pStyle w:val="Odstavekseznama"/>
        <w:ind w:left="567"/>
      </w:pPr>
      <w:r w:rsidRPr="00736760">
        <w:t>Other Standing Members or guests do not take part in the decision making. The Commission offers services as an honest broker for the purpose of fostering consensus. If, however, consensus cannot be reached, any participating country may ask for temporary deferral of a decision, pending search for agreement. In any event, the Commission may ask for deferral of a decision if it deems EU interests or core objectives of the Strategy to be at stake.</w:t>
      </w:r>
    </w:p>
    <w:p w14:paraId="1B06BFFC" w14:textId="77777777" w:rsidR="00007F97" w:rsidRDefault="00007F97">
      <w:pPr>
        <w:pStyle w:val="Odstavekseznama"/>
        <w:ind w:left="567"/>
        <w:rPr>
          <w:lang w:eastAsia="hu-HU"/>
        </w:rPr>
      </w:pPr>
    </w:p>
    <w:p w14:paraId="18783208" w14:textId="378300C4" w:rsidR="00007F97" w:rsidRDefault="00C415CD" w:rsidP="002D7AB6">
      <w:pPr>
        <w:pStyle w:val="Odstavekseznama"/>
        <w:numPr>
          <w:ilvl w:val="1"/>
          <w:numId w:val="7"/>
        </w:numPr>
        <w:ind w:left="567" w:hanging="567"/>
      </w:pPr>
      <w:r>
        <w:rPr>
          <w:lang w:eastAsia="hu-HU"/>
        </w:rPr>
        <w:t xml:space="preserve">Decisions can also be taken by a written decision-making process (written procedure) by National Coordinators in line with the provisions of § 11.2. Written procedures are launched by the Chair, in cooperation with the Commission, supported by the EUSAIR Facility Point Lead Partner, by sending a draft decision and the concerned documents to all participating countries delegations, which shall have 22 calendar days to respond in writing. Response should clearly indicate the </w:t>
      </w:r>
      <w:r>
        <w:rPr>
          <w:lang w:eastAsia="hu-HU"/>
        </w:rPr>
        <w:lastRenderedPageBreak/>
        <w:t xml:space="preserve">country’s position towards the draft decision, only minor technical amendments to the proposed draft decision and documents can be suggested. If no response is received by the specified deadline, it will be considered as silent agreement. The use of written procedures should take due account of holiday periods in the EUSAIR countries. </w:t>
      </w:r>
    </w:p>
    <w:p w14:paraId="56242D74" w14:textId="7976A392" w:rsidR="00007F97" w:rsidRDefault="00C415CD">
      <w:pPr>
        <w:ind w:left="567" w:hanging="567"/>
      </w:pPr>
      <w:r>
        <w:tab/>
        <w:t>After the written response period of 22 calendar days has expired, the Chair</w:t>
      </w:r>
      <w:r w:rsidR="008A7A8D">
        <w:t xml:space="preserve"> </w:t>
      </w:r>
      <w:r>
        <w:t xml:space="preserve">shall inform all GB Standing Members whether the decision is deemed to be taken or whether objections have been raised. If written objections are raised, the decision shall not be adopted and need to be re-examined by the GB. </w:t>
      </w:r>
    </w:p>
    <w:p w14:paraId="44F09F18" w14:textId="77777777" w:rsidR="00007F97" w:rsidRDefault="00C415CD">
      <w:pPr>
        <w:pStyle w:val="Odstavekseznama"/>
        <w:numPr>
          <w:ilvl w:val="1"/>
          <w:numId w:val="7"/>
        </w:numPr>
        <w:ind w:left="567" w:hanging="567"/>
        <w:rPr>
          <w:lang w:eastAsia="hu-HU"/>
        </w:rPr>
      </w:pPr>
      <w:r>
        <w:rPr>
          <w:lang w:eastAsia="hu-HU"/>
        </w:rPr>
        <w:t>Any decisions already adopted by the GB, according to above set provisions in § 11.2 and 11.3, may be further amended/changed only upon a formal request to the Presidency from at least 6 participating countries via their National Coordinators.</w:t>
      </w:r>
    </w:p>
    <w:p w14:paraId="4A1DAC30" w14:textId="77777777" w:rsidR="00007F97" w:rsidRDefault="00007F97" w:rsidP="002D7AB6">
      <w:pPr>
        <w:pStyle w:val="Odstavekseznama"/>
        <w:ind w:left="567"/>
        <w:rPr>
          <w:lang w:eastAsia="hu-HU"/>
        </w:rPr>
      </w:pPr>
    </w:p>
    <w:p w14:paraId="6F6387E0" w14:textId="77777777" w:rsidR="00007F97" w:rsidRDefault="00C415CD" w:rsidP="008174B1">
      <w:pPr>
        <w:pStyle w:val="Naslov1"/>
        <w:numPr>
          <w:ilvl w:val="0"/>
          <w:numId w:val="3"/>
        </w:numPr>
        <w:tabs>
          <w:tab w:val="clear" w:pos="900"/>
          <w:tab w:val="clear" w:pos="1128"/>
          <w:tab w:val="left" w:pos="993"/>
        </w:tabs>
        <w:ind w:left="851" w:hanging="284"/>
      </w:pPr>
      <w:r>
        <w:t>Working language and communication</w:t>
      </w:r>
    </w:p>
    <w:p w14:paraId="58607F6E" w14:textId="77777777" w:rsidR="00007F97" w:rsidRDefault="00C415CD">
      <w:pPr>
        <w:pStyle w:val="Odstavekseznama"/>
        <w:numPr>
          <w:ilvl w:val="1"/>
          <w:numId w:val="8"/>
        </w:numPr>
        <w:ind w:left="567" w:hanging="567"/>
        <w:rPr>
          <w:lang w:eastAsia="hu-HU"/>
        </w:rPr>
      </w:pPr>
      <w:r>
        <w:rPr>
          <w:lang w:eastAsia="hu-HU"/>
        </w:rPr>
        <w:t xml:space="preserve">The working language of the GB meetings, of written procedures and of any other communication shall be English. Any documents exchanged within the GB shall be transmitted in English by e-mail. </w:t>
      </w:r>
    </w:p>
    <w:p w14:paraId="6B61CA74" w14:textId="77777777" w:rsidR="008D21AC" w:rsidRDefault="008D21AC" w:rsidP="008D21AC">
      <w:pPr>
        <w:pStyle w:val="Odstavekseznama"/>
        <w:ind w:left="567"/>
        <w:rPr>
          <w:lang w:eastAsia="hu-HU"/>
        </w:rPr>
      </w:pPr>
    </w:p>
    <w:p w14:paraId="09057DE6" w14:textId="77777777" w:rsidR="00007F97" w:rsidRDefault="00C415CD">
      <w:pPr>
        <w:pStyle w:val="Odstavekseznama"/>
        <w:numPr>
          <w:ilvl w:val="1"/>
          <w:numId w:val="8"/>
        </w:numPr>
        <w:ind w:left="567" w:hanging="567"/>
        <w:rPr>
          <w:lang w:eastAsia="hu-HU"/>
        </w:rPr>
      </w:pPr>
      <w:r>
        <w:t>Any possible effort shall be done to ensure the correctness and effectiveness of communications.</w:t>
      </w:r>
    </w:p>
    <w:p w14:paraId="32BB995A" w14:textId="77777777" w:rsidR="00007F97" w:rsidRDefault="00007F97"/>
    <w:p w14:paraId="61F6DF65" w14:textId="77777777" w:rsidR="00007F97" w:rsidRDefault="00C415CD" w:rsidP="002E6BDF">
      <w:pPr>
        <w:pStyle w:val="Naslov1"/>
        <w:numPr>
          <w:ilvl w:val="0"/>
          <w:numId w:val="3"/>
        </w:numPr>
        <w:tabs>
          <w:tab w:val="clear" w:pos="900"/>
        </w:tabs>
        <w:ind w:left="851" w:hanging="131"/>
      </w:pPr>
      <w:r>
        <w:t>Confidentiality</w:t>
      </w:r>
    </w:p>
    <w:p w14:paraId="56E50D64" w14:textId="77777777" w:rsidR="00007F97" w:rsidRDefault="00C415CD">
      <w:pPr>
        <w:pStyle w:val="Odstavekseznama"/>
        <w:numPr>
          <w:ilvl w:val="1"/>
          <w:numId w:val="10"/>
        </w:numPr>
        <w:ind w:left="567" w:hanging="567"/>
      </w:pPr>
      <w:r>
        <w:t>Discussions at GB meetings, as well as related communication material included in working documents and the EUSAIR internal online repository shall be treated strictly confidentially, unless unanimously decided differently.</w:t>
      </w:r>
    </w:p>
    <w:p w14:paraId="2CEFF471" w14:textId="77777777" w:rsidR="008D21AC" w:rsidRDefault="008D21AC" w:rsidP="008D21AC">
      <w:pPr>
        <w:pStyle w:val="Odstavekseznama"/>
        <w:ind w:left="567"/>
      </w:pPr>
    </w:p>
    <w:p w14:paraId="2C3F9E28" w14:textId="77777777" w:rsidR="00007F97" w:rsidRDefault="00C415CD">
      <w:pPr>
        <w:pStyle w:val="Odstavekseznama"/>
        <w:numPr>
          <w:ilvl w:val="1"/>
          <w:numId w:val="10"/>
        </w:numPr>
        <w:ind w:left="567" w:hanging="567"/>
      </w:pPr>
      <w:r>
        <w:t>This does not apply to normal consultations NCs carry out within their state and/or regional administrations and related bodies.</w:t>
      </w:r>
    </w:p>
    <w:p w14:paraId="1FA31C6E" w14:textId="77777777" w:rsidR="00007F97" w:rsidRDefault="00007F97">
      <w:pPr>
        <w:pStyle w:val="Odstavekseznama"/>
        <w:ind w:left="567"/>
      </w:pPr>
    </w:p>
    <w:p w14:paraId="4F866EC4" w14:textId="77777777" w:rsidR="00007F97" w:rsidRDefault="00C415CD" w:rsidP="002E6BDF">
      <w:pPr>
        <w:pStyle w:val="Naslov1"/>
        <w:numPr>
          <w:ilvl w:val="0"/>
          <w:numId w:val="3"/>
        </w:numPr>
        <w:tabs>
          <w:tab w:val="clear" w:pos="900"/>
        </w:tabs>
        <w:ind w:left="851" w:hanging="131"/>
      </w:pPr>
      <w:r>
        <w:t>GB Task Forces</w:t>
      </w:r>
    </w:p>
    <w:p w14:paraId="735447FE" w14:textId="77777777" w:rsidR="00007F97" w:rsidRDefault="00007F97">
      <w:pPr>
        <w:pStyle w:val="Odstavekseznama"/>
        <w:numPr>
          <w:ilvl w:val="0"/>
          <w:numId w:val="11"/>
        </w:numPr>
        <w:rPr>
          <w:vanish/>
        </w:rPr>
      </w:pPr>
    </w:p>
    <w:p w14:paraId="035ABF9B" w14:textId="77777777" w:rsidR="00007F97" w:rsidRDefault="00007F97">
      <w:pPr>
        <w:pStyle w:val="Odstavekseznama"/>
        <w:numPr>
          <w:ilvl w:val="0"/>
          <w:numId w:val="11"/>
        </w:numPr>
        <w:rPr>
          <w:vanish/>
        </w:rPr>
      </w:pPr>
    </w:p>
    <w:p w14:paraId="4B75592D" w14:textId="77777777" w:rsidR="00007F97" w:rsidRDefault="00007F97">
      <w:pPr>
        <w:pStyle w:val="Odstavekseznama"/>
        <w:numPr>
          <w:ilvl w:val="0"/>
          <w:numId w:val="10"/>
        </w:numPr>
        <w:rPr>
          <w:vanish/>
        </w:rPr>
      </w:pPr>
    </w:p>
    <w:p w14:paraId="6FEAF234" w14:textId="77777777" w:rsidR="00007F97" w:rsidRDefault="00007F97">
      <w:pPr>
        <w:pStyle w:val="Odstavekseznama"/>
        <w:numPr>
          <w:ilvl w:val="0"/>
          <w:numId w:val="10"/>
        </w:numPr>
        <w:rPr>
          <w:vanish/>
        </w:rPr>
      </w:pPr>
    </w:p>
    <w:p w14:paraId="235AB372" w14:textId="2DFF62C3" w:rsidR="00007F97" w:rsidRDefault="00753E99" w:rsidP="002D7AB6">
      <w:pPr>
        <w:pStyle w:val="Odstavekseznama"/>
        <w:numPr>
          <w:ilvl w:val="1"/>
          <w:numId w:val="14"/>
        </w:numPr>
      </w:pPr>
      <w:r>
        <w:t xml:space="preserve"> </w:t>
      </w:r>
      <w:r w:rsidR="00C415CD">
        <w:t>The GB can establish working groups</w:t>
      </w:r>
      <w:r w:rsidR="00D0461D">
        <w:t xml:space="preserve"> or</w:t>
      </w:r>
      <w:r w:rsidR="00C415CD">
        <w:t xml:space="preserve"> task forces (hereinafter task forces) for the purpose of operational work and preparation of proposals for GB decisions on specific topics or EUSAIR processes. Mandate, nominations, duration and tasks are defined as needed and on case-by case basis.</w:t>
      </w:r>
    </w:p>
    <w:p w14:paraId="5B24650B" w14:textId="77777777" w:rsidR="008D21AC" w:rsidRDefault="008D21AC" w:rsidP="008D21AC">
      <w:pPr>
        <w:pStyle w:val="Odstavekseznama"/>
        <w:ind w:left="420"/>
      </w:pPr>
    </w:p>
    <w:p w14:paraId="69A2EE4F" w14:textId="77777777" w:rsidR="00007F97" w:rsidRDefault="00C415CD">
      <w:pPr>
        <w:pStyle w:val="Odstavekseznama"/>
        <w:numPr>
          <w:ilvl w:val="1"/>
          <w:numId w:val="14"/>
        </w:numPr>
      </w:pPr>
      <w:r>
        <w:t xml:space="preserve"> Members of task forces, nominated by the EUSAIR participating countries are representing country positions at the task force and shall therefore be duly empowered by their respective Governments/administrations. Proper exchange of information shall be established within National Coordination.</w:t>
      </w:r>
    </w:p>
    <w:p w14:paraId="61C81862" w14:textId="77777777" w:rsidR="008D21AC" w:rsidRDefault="008D21AC" w:rsidP="008D21AC">
      <w:pPr>
        <w:pStyle w:val="Odstavekseznama"/>
        <w:ind w:left="420"/>
      </w:pPr>
    </w:p>
    <w:p w14:paraId="2A9D3AFF" w14:textId="77777777" w:rsidR="00007F97" w:rsidRDefault="00C415CD">
      <w:pPr>
        <w:pStyle w:val="Odstavekseznama"/>
        <w:numPr>
          <w:ilvl w:val="1"/>
          <w:numId w:val="14"/>
        </w:numPr>
      </w:pPr>
      <w:r>
        <w:t xml:space="preserve"> National Coordinators should take care of the active participation of their representatives in the task forces. They should liaise with national representatives in the task force and encourage – wherever possible – for continuous and proactive participation.</w:t>
      </w:r>
    </w:p>
    <w:p w14:paraId="6CED0A7F" w14:textId="77777777" w:rsidR="00007F97" w:rsidRDefault="00007F97"/>
    <w:p w14:paraId="5CB89D60" w14:textId="77777777" w:rsidR="00007F97" w:rsidRDefault="00C415CD" w:rsidP="008174B1">
      <w:pPr>
        <w:pStyle w:val="Naslov1"/>
        <w:numPr>
          <w:ilvl w:val="0"/>
          <w:numId w:val="3"/>
        </w:numPr>
        <w:tabs>
          <w:tab w:val="clear" w:pos="900"/>
          <w:tab w:val="clear" w:pos="1128"/>
          <w:tab w:val="left" w:pos="993"/>
        </w:tabs>
        <w:ind w:left="851" w:hanging="284"/>
      </w:pPr>
      <w:r>
        <w:t>Adoption and revision</w:t>
      </w:r>
    </w:p>
    <w:p w14:paraId="317A53CD" w14:textId="77777777" w:rsidR="00007F97" w:rsidRDefault="00C415CD">
      <w:pPr>
        <w:pStyle w:val="Odstavekseznama"/>
        <w:numPr>
          <w:ilvl w:val="1"/>
          <w:numId w:val="12"/>
        </w:numPr>
        <w:ind w:left="567" w:hanging="567"/>
      </w:pPr>
      <w:r>
        <w:t xml:space="preserve">Rules of Procedure are adopted by consensual approval of all participating countries. </w:t>
      </w:r>
    </w:p>
    <w:p w14:paraId="0E2C95CE" w14:textId="77777777" w:rsidR="008D21AC" w:rsidRDefault="008D21AC" w:rsidP="008D21AC">
      <w:pPr>
        <w:pStyle w:val="Odstavekseznama"/>
        <w:ind w:left="567"/>
      </w:pPr>
    </w:p>
    <w:p w14:paraId="3CEDB6D7" w14:textId="77777777" w:rsidR="00007F97" w:rsidRDefault="00C415CD">
      <w:pPr>
        <w:pStyle w:val="Odstavekseznama"/>
        <w:numPr>
          <w:ilvl w:val="1"/>
          <w:numId w:val="12"/>
        </w:numPr>
        <w:ind w:left="567" w:hanging="567"/>
      </w:pPr>
      <w:r>
        <w:t>After their adoption, the Rules of Procedure may be amended following the provisions established in §11.2 above.</w:t>
      </w:r>
    </w:p>
    <w:p w14:paraId="068C2802" w14:textId="77777777" w:rsidR="00007F97" w:rsidRDefault="00007F97">
      <w:bookmarkStart w:id="5" w:name="_Hlk202256217"/>
      <w:bookmarkEnd w:id="5"/>
    </w:p>
    <w:p w14:paraId="49E7764B" w14:textId="77777777" w:rsidR="00007F97" w:rsidRDefault="00007F97"/>
    <w:sectPr w:rsidR="00007F97">
      <w:headerReference w:type="default" r:id="rId11"/>
      <w:footerReference w:type="default" r:id="rId12"/>
      <w:pgSz w:w="11906" w:h="16838"/>
      <w:pgMar w:top="2552" w:right="1701" w:bottom="1417" w:left="1701" w:header="708" w:footer="87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022A" w14:textId="77777777" w:rsidR="00DC52F9" w:rsidRDefault="00DC52F9">
      <w:pPr>
        <w:spacing w:after="0" w:line="240" w:lineRule="auto"/>
      </w:pPr>
      <w:r>
        <w:separator/>
      </w:r>
    </w:p>
  </w:endnote>
  <w:endnote w:type="continuationSeparator" w:id="0">
    <w:p w14:paraId="0979B0AC" w14:textId="77777777" w:rsidR="00DC52F9" w:rsidRDefault="00DC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inion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49157"/>
      <w:docPartObj>
        <w:docPartGallery w:val="Page Numbers (Bottom of Page)"/>
        <w:docPartUnique/>
      </w:docPartObj>
    </w:sdtPr>
    <w:sdtEndPr/>
    <w:sdtContent>
      <w:p w14:paraId="4B9A6314" w14:textId="63DB9F1E" w:rsidR="00007F97" w:rsidRDefault="00C415CD">
        <w:pPr>
          <w:pStyle w:val="Noga"/>
          <w:jc w:val="center"/>
        </w:pPr>
        <w:r>
          <w:rPr>
            <w:sz w:val="20"/>
            <w:szCs w:val="20"/>
          </w:rPr>
          <w:fldChar w:fldCharType="begin"/>
        </w:r>
        <w:r>
          <w:rPr>
            <w:sz w:val="20"/>
            <w:szCs w:val="20"/>
          </w:rPr>
          <w:instrText>PAGE</w:instrText>
        </w:r>
        <w:r>
          <w:rPr>
            <w:sz w:val="20"/>
            <w:szCs w:val="20"/>
          </w:rPr>
          <w:fldChar w:fldCharType="separate"/>
        </w:r>
        <w:r w:rsidR="00BD28A5">
          <w:rPr>
            <w:noProof/>
            <w:sz w:val="20"/>
            <w:szCs w:val="20"/>
          </w:rPr>
          <w:t>8</w:t>
        </w:r>
        <w:r>
          <w:rPr>
            <w:sz w:val="20"/>
            <w:szCs w:val="20"/>
          </w:rPr>
          <w:fldChar w:fldCharType="end"/>
        </w:r>
        <w:r>
          <w:rPr>
            <w:sz w:val="20"/>
            <w:szCs w:val="20"/>
          </w:rPr>
          <w:t>/8</w:t>
        </w:r>
      </w:p>
    </w:sdtContent>
  </w:sdt>
  <w:p w14:paraId="7CD7C7EF" w14:textId="77777777" w:rsidR="00007F97" w:rsidRDefault="00007F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357D" w14:textId="77777777" w:rsidR="00DC52F9" w:rsidRDefault="00DC52F9"/>
  </w:footnote>
  <w:footnote w:type="continuationSeparator" w:id="0">
    <w:p w14:paraId="34010A07" w14:textId="77777777" w:rsidR="00DC52F9" w:rsidRDefault="00DC52F9">
      <w:r>
        <w:continuationSeparator/>
      </w:r>
    </w:p>
  </w:footnote>
  <w:footnote w:id="1">
    <w:p w14:paraId="595DAF4A" w14:textId="77777777" w:rsidR="00007F97" w:rsidRDefault="00C415CD">
      <w:pPr>
        <w:pStyle w:val="Sprotnaopomba-besedilo"/>
      </w:pPr>
      <w:r>
        <w:rPr>
          <w:rStyle w:val="FootnoteCharacters"/>
        </w:rPr>
        <w:footnoteRef/>
      </w:r>
      <w:r>
        <w:t xml:space="preserve"> COM(2014) 357 final</w:t>
      </w:r>
    </w:p>
  </w:footnote>
  <w:footnote w:id="2">
    <w:p w14:paraId="7A1AA19D" w14:textId="77777777" w:rsidR="00007F97" w:rsidRDefault="00C415CD">
      <w:pPr>
        <w:pStyle w:val="Sprotnaopomba-besedilo"/>
      </w:pPr>
      <w:r>
        <w:rPr>
          <w:rStyle w:val="FootnoteCharacters"/>
        </w:rPr>
        <w:footnoteRef/>
      </w:r>
      <w:r>
        <w:t xml:space="preserve"> </w:t>
      </w:r>
      <w:r>
        <w:rPr>
          <w:lang w:val="sl-SI"/>
        </w:rPr>
        <w:t>COM(2020) 132 final</w:t>
      </w:r>
    </w:p>
  </w:footnote>
  <w:footnote w:id="3">
    <w:p w14:paraId="6AB70E47" w14:textId="77777777" w:rsidR="00007F97" w:rsidRDefault="00C415CD">
      <w:pPr>
        <w:pStyle w:val="Sprotnaopomba-besedilo"/>
      </w:pPr>
      <w:r>
        <w:rPr>
          <w:rStyle w:val="FootnoteCharacters"/>
        </w:rPr>
        <w:footnoteRef/>
      </w:r>
      <w:r>
        <w:t xml:space="preserve"> </w:t>
      </w:r>
      <w:r>
        <w:rPr>
          <w:lang w:val="sl-SI"/>
        </w:rPr>
        <w:t>COM(2022) 44 final</w:t>
      </w:r>
    </w:p>
  </w:footnote>
  <w:footnote w:id="4">
    <w:p w14:paraId="0BAB9895" w14:textId="77777777" w:rsidR="00007F97" w:rsidRDefault="00C415CD">
      <w:pPr>
        <w:pStyle w:val="Sprotnaopomba-besedilo"/>
      </w:pPr>
      <w:r>
        <w:rPr>
          <w:rStyle w:val="FootnoteCharacters"/>
        </w:rPr>
        <w:footnoteRef/>
      </w:r>
      <w:r>
        <w:t xml:space="preserve"> SWD(2025) 191 final</w:t>
      </w:r>
    </w:p>
  </w:footnote>
  <w:footnote w:id="5">
    <w:p w14:paraId="510936FD" w14:textId="77777777" w:rsidR="00007F97" w:rsidRDefault="00C415CD">
      <w:pPr>
        <w:pStyle w:val="Sprotnaopomba-besedilo"/>
      </w:pPr>
      <w:r>
        <w:rPr>
          <w:rStyle w:val="FootnoteCharacters"/>
        </w:rPr>
        <w:footnoteRef/>
      </w:r>
      <w:r>
        <w:rPr>
          <w:rFonts w:asciiTheme="minorHAnsi" w:hAnsiTheme="minorHAnsi" w:cstheme="minorHAnsi"/>
        </w:rPr>
        <w:t xml:space="preserve"> </w:t>
      </w:r>
      <w:r>
        <w:t>Some countries may use an equivalent Ministry</w:t>
      </w:r>
    </w:p>
  </w:footnote>
  <w:footnote w:id="6">
    <w:p w14:paraId="698F5DDA" w14:textId="77777777" w:rsidR="00007F97" w:rsidRDefault="00C415CD">
      <w:pPr>
        <w:pStyle w:val="Sprotnaopomba-besedilo"/>
      </w:pPr>
      <w:r>
        <w:rPr>
          <w:rStyle w:val="FootnoteCharacters"/>
        </w:rPr>
        <w:footnoteRef/>
      </w:r>
      <w:r>
        <w:t xml:space="preserve"> In non-EU countries: offices of National IPA Coordinators or respectively national authority responsible for European Territorial Cooperation</w:t>
      </w:r>
    </w:p>
  </w:footnote>
  <w:footnote w:id="7">
    <w:p w14:paraId="3C105B26" w14:textId="77777777" w:rsidR="00007F97" w:rsidRDefault="00C415CD">
      <w:pPr>
        <w:pStyle w:val="Sprotnaopomba-besedilo"/>
      </w:pPr>
      <w:r>
        <w:rPr>
          <w:rStyle w:val="FootnoteCharacters"/>
        </w:rPr>
        <w:footnoteRef/>
      </w:r>
      <w:r>
        <w:t xml:space="preserve"> For more detailed information on functions of National Coordinators please refer to </w:t>
      </w:r>
      <w:r>
        <w:rPr>
          <w:i/>
          <w:iCs/>
        </w:rPr>
        <w:t>Governance Architecture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149C" w14:textId="77777777" w:rsidR="00007F97" w:rsidRDefault="00C415CD">
    <w:pPr>
      <w:pStyle w:val="Glava"/>
    </w:pPr>
    <w:r>
      <w:rPr>
        <w:noProof/>
        <w:lang w:val="en-US"/>
      </w:rPr>
      <w:drawing>
        <wp:anchor distT="0" distB="0" distL="0" distR="0" simplePos="0" relativeHeight="10" behindDoc="1" locked="0" layoutInCell="1" allowOverlap="1" wp14:anchorId="43BF1DF9" wp14:editId="15EDA849">
          <wp:simplePos x="0" y="0"/>
          <wp:positionH relativeFrom="column">
            <wp:posOffset>-436245</wp:posOffset>
          </wp:positionH>
          <wp:positionV relativeFrom="paragraph">
            <wp:posOffset>-99060</wp:posOffset>
          </wp:positionV>
          <wp:extent cx="1645285" cy="114871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
                  <a:srcRect t="16448" b="13750"/>
                  <a:stretch>
                    <a:fillRect/>
                  </a:stretch>
                </pic:blipFill>
                <pic:spPr bwMode="auto">
                  <a:xfrm>
                    <a:off x="0" y="0"/>
                    <a:ext cx="1645285" cy="1148715"/>
                  </a:xfrm>
                  <a:prstGeom prst="rect">
                    <a:avLst/>
                  </a:prstGeom>
                </pic:spPr>
              </pic:pic>
            </a:graphicData>
          </a:graphic>
        </wp:anchor>
      </w:drawing>
    </w:r>
    <w:r>
      <w:tab/>
    </w:r>
    <w:r>
      <w:tab/>
    </w:r>
    <w:r>
      <w:tab/>
    </w:r>
  </w:p>
  <w:p w14:paraId="60AF6735" w14:textId="77777777" w:rsidR="00007F97" w:rsidRDefault="00007F97">
    <w:pPr>
      <w:pStyle w:val="Glava"/>
    </w:pPr>
  </w:p>
  <w:p w14:paraId="4417417B" w14:textId="77777777" w:rsidR="00007F97" w:rsidRDefault="00007F97">
    <w:pPr>
      <w:pStyle w:val="Glava"/>
    </w:pPr>
  </w:p>
  <w:p w14:paraId="4B37F4BC" w14:textId="77777777" w:rsidR="00007F97" w:rsidRDefault="00007F97">
    <w:pPr>
      <w:pStyle w:val="Glava"/>
    </w:pPr>
  </w:p>
  <w:p w14:paraId="3CB49D19" w14:textId="77777777" w:rsidR="00007F97" w:rsidRDefault="00C415CD">
    <w:pPr>
      <w:pStyle w:val="Glava"/>
      <w:rPr>
        <w:sz w:val="20"/>
        <w:szCs w:val="20"/>
      </w:rPr>
    </w:pPr>
    <w:r>
      <w:tab/>
    </w:r>
    <w:r>
      <w:tab/>
    </w:r>
    <w:r>
      <w:tab/>
    </w:r>
    <w:r>
      <w:rPr>
        <w:sz w:val="20"/>
        <w:szCs w:val="20"/>
      </w:rPr>
      <w:t>GB Rules of Procedure</w:t>
    </w:r>
  </w:p>
  <w:p w14:paraId="77FBA8E3" w14:textId="57CE67B0" w:rsidR="00007F97" w:rsidRDefault="00C415CD">
    <w:pPr>
      <w:pStyle w:val="Glava"/>
      <w:jc w:val="right"/>
      <w:rPr>
        <w:sz w:val="20"/>
        <w:szCs w:val="20"/>
      </w:rPr>
    </w:pPr>
    <w:r>
      <w:rPr>
        <w:sz w:val="20"/>
        <w:szCs w:val="20"/>
      </w:rPr>
      <w:t xml:space="preserve">v. </w:t>
    </w:r>
    <w:r w:rsidR="003D7F4D">
      <w:rPr>
        <w:sz w:val="20"/>
        <w:szCs w:val="20"/>
      </w:rPr>
      <w:t>10.2</w:t>
    </w:r>
    <w:r>
      <w:rPr>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E2C"/>
    <w:multiLevelType w:val="multilevel"/>
    <w:tmpl w:val="ED9C199E"/>
    <w:lvl w:ilvl="0">
      <w:start w:val="6"/>
      <w:numFmt w:val="decimal"/>
      <w:lvlText w:val="%1"/>
      <w:lvlJc w:val="left"/>
      <w:pPr>
        <w:ind w:left="360" w:hanging="360"/>
      </w:pPr>
    </w:lvl>
    <w:lvl w:ilvl="1">
      <w:start w:val="1"/>
      <w:numFmt w:val="decimal"/>
      <w:lvlText w:val="9.%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7DB7072"/>
    <w:multiLevelType w:val="multilevel"/>
    <w:tmpl w:val="39200B6A"/>
    <w:lvl w:ilvl="0">
      <w:start w:val="13"/>
      <w:numFmt w:val="decimal"/>
      <w:lvlText w:val="%1"/>
      <w:lvlJc w:val="left"/>
      <w:pPr>
        <w:ind w:left="420" w:hanging="420"/>
      </w:pPr>
    </w:lvl>
    <w:lvl w:ilvl="1">
      <w:start w:val="1"/>
      <w:numFmt w:val="decimal"/>
      <w:lvlText w:val="15.%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74391C"/>
    <w:multiLevelType w:val="multilevel"/>
    <w:tmpl w:val="69C6498C"/>
    <w:lvl w:ilvl="0">
      <w:start w:val="7"/>
      <w:numFmt w:val="decimal"/>
      <w:lvlText w:val="%1"/>
      <w:lvlJc w:val="left"/>
      <w:pPr>
        <w:ind w:left="360" w:hanging="360"/>
      </w:pPr>
    </w:lvl>
    <w:lvl w:ilvl="1">
      <w:start w:val="1"/>
      <w:numFmt w:val="decimal"/>
      <w:lvlText w:val="10.%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4896544"/>
    <w:multiLevelType w:val="multilevel"/>
    <w:tmpl w:val="62C0B562"/>
    <w:lvl w:ilvl="0">
      <w:start w:val="13"/>
      <w:numFmt w:val="decimal"/>
      <w:lvlText w:val="%1"/>
      <w:lvlJc w:val="left"/>
      <w:pPr>
        <w:ind w:left="420" w:hanging="420"/>
      </w:pPr>
    </w:lvl>
    <w:lvl w:ilvl="1">
      <w:start w:val="1"/>
      <w:numFmt w:val="decimal"/>
      <w:lvlText w:val="15.%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8D1737B"/>
    <w:multiLevelType w:val="multilevel"/>
    <w:tmpl w:val="0996291A"/>
    <w:lvl w:ilvl="0">
      <w:start w:val="12"/>
      <w:numFmt w:val="decimal"/>
      <w:lvlText w:val="%1"/>
      <w:lvlJc w:val="left"/>
      <w:pPr>
        <w:ind w:left="420" w:hanging="420"/>
      </w:pPr>
    </w:lvl>
    <w:lvl w:ilvl="1">
      <w:start w:val="1"/>
      <w:numFmt w:val="decimal"/>
      <w:lvlText w:val="13.%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90956AC"/>
    <w:multiLevelType w:val="multilevel"/>
    <w:tmpl w:val="A99C67FA"/>
    <w:lvl w:ilvl="0">
      <w:start w:val="1"/>
      <w:numFmt w:val="decimal"/>
      <w:lvlText w:val="%1."/>
      <w:lvlJc w:val="left"/>
      <w:pPr>
        <w:ind w:left="362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A6E59DD"/>
    <w:multiLevelType w:val="multilevel"/>
    <w:tmpl w:val="81726F5A"/>
    <w:lvl w:ilvl="0">
      <w:start w:val="1"/>
      <w:numFmt w:val="bullet"/>
      <w:lvlText w:val="–"/>
      <w:lvlJc w:val="left"/>
      <w:pPr>
        <w:ind w:left="720" w:hanging="360"/>
      </w:pPr>
      <w:rPr>
        <w:rFonts w:ascii="Courier New" w:hAnsi="Courier New" w:cs="Courier New" w:hint="default"/>
      </w:rPr>
    </w:lvl>
    <w:lvl w:ilvl="1">
      <w:start w:val="8"/>
      <w:numFmt w:val="bullet"/>
      <w:lvlText w:val="-"/>
      <w:lvlJc w:val="left"/>
      <w:pPr>
        <w:ind w:left="1980" w:hanging="90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1E06C06"/>
    <w:multiLevelType w:val="multilevel"/>
    <w:tmpl w:val="D9E0288C"/>
    <w:lvl w:ilvl="0">
      <w:start w:val="5"/>
      <w:numFmt w:val="decimal"/>
      <w:lvlText w:val="%1"/>
      <w:lvlJc w:val="left"/>
      <w:pPr>
        <w:ind w:left="360" w:hanging="360"/>
      </w:pPr>
    </w:lvl>
    <w:lvl w:ilvl="1">
      <w:start w:val="1"/>
      <w:numFmt w:val="decimal"/>
      <w:lvlText w:val="8.%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55184B29"/>
    <w:multiLevelType w:val="multilevel"/>
    <w:tmpl w:val="2D0EC114"/>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AA81741"/>
    <w:multiLevelType w:val="multilevel"/>
    <w:tmpl w:val="AB54233E"/>
    <w:lvl w:ilvl="0">
      <w:start w:val="9"/>
      <w:numFmt w:val="decimal"/>
      <w:lvlText w:val="%1"/>
      <w:lvlJc w:val="left"/>
      <w:pPr>
        <w:ind w:left="360" w:hanging="360"/>
      </w:pPr>
    </w:lvl>
    <w:lvl w:ilvl="1">
      <w:start w:val="1"/>
      <w:numFmt w:val="decimal"/>
      <w:lvlText w:val="1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0CE1331"/>
    <w:multiLevelType w:val="multilevel"/>
    <w:tmpl w:val="C1E053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7D661F"/>
    <w:multiLevelType w:val="multilevel"/>
    <w:tmpl w:val="8ABCED32"/>
    <w:lvl w:ilvl="0">
      <w:start w:val="1"/>
      <w:numFmt w:val="decimal"/>
      <w:pStyle w:val="Naslov1"/>
      <w:lvlText w:val="%1."/>
      <w:lvlJc w:val="left"/>
      <w:pPr>
        <w:ind w:left="108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5B439E3"/>
    <w:multiLevelType w:val="multilevel"/>
    <w:tmpl w:val="04BAC44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61B43E4"/>
    <w:multiLevelType w:val="multilevel"/>
    <w:tmpl w:val="83D2B1B4"/>
    <w:lvl w:ilvl="0">
      <w:start w:val="8"/>
      <w:numFmt w:val="decimal"/>
      <w:lvlText w:val="%1"/>
      <w:lvlJc w:val="left"/>
      <w:pPr>
        <w:ind w:left="360" w:hanging="360"/>
      </w:pPr>
    </w:lvl>
    <w:lvl w:ilvl="1">
      <w:start w:val="1"/>
      <w:numFmt w:val="decimal"/>
      <w:lvlText w:val="1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750321">
    <w:abstractNumId w:val="11"/>
  </w:num>
  <w:num w:numId="2" w16cid:durableId="1893617708">
    <w:abstractNumId w:val="10"/>
  </w:num>
  <w:num w:numId="3" w16cid:durableId="1613051348">
    <w:abstractNumId w:val="5"/>
  </w:num>
  <w:num w:numId="4" w16cid:durableId="1330326308">
    <w:abstractNumId w:val="7"/>
  </w:num>
  <w:num w:numId="5" w16cid:durableId="60058819">
    <w:abstractNumId w:val="0"/>
  </w:num>
  <w:num w:numId="6" w16cid:durableId="1940983139">
    <w:abstractNumId w:val="2"/>
  </w:num>
  <w:num w:numId="7" w16cid:durableId="2099062279">
    <w:abstractNumId w:val="13"/>
  </w:num>
  <w:num w:numId="8" w16cid:durableId="1833136573">
    <w:abstractNumId w:val="9"/>
  </w:num>
  <w:num w:numId="9" w16cid:durableId="322514617">
    <w:abstractNumId w:val="6"/>
  </w:num>
  <w:num w:numId="10" w16cid:durableId="60953874">
    <w:abstractNumId w:val="4"/>
  </w:num>
  <w:num w:numId="11" w16cid:durableId="154538978">
    <w:abstractNumId w:val="1"/>
  </w:num>
  <w:num w:numId="12" w16cid:durableId="1820150590">
    <w:abstractNumId w:val="3"/>
  </w:num>
  <w:num w:numId="13" w16cid:durableId="894312536">
    <w:abstractNumId w:val="12"/>
  </w:num>
  <w:num w:numId="14" w16cid:durableId="192617203">
    <w:abstractNumId w:val="8"/>
  </w:num>
  <w:num w:numId="15" w16cid:durableId="355086346">
    <w:abstractNumId w:val="11"/>
  </w:num>
  <w:num w:numId="16" w16cid:durableId="619410604">
    <w:abstractNumId w:val="11"/>
  </w:num>
  <w:num w:numId="17" w16cid:durableId="1549955265">
    <w:abstractNumId w:val="11"/>
  </w:num>
  <w:num w:numId="18" w16cid:durableId="1320228854">
    <w:abstractNumId w:val="11"/>
  </w:num>
  <w:num w:numId="19" w16cid:durableId="406732682">
    <w:abstractNumId w:val="11"/>
  </w:num>
  <w:num w:numId="20" w16cid:durableId="1050691786">
    <w:abstractNumId w:val="11"/>
  </w:num>
  <w:num w:numId="21" w16cid:durableId="629941576">
    <w:abstractNumId w:val="11"/>
  </w:num>
  <w:num w:numId="22" w16cid:durableId="1863352018">
    <w:abstractNumId w:val="11"/>
  </w:num>
  <w:num w:numId="23" w16cid:durableId="1991251941">
    <w:abstractNumId w:val="11"/>
  </w:num>
  <w:num w:numId="24" w16cid:durableId="282920">
    <w:abstractNumId w:val="11"/>
  </w:num>
  <w:num w:numId="25" w16cid:durableId="820776498">
    <w:abstractNumId w:val="11"/>
  </w:num>
  <w:num w:numId="26" w16cid:durableId="1559512450">
    <w:abstractNumId w:val="11"/>
  </w:num>
  <w:num w:numId="27" w16cid:durableId="2053266711">
    <w:abstractNumId w:val="11"/>
  </w:num>
  <w:num w:numId="28" w16cid:durableId="1754399509">
    <w:abstractNumId w:val="11"/>
  </w:num>
  <w:num w:numId="29" w16cid:durableId="1528375076">
    <w:abstractNumId w:val="11"/>
  </w:num>
  <w:num w:numId="30" w16cid:durableId="388843678">
    <w:abstractNumId w:val="11"/>
  </w:num>
  <w:num w:numId="31" w16cid:durableId="363753112">
    <w:abstractNumId w:val="11"/>
  </w:num>
  <w:num w:numId="32" w16cid:durableId="1259218376">
    <w:abstractNumId w:val="11"/>
  </w:num>
  <w:num w:numId="33" w16cid:durableId="1955093553">
    <w:abstractNumId w:val="11"/>
  </w:num>
  <w:num w:numId="34" w16cid:durableId="1520003369">
    <w:abstractNumId w:val="11"/>
  </w:num>
  <w:num w:numId="35" w16cid:durableId="656690403">
    <w:abstractNumId w:val="11"/>
  </w:num>
  <w:num w:numId="36" w16cid:durableId="1831478439">
    <w:abstractNumId w:val="11"/>
  </w:num>
  <w:num w:numId="37" w16cid:durableId="2109538528">
    <w:abstractNumId w:val="11"/>
  </w:num>
  <w:num w:numId="38" w16cid:durableId="474294439">
    <w:abstractNumId w:val="11"/>
  </w:num>
  <w:num w:numId="39" w16cid:durableId="1452935150">
    <w:abstractNumId w:val="11"/>
  </w:num>
  <w:num w:numId="40" w16cid:durableId="1894075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97"/>
    <w:rsid w:val="00007F97"/>
    <w:rsid w:val="000219BC"/>
    <w:rsid w:val="00053578"/>
    <w:rsid w:val="000B4F8C"/>
    <w:rsid w:val="000C0AE0"/>
    <w:rsid w:val="000E319D"/>
    <w:rsid w:val="000F1B34"/>
    <w:rsid w:val="001147D5"/>
    <w:rsid w:val="001272F0"/>
    <w:rsid w:val="001404CB"/>
    <w:rsid w:val="001804B6"/>
    <w:rsid w:val="00187F0C"/>
    <w:rsid w:val="001C0205"/>
    <w:rsid w:val="00277C6D"/>
    <w:rsid w:val="002C61FE"/>
    <w:rsid w:val="002D7AB6"/>
    <w:rsid w:val="002E6BDF"/>
    <w:rsid w:val="00363224"/>
    <w:rsid w:val="00381A7F"/>
    <w:rsid w:val="003D5FCC"/>
    <w:rsid w:val="003D7F4D"/>
    <w:rsid w:val="003F0CE0"/>
    <w:rsid w:val="0049423E"/>
    <w:rsid w:val="00513FA7"/>
    <w:rsid w:val="005939D1"/>
    <w:rsid w:val="00640C8E"/>
    <w:rsid w:val="00675558"/>
    <w:rsid w:val="006A10D5"/>
    <w:rsid w:val="006A60D0"/>
    <w:rsid w:val="0070221D"/>
    <w:rsid w:val="00712CDF"/>
    <w:rsid w:val="0072320F"/>
    <w:rsid w:val="00736760"/>
    <w:rsid w:val="00751FA5"/>
    <w:rsid w:val="00753E99"/>
    <w:rsid w:val="007C2732"/>
    <w:rsid w:val="008174B1"/>
    <w:rsid w:val="00893349"/>
    <w:rsid w:val="008A7A8D"/>
    <w:rsid w:val="008D21AC"/>
    <w:rsid w:val="00921523"/>
    <w:rsid w:val="00A75CEC"/>
    <w:rsid w:val="00AD4AD0"/>
    <w:rsid w:val="00B00A1E"/>
    <w:rsid w:val="00B02BBA"/>
    <w:rsid w:val="00B269D6"/>
    <w:rsid w:val="00B7523F"/>
    <w:rsid w:val="00B94E2F"/>
    <w:rsid w:val="00BD28A5"/>
    <w:rsid w:val="00C23635"/>
    <w:rsid w:val="00C415CD"/>
    <w:rsid w:val="00C521DE"/>
    <w:rsid w:val="00C65D73"/>
    <w:rsid w:val="00CE423D"/>
    <w:rsid w:val="00D0461D"/>
    <w:rsid w:val="00DC52F9"/>
    <w:rsid w:val="00DD278E"/>
    <w:rsid w:val="00DD32DB"/>
    <w:rsid w:val="00E2434D"/>
    <w:rsid w:val="00E46B96"/>
    <w:rsid w:val="00E54249"/>
    <w:rsid w:val="00EA5F33"/>
    <w:rsid w:val="00EF5F18"/>
    <w:rsid w:val="00F20698"/>
    <w:rsid w:val="00F4758D"/>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9D43"/>
  <w15:docId w15:val="{AF4C652A-1244-4BA3-8949-62BAD176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mk-M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177E"/>
    <w:pPr>
      <w:tabs>
        <w:tab w:val="left" w:pos="900"/>
      </w:tabs>
      <w:spacing w:after="200" w:line="276" w:lineRule="auto"/>
      <w:jc w:val="both"/>
    </w:pPr>
    <w:rPr>
      <w:rFonts w:ascii="Times New Roman" w:hAnsi="Times New Roman" w:cs="Times New Roman"/>
      <w:sz w:val="24"/>
      <w:szCs w:val="24"/>
      <w:lang w:val="en-GB"/>
    </w:rPr>
  </w:style>
  <w:style w:type="paragraph" w:styleId="Naslov1">
    <w:name w:val="heading 1"/>
    <w:basedOn w:val="Navaden"/>
    <w:next w:val="Navaden"/>
    <w:link w:val="Naslov1Znak"/>
    <w:uiPriority w:val="9"/>
    <w:qFormat/>
    <w:rsid w:val="002E6BDF"/>
    <w:pPr>
      <w:keepNext/>
      <w:keepLines/>
      <w:numPr>
        <w:numId w:val="1"/>
      </w:numPr>
      <w:tabs>
        <w:tab w:val="left" w:pos="1128"/>
      </w:tabs>
      <w:spacing w:before="240" w:after="240"/>
      <w:outlineLvl w:val="0"/>
    </w:pPr>
    <w:rPr>
      <w:rFonts w:eastAsiaTheme="majorEastAsia"/>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46097"/>
  </w:style>
  <w:style w:type="character" w:customStyle="1" w:styleId="NogaZnak">
    <w:name w:val="Noga Znak"/>
    <w:basedOn w:val="Privzetapisavaodstavka"/>
    <w:link w:val="Noga"/>
    <w:uiPriority w:val="99"/>
    <w:qFormat/>
    <w:rsid w:val="00746097"/>
  </w:style>
  <w:style w:type="character" w:customStyle="1" w:styleId="BesedilooblakaZnak">
    <w:name w:val="Besedilo oblačka Znak"/>
    <w:basedOn w:val="Privzetapisavaodstavka"/>
    <w:link w:val="Besedilooblaka"/>
    <w:uiPriority w:val="99"/>
    <w:semiHidden/>
    <w:qFormat/>
    <w:rsid w:val="00746097"/>
    <w:rPr>
      <w:rFonts w:ascii="Tahoma" w:hAnsi="Tahoma" w:cs="Tahoma"/>
      <w:sz w:val="16"/>
      <w:szCs w:val="16"/>
    </w:rPr>
  </w:style>
  <w:style w:type="character" w:styleId="Pripombasklic">
    <w:name w:val="annotation reference"/>
    <w:basedOn w:val="Privzetapisavaodstavka"/>
    <w:uiPriority w:val="99"/>
    <w:semiHidden/>
    <w:qFormat/>
    <w:rsid w:val="00757201"/>
    <w:rPr>
      <w:rFonts w:cs="Times New Roman"/>
      <w:sz w:val="16"/>
      <w:szCs w:val="16"/>
    </w:rPr>
  </w:style>
  <w:style w:type="character" w:customStyle="1" w:styleId="PripombabesediloZnak">
    <w:name w:val="Pripomba – besedilo Znak"/>
    <w:basedOn w:val="Privzetapisavaodstavka"/>
    <w:link w:val="Pripombabesedilo"/>
    <w:uiPriority w:val="99"/>
    <w:semiHidden/>
    <w:qFormat/>
    <w:rsid w:val="00757201"/>
    <w:rPr>
      <w:rFonts w:ascii="Calibri" w:eastAsia="Calibri" w:hAnsi="Calibri" w:cs="Times New Roman"/>
      <w:sz w:val="20"/>
      <w:szCs w:val="20"/>
      <w:lang w:val="da-DK"/>
    </w:rPr>
  </w:style>
  <w:style w:type="character" w:customStyle="1" w:styleId="Sprotnaopomba-besediloZnak">
    <w:name w:val="Sprotna opomba - besedilo Znak"/>
    <w:basedOn w:val="Privzetapisavaodstavka"/>
    <w:link w:val="Sprotnaopomba-besedilo"/>
    <w:uiPriority w:val="99"/>
    <w:qFormat/>
    <w:rsid w:val="00757201"/>
    <w:rPr>
      <w:rFonts w:ascii="Calibri" w:eastAsia="Calibri" w:hAnsi="Calibri" w:cs="Times New Roman"/>
      <w:sz w:val="20"/>
      <w:szCs w:val="20"/>
      <w:lang w:val="da-DK"/>
    </w:rPr>
  </w:style>
  <w:style w:type="character" w:customStyle="1" w:styleId="FootnoteCharacters">
    <w:name w:val="Footnote Characters"/>
    <w:basedOn w:val="Privzetapisavaodstavka"/>
    <w:uiPriority w:val="99"/>
    <w:semiHidden/>
    <w:unhideWhenUsed/>
    <w:qFormat/>
    <w:rsid w:val="00757201"/>
    <w:rPr>
      <w:vertAlign w:val="superscript"/>
    </w:rPr>
  </w:style>
  <w:style w:type="character" w:customStyle="1" w:styleId="FootnoteAnchor">
    <w:name w:val="Footnote Anchor"/>
    <w:rPr>
      <w:vertAlign w:val="superscript"/>
    </w:rPr>
  </w:style>
  <w:style w:type="character" w:customStyle="1" w:styleId="ZadevapripombeZnak">
    <w:name w:val="Zadeva pripombe Znak"/>
    <w:basedOn w:val="PripombabesediloZnak"/>
    <w:link w:val="Zadevapripombe"/>
    <w:uiPriority w:val="99"/>
    <w:semiHidden/>
    <w:qFormat/>
    <w:rsid w:val="009911D2"/>
    <w:rPr>
      <w:rFonts w:ascii="Calibri" w:eastAsia="Calibri" w:hAnsi="Calibri" w:cs="Times New Roman"/>
      <w:b/>
      <w:bCs/>
      <w:sz w:val="20"/>
      <w:szCs w:val="20"/>
      <w:lang w:val="da-DK"/>
    </w:rPr>
  </w:style>
  <w:style w:type="character" w:customStyle="1" w:styleId="Naslov1Znak">
    <w:name w:val="Naslov 1 Znak"/>
    <w:basedOn w:val="Privzetapisavaodstavka"/>
    <w:link w:val="Naslov1"/>
    <w:uiPriority w:val="9"/>
    <w:qFormat/>
    <w:rsid w:val="002E6BDF"/>
    <w:rPr>
      <w:rFonts w:ascii="Times New Roman" w:eastAsiaTheme="majorEastAsia" w:hAnsi="Times New Roman" w:cs="Times New Roman"/>
      <w:b/>
      <w:bCs/>
      <w:sz w:val="24"/>
      <w:szCs w:val="24"/>
      <w:lang w:val="en-GB"/>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avaden"/>
    <w:next w:val="Telobesedila"/>
    <w:qFormat/>
    <w:pPr>
      <w:keepNext/>
      <w:spacing w:before="240" w:after="120"/>
    </w:pPr>
    <w:rPr>
      <w:rFonts w:ascii="Arial" w:eastAsia="Microsoft YaHei" w:hAnsi="Arial"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Index">
    <w:name w:val="Index"/>
    <w:basedOn w:val="Navaden"/>
    <w:qFormat/>
    <w:pPr>
      <w:suppressLineNumbers/>
    </w:pPr>
    <w:rPr>
      <w:rFonts w:cs="Lucida Sans"/>
    </w:rPr>
  </w:style>
  <w:style w:type="paragraph" w:styleId="Glava">
    <w:name w:val="header"/>
    <w:basedOn w:val="Navaden"/>
    <w:link w:val="GlavaZnak"/>
    <w:uiPriority w:val="99"/>
    <w:unhideWhenUsed/>
    <w:rsid w:val="00746097"/>
    <w:pPr>
      <w:tabs>
        <w:tab w:val="center" w:pos="4252"/>
        <w:tab w:val="right" w:pos="8504"/>
      </w:tabs>
      <w:spacing w:after="0" w:line="240" w:lineRule="auto"/>
    </w:pPr>
  </w:style>
  <w:style w:type="paragraph" w:styleId="Noga">
    <w:name w:val="footer"/>
    <w:basedOn w:val="Navaden"/>
    <w:link w:val="NogaZnak"/>
    <w:uiPriority w:val="99"/>
    <w:unhideWhenUsed/>
    <w:rsid w:val="00746097"/>
    <w:pPr>
      <w:tabs>
        <w:tab w:val="center" w:pos="4252"/>
        <w:tab w:val="right" w:pos="8504"/>
      </w:tabs>
      <w:spacing w:after="0" w:line="240" w:lineRule="auto"/>
    </w:pPr>
  </w:style>
  <w:style w:type="paragraph" w:styleId="Besedilooblaka">
    <w:name w:val="Balloon Text"/>
    <w:basedOn w:val="Navaden"/>
    <w:link w:val="BesedilooblakaZnak"/>
    <w:uiPriority w:val="99"/>
    <w:semiHidden/>
    <w:unhideWhenUsed/>
    <w:qFormat/>
    <w:rsid w:val="00746097"/>
    <w:pPr>
      <w:spacing w:after="0" w:line="240" w:lineRule="auto"/>
    </w:pPr>
    <w:rPr>
      <w:rFonts w:ascii="Tahoma" w:hAnsi="Tahoma" w:cs="Tahoma"/>
      <w:sz w:val="16"/>
      <w:szCs w:val="16"/>
    </w:rPr>
  </w:style>
  <w:style w:type="paragraph" w:customStyle="1" w:styleId="Prrafobsico">
    <w:name w:val="[Párrafo básico]"/>
    <w:basedOn w:val="Navaden"/>
    <w:uiPriority w:val="99"/>
    <w:qFormat/>
    <w:rsid w:val="00746097"/>
    <w:pPr>
      <w:spacing w:after="0" w:line="288" w:lineRule="auto"/>
      <w:textAlignment w:val="center"/>
    </w:pPr>
    <w:rPr>
      <w:rFonts w:ascii="Minion Pro" w:hAnsi="Minion Pro" w:cs="Minion Pro"/>
      <w:color w:val="000000"/>
      <w:lang w:val="es-ES_tradnl"/>
    </w:rPr>
  </w:style>
  <w:style w:type="paragraph" w:styleId="Odstavekseznama">
    <w:name w:val="List Paragraph"/>
    <w:basedOn w:val="Navaden"/>
    <w:uiPriority w:val="99"/>
    <w:qFormat/>
    <w:rsid w:val="00757201"/>
    <w:pPr>
      <w:ind w:left="720"/>
      <w:contextualSpacing/>
    </w:pPr>
  </w:style>
  <w:style w:type="paragraph" w:styleId="Pripombabesedilo">
    <w:name w:val="annotation text"/>
    <w:basedOn w:val="Navaden"/>
    <w:link w:val="PripombabesediloZnak"/>
    <w:uiPriority w:val="99"/>
    <w:semiHidden/>
    <w:qFormat/>
    <w:rsid w:val="00757201"/>
    <w:rPr>
      <w:sz w:val="20"/>
      <w:szCs w:val="20"/>
    </w:rPr>
  </w:style>
  <w:style w:type="paragraph" w:styleId="Sprotnaopomba-besedilo">
    <w:name w:val="footnote text"/>
    <w:basedOn w:val="Navaden"/>
    <w:link w:val="Sprotnaopomba-besediloZnak"/>
    <w:uiPriority w:val="99"/>
    <w:unhideWhenUsed/>
    <w:rsid w:val="00757201"/>
    <w:pPr>
      <w:spacing w:after="0"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9911D2"/>
    <w:pPr>
      <w:spacing w:line="240" w:lineRule="auto"/>
    </w:pPr>
    <w:rPr>
      <w:b/>
      <w:bCs/>
    </w:rPr>
  </w:style>
  <w:style w:type="paragraph" w:styleId="Revizija">
    <w:name w:val="Revision"/>
    <w:uiPriority w:val="99"/>
    <w:semiHidden/>
    <w:qFormat/>
    <w:rsid w:val="005B5596"/>
    <w:rPr>
      <w:rFonts w:cs="Times New Roman"/>
      <w:sz w:val="24"/>
      <w:lang w:val="da-DK"/>
    </w:rPr>
  </w:style>
  <w:style w:type="paragraph" w:styleId="Navadensplet">
    <w:name w:val="Normal (Web)"/>
    <w:basedOn w:val="Navaden"/>
    <w:uiPriority w:val="99"/>
    <w:semiHidden/>
    <w:unhideWhenUsed/>
    <w:qFormat/>
    <w:rsid w:val="00EC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E7FF3661412EB459B90E3A088154650" ma:contentTypeVersion="15" ma:contentTypeDescription="Creare un nuovo documento." ma:contentTypeScope="" ma:versionID="8d7c9ba986ba5c8b97fd56ba6ed9306e">
  <xsd:schema xmlns:xsd="http://www.w3.org/2001/XMLSchema" xmlns:xs="http://www.w3.org/2001/XMLSchema" xmlns:p="http://schemas.microsoft.com/office/2006/metadata/properties" xmlns:ns2="c61e975e-c5a7-41db-86ad-249b06e79ee8" xmlns:ns3="0a7e7618-0222-4b52-9862-3c0681409be2" targetNamespace="http://schemas.microsoft.com/office/2006/metadata/properties" ma:root="true" ma:fieldsID="f85794f6a433d3b8e8ff6711e8d3fcc9" ns2:_="" ns3:_="">
    <xsd:import namespace="c61e975e-c5a7-41db-86ad-249b06e79ee8"/>
    <xsd:import namespace="0a7e7618-0222-4b52-9862-3c0681409b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e975e-c5a7-41db-86ad-249b06e79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a17c859e-f6f2-4ec7-858f-a3b70b72879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7e7618-0222-4b52-9862-3c0681409be2"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64a6c316-c3eb-4722-8c93-6721aba06595}" ma:internalName="TaxCatchAll" ma:showField="CatchAllData" ma:web="0a7e7618-0222-4b52-9862-3c0681409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1e975e-c5a7-41db-86ad-249b06e79ee8">
      <Terms xmlns="http://schemas.microsoft.com/office/infopath/2007/PartnerControls"/>
    </lcf76f155ced4ddcb4097134ff3c332f>
    <TaxCatchAll xmlns="0a7e7618-0222-4b52-9862-3c0681409b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BAFDC-1A16-4067-9D1F-B2736E645699}">
  <ds:schemaRefs>
    <ds:schemaRef ds:uri="http://schemas.openxmlformats.org/officeDocument/2006/bibliography"/>
  </ds:schemaRefs>
</ds:datastoreItem>
</file>

<file path=customXml/itemProps2.xml><?xml version="1.0" encoding="utf-8"?>
<ds:datastoreItem xmlns:ds="http://schemas.openxmlformats.org/officeDocument/2006/customXml" ds:itemID="{7DCA232D-A41C-4896-AE4F-E30F051A4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e975e-c5a7-41db-86ad-249b06e79ee8"/>
    <ds:schemaRef ds:uri="0a7e7618-0222-4b52-9862-3c0681409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BCDAE-C4F4-4A93-A137-92DD328411D6}">
  <ds:schemaRefs>
    <ds:schemaRef ds:uri="http://schemas.microsoft.com/office/2006/metadata/properties"/>
    <ds:schemaRef ds:uri="http://schemas.microsoft.com/office/infopath/2007/PartnerControls"/>
    <ds:schemaRef ds:uri="c61e975e-c5a7-41db-86ad-249b06e79ee8"/>
    <ds:schemaRef ds:uri="0a7e7618-0222-4b52-9862-3c0681409be2"/>
  </ds:schemaRefs>
</ds:datastoreItem>
</file>

<file path=customXml/itemProps4.xml><?xml version="1.0" encoding="utf-8"?>
<ds:datastoreItem xmlns:ds="http://schemas.openxmlformats.org/officeDocument/2006/customXml" ds:itemID="{49EC0E57-9799-4EB9-8967-F01E92226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2125</Words>
  <Characters>12114</Characters>
  <Application>Microsoft Office Word</Application>
  <DocSecurity>0</DocSecurity>
  <Lines>100</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European Commission</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c:creator>
  <dc:description/>
  <cp:lastModifiedBy>FP LP</cp:lastModifiedBy>
  <cp:revision>37</cp:revision>
  <cp:lastPrinted>2026-01-27T07:46:00Z</cp:lastPrinted>
  <dcterms:created xsi:type="dcterms:W3CDTF">2026-01-27T10:08:00Z</dcterms:created>
  <dcterms:modified xsi:type="dcterms:W3CDTF">2026-02-10T09:40:00Z</dcterms:modified>
  <dc:language>sr-Latn-RS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0x0101004E7FF3661412EB459B90E3A088154650</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5097a60d-5525-435b-8989-8eb48ac0c8cd_ActionId">
    <vt:lpwstr>c9c61b7d-9872-4a4d-aaa1-d7b755074a77</vt:lpwstr>
  </property>
  <property fmtid="{D5CDD505-2E9C-101B-9397-08002B2CF9AE}" pid="9" name="MSIP_Label_5097a60d-5525-435b-8989-8eb48ac0c8cd_ContentBits">
    <vt:lpwstr>0</vt:lpwstr>
  </property>
  <property fmtid="{D5CDD505-2E9C-101B-9397-08002B2CF9AE}" pid="10" name="MSIP_Label_5097a60d-5525-435b-8989-8eb48ac0c8cd_Enabled">
    <vt:lpwstr>true</vt:lpwstr>
  </property>
  <property fmtid="{D5CDD505-2E9C-101B-9397-08002B2CF9AE}" pid="11" name="MSIP_Label_5097a60d-5525-435b-8989-8eb48ac0c8cd_Method">
    <vt:lpwstr>Standard</vt:lpwstr>
  </property>
  <property fmtid="{D5CDD505-2E9C-101B-9397-08002B2CF9AE}" pid="12" name="MSIP_Label_5097a60d-5525-435b-8989-8eb48ac0c8cd_Name">
    <vt:lpwstr>defa4170-0d19-0005-0004-bc88714345d2</vt:lpwstr>
  </property>
  <property fmtid="{D5CDD505-2E9C-101B-9397-08002B2CF9AE}" pid="13" name="MSIP_Label_5097a60d-5525-435b-8989-8eb48ac0c8cd_SetDate">
    <vt:lpwstr>2025-10-15T15:03:54Z</vt:lpwstr>
  </property>
  <property fmtid="{D5CDD505-2E9C-101B-9397-08002B2CF9AE}" pid="14" name="MSIP_Label_5097a60d-5525-435b-8989-8eb48ac0c8cd_SiteId">
    <vt:lpwstr>3e90938b-8b27-4762-b4e8-006a8127a119</vt:lpwstr>
  </property>
  <property fmtid="{D5CDD505-2E9C-101B-9397-08002B2CF9AE}" pid="15" name="MSIP_Label_5097a60d-5525-435b-8989-8eb48ac0c8cd_Tag">
    <vt:lpwstr>10, 3, 0, 1</vt:lpwstr>
  </property>
  <property fmtid="{D5CDD505-2E9C-101B-9397-08002B2CF9AE}" pid="16" name="MediaServiceImageTags">
    <vt:lpwstr/>
  </property>
  <property fmtid="{D5CDD505-2E9C-101B-9397-08002B2CF9AE}" pid="17" name="ScaleCrop">
    <vt:bool>false</vt:bool>
  </property>
  <property fmtid="{D5CDD505-2E9C-101B-9397-08002B2CF9AE}" pid="18" name="ShareDoc">
    <vt:bool>false</vt:bool>
  </property>
  <property fmtid="{D5CDD505-2E9C-101B-9397-08002B2CF9AE}" pid="19" name="_DocHome">
    <vt:i4>1252938761</vt:i4>
  </property>
</Properties>
</file>