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B3E4" w14:textId="0EA57EF9" w:rsidR="00F322EE" w:rsidRPr="002E5B6E" w:rsidRDefault="00F322EE" w:rsidP="00F322EE">
      <w:pPr>
        <w:rPr>
          <w:lang w:val="en-GB"/>
        </w:rPr>
      </w:pPr>
      <w:r w:rsidRPr="002E5B6E">
        <w:rPr>
          <w:noProof/>
          <w:lang w:val="en-GB"/>
        </w:rPr>
        <w:drawing>
          <wp:inline distT="0" distB="0" distL="0" distR="0" wp14:anchorId="16200B46" wp14:editId="665D476E">
            <wp:extent cx="1520064" cy="1195605"/>
            <wp:effectExtent l="0" t="0" r="4445" b="5080"/>
            <wp:docPr id="494166382" name="Slika 1" descr="Slika, ki vsebuje besede pisava, grafika, besedilo, grafičn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66382" name="Slika 1" descr="Slika, ki vsebuje besede pisava, grafika, besedilo, grafično oblikovanje&#10;&#10;Vsebina, ustvarjena z umetno inteligenco, morda ni pravilna."/>
                    <pic:cNvPicPr/>
                  </pic:nvPicPr>
                  <pic:blipFill>
                    <a:blip r:embed="rId8"/>
                    <a:stretch>
                      <a:fillRect/>
                    </a:stretch>
                  </pic:blipFill>
                  <pic:spPr>
                    <a:xfrm>
                      <a:off x="0" y="0"/>
                      <a:ext cx="1531635" cy="1204706"/>
                    </a:xfrm>
                    <a:prstGeom prst="rect">
                      <a:avLst/>
                    </a:prstGeom>
                  </pic:spPr>
                </pic:pic>
              </a:graphicData>
            </a:graphic>
          </wp:inline>
        </w:drawing>
      </w:r>
      <w:r>
        <w:rPr>
          <w:lang w:val="en-GB"/>
        </w:rPr>
        <w:t xml:space="preserve">                               </w:t>
      </w:r>
      <w:r w:rsidRPr="002E5B6E">
        <w:rPr>
          <w:noProof/>
          <w:lang w:val="en-GB"/>
        </w:rPr>
        <w:drawing>
          <wp:inline distT="0" distB="0" distL="0" distR="0" wp14:anchorId="238A4059" wp14:editId="61B6C0C7">
            <wp:extent cx="1025842" cy="1358990"/>
            <wp:effectExtent l="0" t="0" r="3175" b="0"/>
            <wp:docPr id="1661803969" name="Slika 2" descr="Slika, ki vsebuje besede grafika, grafično oblikovanje, besedil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03969" name="Slika 2" descr="Slika, ki vsebuje besede grafika, grafično oblikovanje, besedilo, pisava&#10;&#10;Vsebina, ustvarjena z umetno inteligenco, morda ni pravil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235"/>
                    <a:stretch/>
                  </pic:blipFill>
                  <pic:spPr bwMode="auto">
                    <a:xfrm>
                      <a:off x="0" y="0"/>
                      <a:ext cx="1076992" cy="1426751"/>
                    </a:xfrm>
                    <a:prstGeom prst="rect">
                      <a:avLst/>
                    </a:prstGeom>
                    <a:noFill/>
                    <a:ln>
                      <a:noFill/>
                    </a:ln>
                    <a:extLst>
                      <a:ext uri="{53640926-AAD7-44D8-BBD7-CCE9431645EC}">
                        <a14:shadowObscured xmlns:a14="http://schemas.microsoft.com/office/drawing/2010/main"/>
                      </a:ext>
                    </a:extLst>
                  </pic:spPr>
                </pic:pic>
              </a:graphicData>
            </a:graphic>
          </wp:inline>
        </w:drawing>
      </w:r>
      <w:r>
        <w:rPr>
          <w:lang w:val="en-GB"/>
        </w:rPr>
        <w:t xml:space="preserve">                          </w:t>
      </w:r>
      <w:r w:rsidRPr="002E5B6E">
        <w:rPr>
          <w:noProof/>
          <w:lang w:val="en-GB"/>
        </w:rPr>
        <w:drawing>
          <wp:inline distT="0" distB="0" distL="0" distR="0" wp14:anchorId="0B3ECACE" wp14:editId="02F6ECF9">
            <wp:extent cx="2103681" cy="1355927"/>
            <wp:effectExtent l="0" t="0" r="0" b="0"/>
            <wp:docPr id="705205290" name="Slika 1" descr="Slika, ki vsebuje besede besedilo, posnetek zaslona, pisava,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5290" name="Slika 1" descr="Slika, ki vsebuje besede besedilo, posnetek zaslona, pisava, električno modra&#10;&#10;Vsebina, ustvarjena z umetno inteligenco, morda ni pravilna."/>
                    <pic:cNvPicPr/>
                  </pic:nvPicPr>
                  <pic:blipFill>
                    <a:blip r:embed="rId10"/>
                    <a:stretch>
                      <a:fillRect/>
                    </a:stretch>
                  </pic:blipFill>
                  <pic:spPr>
                    <a:xfrm>
                      <a:off x="0" y="0"/>
                      <a:ext cx="2113733" cy="1362406"/>
                    </a:xfrm>
                    <a:prstGeom prst="rect">
                      <a:avLst/>
                    </a:prstGeom>
                  </pic:spPr>
                </pic:pic>
              </a:graphicData>
            </a:graphic>
          </wp:inline>
        </w:drawing>
      </w:r>
    </w:p>
    <w:p w14:paraId="0A262CFC" w14:textId="77777777" w:rsidR="00FC5F3A" w:rsidRDefault="00FC5F3A"/>
    <w:p w14:paraId="763F0ACE" w14:textId="77777777" w:rsidR="00FC5F3A" w:rsidRDefault="00FC5F3A"/>
    <w:p w14:paraId="2B8AF606" w14:textId="5253B8A9" w:rsidR="00FC5F3A" w:rsidRDefault="00FC5F3A" w:rsidP="00FC5F3A">
      <w:pPr>
        <w:tabs>
          <w:tab w:val="left" w:pos="3789"/>
        </w:tabs>
      </w:pPr>
      <w:r>
        <w:tab/>
      </w:r>
    </w:p>
    <w:p w14:paraId="48C19475" w14:textId="77777777" w:rsidR="00FC5F3A" w:rsidRDefault="00FC5F3A"/>
    <w:p w14:paraId="6E3B8C47" w14:textId="77777777" w:rsidR="00FC5F3A" w:rsidRDefault="00FC5F3A"/>
    <w:p w14:paraId="6E61459B" w14:textId="77777777" w:rsidR="002E3B2A" w:rsidRDefault="006048CF" w:rsidP="00FC5F3A">
      <w:pPr>
        <w:spacing w:line="240" w:lineRule="auto"/>
        <w:jc w:val="center"/>
        <w:rPr>
          <w:rFonts w:ascii="Open Sans" w:hAnsi="Open Sans" w:cs="Open Sans"/>
          <w:b/>
          <w:bCs/>
          <w:color w:val="4E5762"/>
          <w:sz w:val="64"/>
          <w:szCs w:val="64"/>
          <w:lang w:val="en-GB"/>
        </w:rPr>
      </w:pPr>
      <w:r w:rsidRPr="002E3B2A">
        <w:rPr>
          <w:rFonts w:ascii="Open Sans" w:hAnsi="Open Sans" w:cs="Open Sans"/>
          <w:b/>
          <w:bCs/>
          <w:color w:val="4E5762"/>
          <w:sz w:val="64"/>
          <w:szCs w:val="64"/>
          <w:lang w:val="en-GB"/>
        </w:rPr>
        <w:t xml:space="preserve">Workplan </w:t>
      </w:r>
    </w:p>
    <w:p w14:paraId="6777E0AA" w14:textId="07B47FEC" w:rsidR="00FC5F3A" w:rsidRPr="002E3B2A" w:rsidRDefault="002E3B2A" w:rsidP="00FC5F3A">
      <w:pPr>
        <w:spacing w:line="240" w:lineRule="auto"/>
        <w:jc w:val="center"/>
        <w:rPr>
          <w:rFonts w:ascii="Open Sans" w:hAnsi="Open Sans" w:cs="Open Sans"/>
          <w:b/>
          <w:bCs/>
          <w:color w:val="4E5762"/>
          <w:sz w:val="64"/>
          <w:szCs w:val="64"/>
          <w:lang w:val="en-GB"/>
        </w:rPr>
      </w:pPr>
      <w:r>
        <w:rPr>
          <w:rFonts w:ascii="Open Sans" w:hAnsi="Open Sans" w:cs="Open Sans"/>
          <w:b/>
          <w:bCs/>
          <w:color w:val="4E5762"/>
          <w:sz w:val="64"/>
          <w:szCs w:val="64"/>
          <w:lang w:val="en-GB"/>
        </w:rPr>
        <w:t xml:space="preserve">Mandate </w:t>
      </w:r>
      <w:r w:rsidR="006048CF" w:rsidRPr="002E3B2A">
        <w:rPr>
          <w:rFonts w:ascii="Open Sans" w:hAnsi="Open Sans" w:cs="Open Sans"/>
          <w:b/>
          <w:bCs/>
          <w:color w:val="4E5762"/>
          <w:sz w:val="64"/>
          <w:szCs w:val="64"/>
          <w:lang w:val="en-GB"/>
        </w:rPr>
        <w:t>2025-2026</w:t>
      </w:r>
    </w:p>
    <w:p w14:paraId="2B1089DF" w14:textId="77777777" w:rsidR="002E3B2A" w:rsidRDefault="002E3B2A" w:rsidP="002E3B2A">
      <w:pPr>
        <w:jc w:val="center"/>
        <w:rPr>
          <w:rFonts w:ascii="Open Sans" w:hAnsi="Open Sans" w:cs="Open Sans"/>
          <w:color w:val="4E5762"/>
          <w:sz w:val="30"/>
          <w:szCs w:val="30"/>
          <w:lang w:val="en-GB"/>
        </w:rPr>
      </w:pPr>
    </w:p>
    <w:p w14:paraId="5E59E201" w14:textId="329C23A7" w:rsidR="002E3B2A" w:rsidRPr="002E3B2A" w:rsidRDefault="002E3B2A" w:rsidP="002E3B2A">
      <w:pPr>
        <w:jc w:val="center"/>
        <w:rPr>
          <w:rFonts w:ascii="Open Sans" w:hAnsi="Open Sans" w:cs="Open Sans"/>
          <w:b/>
          <w:bCs/>
          <w:color w:val="4E5762"/>
          <w:sz w:val="30"/>
          <w:szCs w:val="30"/>
          <w:lang w:val="en-GB"/>
        </w:rPr>
      </w:pPr>
      <w:r w:rsidRPr="002E3B2A">
        <w:rPr>
          <w:rFonts w:ascii="Open Sans" w:hAnsi="Open Sans" w:cs="Open Sans"/>
          <w:b/>
          <w:bCs/>
          <w:color w:val="4E5762"/>
          <w:sz w:val="30"/>
          <w:szCs w:val="30"/>
          <w:lang w:val="en-GB"/>
        </w:rPr>
        <w:t xml:space="preserve">EUSAIR Youth Council </w:t>
      </w:r>
    </w:p>
    <w:p w14:paraId="3FF755A1" w14:textId="7701542E" w:rsidR="00FC5F3A" w:rsidRPr="002E3B2A" w:rsidRDefault="002E3B2A" w:rsidP="00FC5F3A">
      <w:pPr>
        <w:jc w:val="center"/>
        <w:rPr>
          <w:rFonts w:ascii="Open Sans" w:hAnsi="Open Sans" w:cs="Open Sans"/>
          <w:color w:val="4E5762"/>
          <w:sz w:val="28"/>
          <w:szCs w:val="28"/>
          <w:lang w:val="en-GB"/>
        </w:rPr>
      </w:pPr>
      <w:r>
        <w:rPr>
          <w:rFonts w:ascii="Open Sans" w:hAnsi="Open Sans" w:cs="Open Sans"/>
          <w:color w:val="4E5762"/>
          <w:sz w:val="28"/>
          <w:szCs w:val="28"/>
          <w:lang w:val="en-GB"/>
        </w:rPr>
        <w:t xml:space="preserve">Version </w:t>
      </w:r>
      <w:r w:rsidR="00CC383F" w:rsidRPr="002E3B2A">
        <w:rPr>
          <w:rFonts w:ascii="Open Sans" w:hAnsi="Open Sans" w:cs="Open Sans"/>
          <w:color w:val="4E5762"/>
          <w:sz w:val="28"/>
          <w:szCs w:val="28"/>
          <w:lang w:val="en-GB"/>
        </w:rPr>
        <w:t>5.2.2026</w:t>
      </w:r>
    </w:p>
    <w:p w14:paraId="20C4C5CA" w14:textId="77777777" w:rsidR="00FC5F3A" w:rsidRDefault="00FC5F3A" w:rsidP="00FC5F3A">
      <w:pPr>
        <w:jc w:val="center"/>
        <w:rPr>
          <w:rFonts w:ascii="Open Sans" w:hAnsi="Open Sans" w:cs="Open Sans"/>
          <w:color w:val="4E5762"/>
          <w:sz w:val="44"/>
          <w:szCs w:val="44"/>
        </w:rPr>
      </w:pPr>
    </w:p>
    <w:p w14:paraId="59A2BF63" w14:textId="77777777" w:rsidR="00FC5F3A" w:rsidRDefault="00FC5F3A" w:rsidP="00FC5F3A">
      <w:pPr>
        <w:spacing w:line="276" w:lineRule="auto"/>
        <w:jc w:val="center"/>
        <w:rPr>
          <w:rFonts w:ascii="Open Sans" w:hAnsi="Open Sans" w:cs="Open Sans"/>
          <w:color w:val="4E5762"/>
          <w:sz w:val="44"/>
          <w:szCs w:val="44"/>
        </w:rPr>
      </w:pPr>
    </w:p>
    <w:p w14:paraId="771F8E50" w14:textId="77777777" w:rsidR="00FC5F3A" w:rsidRDefault="00FC5F3A" w:rsidP="00FC5F3A">
      <w:pPr>
        <w:spacing w:line="276" w:lineRule="auto"/>
        <w:jc w:val="center"/>
        <w:rPr>
          <w:rFonts w:ascii="Open Sans" w:hAnsi="Open Sans" w:cs="Open Sans"/>
          <w:color w:val="4E5762"/>
          <w:sz w:val="44"/>
          <w:szCs w:val="44"/>
        </w:rPr>
      </w:pPr>
    </w:p>
    <w:p w14:paraId="3BC113F5" w14:textId="77777777" w:rsidR="00FC5F3A" w:rsidRDefault="00FC5F3A" w:rsidP="00FC5F3A">
      <w:pPr>
        <w:jc w:val="center"/>
        <w:rPr>
          <w:rFonts w:ascii="Open Sans" w:hAnsi="Open Sans" w:cs="Open Sans"/>
          <w:color w:val="4E5762"/>
          <w:sz w:val="44"/>
          <w:szCs w:val="44"/>
        </w:rPr>
      </w:pPr>
    </w:p>
    <w:p w14:paraId="1D7A26E9" w14:textId="723370FD" w:rsidR="00FC5F3A" w:rsidRDefault="00FC5F3A" w:rsidP="00FC5F3A">
      <w:pPr>
        <w:jc w:val="center"/>
        <w:rPr>
          <w:rFonts w:ascii="Open Sans" w:hAnsi="Open Sans" w:cs="Open Sans"/>
          <w:color w:val="4E5762"/>
          <w:sz w:val="44"/>
          <w:szCs w:val="44"/>
        </w:rPr>
      </w:pPr>
      <w:r>
        <w:rPr>
          <w:noProof/>
        </w:rPr>
        <w:drawing>
          <wp:inline distT="0" distB="0" distL="0" distR="0" wp14:anchorId="3A828A87" wp14:editId="0AD40F64">
            <wp:extent cx="6438958" cy="1751497"/>
            <wp:effectExtent l="0" t="0" r="0" b="1270"/>
            <wp:docPr id="156283815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3815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539782" cy="1778923"/>
                    </a:xfrm>
                    <a:prstGeom prst="rect">
                      <a:avLst/>
                    </a:prstGeom>
                  </pic:spPr>
                </pic:pic>
              </a:graphicData>
            </a:graphic>
          </wp:inline>
        </w:drawing>
      </w:r>
    </w:p>
    <w:p w14:paraId="22B247E3" w14:textId="77777777" w:rsidR="003B28FD" w:rsidRDefault="003B28FD" w:rsidP="00FC5F3A">
      <w:pPr>
        <w:jc w:val="center"/>
        <w:rPr>
          <w:rFonts w:ascii="Open Sans" w:hAnsi="Open Sans" w:cs="Open Sans"/>
          <w:color w:val="4E5762"/>
          <w:sz w:val="44"/>
          <w:szCs w:val="44"/>
        </w:rPr>
        <w:sectPr w:rsidR="003B28FD" w:rsidSect="00FC5F3A">
          <w:headerReference w:type="even" r:id="rId13"/>
          <w:footerReference w:type="default" r:id="rId14"/>
          <w:headerReference w:type="first" r:id="rId15"/>
          <w:pgSz w:w="11906" w:h="16838"/>
          <w:pgMar w:top="851" w:right="851" w:bottom="851" w:left="851" w:header="709" w:footer="709" w:gutter="0"/>
          <w:cols w:space="708"/>
          <w:docGrid w:linePitch="360"/>
        </w:sectPr>
      </w:pPr>
    </w:p>
    <w:p w14:paraId="5D890FB7" w14:textId="77777777" w:rsidR="006B146B" w:rsidRDefault="006B146B">
      <w:pPr>
        <w:pStyle w:val="TOC1"/>
        <w:tabs>
          <w:tab w:val="right" w:leader="dot" w:pos="9628"/>
        </w:tabs>
        <w:rPr>
          <w:rFonts w:ascii="Open Sans" w:hAnsi="Open Sans" w:cs="Open Sans"/>
          <w:color w:val="000000"/>
        </w:rPr>
      </w:pPr>
    </w:p>
    <w:sdt>
      <w:sdtPr>
        <w:rPr>
          <w:rFonts w:asciiTheme="minorHAnsi" w:eastAsiaTheme="minorHAnsi" w:hAnsiTheme="minorHAnsi" w:cstheme="minorBidi"/>
          <w:b w:val="0"/>
          <w:color w:val="auto"/>
          <w:kern w:val="2"/>
          <w:sz w:val="22"/>
          <w:szCs w:val="22"/>
          <w:lang w:val="sl-SI" w:eastAsia="en-US"/>
          <w14:ligatures w14:val="standardContextual"/>
        </w:rPr>
        <w:id w:val="565465147"/>
        <w:docPartObj>
          <w:docPartGallery w:val="Table of Contents"/>
          <w:docPartUnique/>
        </w:docPartObj>
      </w:sdtPr>
      <w:sdtEndPr>
        <w:rPr>
          <w:bCs/>
        </w:rPr>
      </w:sdtEndPr>
      <w:sdtContent>
        <w:p w14:paraId="58B16C4E" w14:textId="36FD69B6" w:rsidR="00AC6279" w:rsidRPr="002E3B2A" w:rsidRDefault="0026176C">
          <w:pPr>
            <w:pStyle w:val="TOCHeading"/>
          </w:pPr>
          <w:r w:rsidRPr="002E3B2A">
            <w:t>Contents</w:t>
          </w:r>
        </w:p>
        <w:p w14:paraId="14BB6166" w14:textId="6F2DE10A" w:rsidR="00575368" w:rsidRPr="002E3B2A" w:rsidRDefault="00AC6279">
          <w:pPr>
            <w:pStyle w:val="TOC1"/>
            <w:tabs>
              <w:tab w:val="right" w:leader="dot" w:pos="9628"/>
            </w:tabs>
            <w:rPr>
              <w:rFonts w:ascii="Open Sans" w:eastAsiaTheme="minorEastAsia" w:hAnsi="Open Sans" w:cs="Open Sans"/>
              <w:noProof/>
              <w:sz w:val="24"/>
              <w:szCs w:val="24"/>
              <w:lang w:val="en-GB" w:eastAsia="en-GB"/>
            </w:rPr>
          </w:pPr>
          <w:r w:rsidRPr="002E3B2A">
            <w:rPr>
              <w:lang w:val="en-GB"/>
            </w:rPr>
            <w:fldChar w:fldCharType="begin"/>
          </w:r>
          <w:r w:rsidRPr="002E3B2A">
            <w:rPr>
              <w:lang w:val="en-GB"/>
            </w:rPr>
            <w:instrText xml:space="preserve"> TOC \o "1-3" \h \z \u </w:instrText>
          </w:r>
          <w:r w:rsidRPr="002E3B2A">
            <w:rPr>
              <w:lang w:val="en-GB"/>
            </w:rPr>
            <w:fldChar w:fldCharType="separate"/>
          </w:r>
          <w:hyperlink w:anchor="_Toc221287146" w:history="1">
            <w:r w:rsidR="00575368" w:rsidRPr="002E3B2A">
              <w:rPr>
                <w:rStyle w:val="Hyperlink"/>
                <w:rFonts w:ascii="Open Sans" w:hAnsi="Open Sans" w:cs="Open Sans"/>
                <w:noProof/>
                <w:lang w:val="en-GB"/>
              </w:rPr>
              <w:t>Introduction</w:t>
            </w:r>
            <w:r w:rsidR="00575368" w:rsidRPr="002E3B2A">
              <w:rPr>
                <w:rFonts w:ascii="Open Sans" w:hAnsi="Open Sans" w:cs="Open Sans"/>
                <w:noProof/>
                <w:webHidden/>
                <w:lang w:val="en-GB"/>
              </w:rPr>
              <w:tab/>
            </w:r>
            <w:r w:rsidR="00575368" w:rsidRPr="002E3B2A">
              <w:rPr>
                <w:rFonts w:ascii="Open Sans" w:hAnsi="Open Sans" w:cs="Open Sans"/>
                <w:noProof/>
                <w:webHidden/>
                <w:lang w:val="en-GB"/>
              </w:rPr>
              <w:fldChar w:fldCharType="begin"/>
            </w:r>
            <w:r w:rsidR="00575368" w:rsidRPr="002E3B2A">
              <w:rPr>
                <w:rFonts w:ascii="Open Sans" w:hAnsi="Open Sans" w:cs="Open Sans"/>
                <w:noProof/>
                <w:webHidden/>
                <w:lang w:val="en-GB"/>
              </w:rPr>
              <w:instrText xml:space="preserve"> PAGEREF _Toc221287146 \h </w:instrText>
            </w:r>
            <w:r w:rsidR="00575368" w:rsidRPr="002E3B2A">
              <w:rPr>
                <w:rFonts w:ascii="Open Sans" w:hAnsi="Open Sans" w:cs="Open Sans"/>
                <w:noProof/>
                <w:webHidden/>
                <w:lang w:val="en-GB"/>
              </w:rPr>
            </w:r>
            <w:r w:rsidR="00575368" w:rsidRPr="002E3B2A">
              <w:rPr>
                <w:rFonts w:ascii="Open Sans" w:hAnsi="Open Sans" w:cs="Open Sans"/>
                <w:noProof/>
                <w:webHidden/>
                <w:lang w:val="en-GB"/>
              </w:rPr>
              <w:fldChar w:fldCharType="separate"/>
            </w:r>
            <w:r w:rsidR="002E3B2A">
              <w:rPr>
                <w:rFonts w:ascii="Open Sans" w:hAnsi="Open Sans" w:cs="Open Sans"/>
                <w:noProof/>
                <w:webHidden/>
                <w:lang w:val="en-GB"/>
              </w:rPr>
              <w:t>1</w:t>
            </w:r>
            <w:r w:rsidR="00575368" w:rsidRPr="002E3B2A">
              <w:rPr>
                <w:rFonts w:ascii="Open Sans" w:hAnsi="Open Sans" w:cs="Open Sans"/>
                <w:noProof/>
                <w:webHidden/>
                <w:lang w:val="en-GB"/>
              </w:rPr>
              <w:fldChar w:fldCharType="end"/>
            </w:r>
          </w:hyperlink>
        </w:p>
        <w:p w14:paraId="73943B07" w14:textId="1AB0A611" w:rsidR="00575368" w:rsidRPr="002E3B2A" w:rsidRDefault="00575368">
          <w:pPr>
            <w:pStyle w:val="TOC1"/>
            <w:tabs>
              <w:tab w:val="right" w:leader="dot" w:pos="9628"/>
            </w:tabs>
            <w:rPr>
              <w:rFonts w:ascii="Open Sans" w:eastAsiaTheme="minorEastAsia" w:hAnsi="Open Sans" w:cs="Open Sans"/>
              <w:noProof/>
              <w:sz w:val="24"/>
              <w:szCs w:val="24"/>
              <w:lang w:val="en-GB" w:eastAsia="en-GB"/>
            </w:rPr>
          </w:pPr>
          <w:hyperlink w:anchor="_Toc221287147" w:history="1">
            <w:r w:rsidRPr="002E3B2A">
              <w:rPr>
                <w:rStyle w:val="Hyperlink"/>
                <w:rFonts w:ascii="Open Sans" w:hAnsi="Open Sans" w:cs="Open Sans"/>
                <w:noProof/>
                <w:lang w:val="en-GB"/>
              </w:rPr>
              <w:t>Obligations of the EYC</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_Toc221287147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2</w:t>
            </w:r>
            <w:r w:rsidRPr="002E3B2A">
              <w:rPr>
                <w:rFonts w:ascii="Open Sans" w:hAnsi="Open Sans" w:cs="Open Sans"/>
                <w:noProof/>
                <w:webHidden/>
                <w:lang w:val="en-GB"/>
              </w:rPr>
              <w:fldChar w:fldCharType="end"/>
            </w:r>
          </w:hyperlink>
        </w:p>
        <w:p w14:paraId="18A9657F" w14:textId="6F2CD01A"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48" w:history="1">
            <w:r w:rsidRPr="002E3B2A">
              <w:rPr>
                <w:rStyle w:val="Hyperlink"/>
                <w:rFonts w:ascii="Open Sans" w:hAnsi="Open Sans" w:cs="Open Sans"/>
                <w:noProof/>
                <w:lang w:val="en-GB"/>
              </w:rPr>
              <w:t>Biannual reports and participation at Governing Board meetings</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_Toc221287148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2</w:t>
            </w:r>
            <w:r w:rsidRPr="002E3B2A">
              <w:rPr>
                <w:rFonts w:ascii="Open Sans" w:hAnsi="Open Sans" w:cs="Open Sans"/>
                <w:noProof/>
                <w:webHidden/>
                <w:lang w:val="en-GB"/>
              </w:rPr>
              <w:fldChar w:fldCharType="end"/>
            </w:r>
          </w:hyperlink>
        </w:p>
        <w:p w14:paraId="35A7669F" w14:textId="7E76FC1F"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49" w:history="1">
            <w:r w:rsidRPr="002E3B2A">
              <w:rPr>
                <w:rStyle w:val="Hyperlink"/>
                <w:rFonts w:ascii="Open Sans" w:hAnsi="Open Sans" w:cs="Open Sans"/>
                <w:noProof/>
                <w:lang w:val="en-GB"/>
              </w:rPr>
              <w:t>Participation at the EUSAIR annual forum</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_Toc221287149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2</w:t>
            </w:r>
            <w:r w:rsidRPr="002E3B2A">
              <w:rPr>
                <w:rFonts w:ascii="Open Sans" w:hAnsi="Open Sans" w:cs="Open Sans"/>
                <w:noProof/>
                <w:webHidden/>
                <w:lang w:val="en-GB"/>
              </w:rPr>
              <w:fldChar w:fldCharType="end"/>
            </w:r>
          </w:hyperlink>
        </w:p>
        <w:p w14:paraId="72189F0D" w14:textId="3310BB7F"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0" w:history="1">
            <w:r w:rsidRPr="002E3B2A">
              <w:rPr>
                <w:rStyle w:val="Hyperlink"/>
                <w:rFonts w:ascii="Open Sans" w:hAnsi="Open Sans" w:cs="Open Sans"/>
                <w:noProof/>
                <w:lang w:val="en-GB"/>
              </w:rPr>
              <w:t>Participation at the TSG meetings</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_Toc221287150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2</w:t>
            </w:r>
            <w:r w:rsidRPr="002E3B2A">
              <w:rPr>
                <w:rFonts w:ascii="Open Sans" w:hAnsi="Open Sans" w:cs="Open Sans"/>
                <w:noProof/>
                <w:webHidden/>
                <w:lang w:val="en-GB"/>
              </w:rPr>
              <w:fldChar w:fldCharType="end"/>
            </w:r>
          </w:hyperlink>
        </w:p>
        <w:p w14:paraId="359AA5E4" w14:textId="290870DD"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1" w:history="1">
            <w:r w:rsidRPr="002E3B2A">
              <w:rPr>
                <w:rStyle w:val="Hyperlink"/>
                <w:rFonts w:ascii="Open Sans" w:hAnsi="Open Sans" w:cs="Open Sans"/>
                <w:noProof/>
                <w:lang w:val="en-GB"/>
              </w:rPr>
              <w:t>Communication team</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_Toc221287151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2</w:t>
            </w:r>
            <w:r w:rsidRPr="002E3B2A">
              <w:rPr>
                <w:rFonts w:ascii="Open Sans" w:hAnsi="Open Sans" w:cs="Open Sans"/>
                <w:noProof/>
                <w:webHidden/>
                <w:lang w:val="en-GB"/>
              </w:rPr>
              <w:fldChar w:fldCharType="end"/>
            </w:r>
          </w:hyperlink>
        </w:p>
        <w:p w14:paraId="08DAF286" w14:textId="4DE21C72" w:rsidR="00575368" w:rsidRPr="002E3B2A" w:rsidRDefault="00575368">
          <w:pPr>
            <w:pStyle w:val="TOC1"/>
            <w:tabs>
              <w:tab w:val="right" w:leader="dot" w:pos="9628"/>
            </w:tabs>
            <w:rPr>
              <w:rFonts w:ascii="Open Sans" w:eastAsiaTheme="minorEastAsia" w:hAnsi="Open Sans" w:cs="Open Sans"/>
              <w:noProof/>
              <w:sz w:val="24"/>
              <w:szCs w:val="24"/>
              <w:lang w:val="en-GB" w:eastAsia="en-GB"/>
            </w:rPr>
          </w:pPr>
          <w:hyperlink w:anchor="_Toc221287152" w:history="1">
            <w:r w:rsidRPr="002E3B2A">
              <w:rPr>
                <w:rStyle w:val="Hyperlink"/>
                <w:rFonts w:ascii="Open Sans" w:hAnsi="Open Sans" w:cs="Open Sans"/>
                <w:noProof/>
                <w:lang w:val="en-GB"/>
              </w:rPr>
              <w:t>Initiatives in 2025/26</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_Toc221287152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3</w:t>
            </w:r>
            <w:r w:rsidRPr="002E3B2A">
              <w:rPr>
                <w:rFonts w:ascii="Open Sans" w:hAnsi="Open Sans" w:cs="Open Sans"/>
                <w:noProof/>
                <w:webHidden/>
                <w:lang w:val="en-GB"/>
              </w:rPr>
              <w:fldChar w:fldCharType="end"/>
            </w:r>
          </w:hyperlink>
        </w:p>
        <w:p w14:paraId="5296B839" w14:textId="60E36FEE"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3" w:history="1">
            <w:r w:rsidRPr="002E3B2A">
              <w:rPr>
                <w:rStyle w:val="Hyperlink"/>
                <w:rFonts w:ascii="Open Sans" w:hAnsi="Open Sans" w:cs="Open Sans"/>
                <w:noProof/>
                <w:lang w:val="en-GB"/>
              </w:rPr>
              <w:t>Hackathon</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_Toc221287153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3</w:t>
            </w:r>
            <w:r w:rsidRPr="002E3B2A">
              <w:rPr>
                <w:rFonts w:ascii="Open Sans" w:hAnsi="Open Sans" w:cs="Open Sans"/>
                <w:noProof/>
                <w:webHidden/>
                <w:lang w:val="en-GB"/>
              </w:rPr>
              <w:fldChar w:fldCharType="end"/>
            </w:r>
          </w:hyperlink>
        </w:p>
        <w:p w14:paraId="7B264FB9" w14:textId="7C37323E"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4" w:history="1">
            <w:r w:rsidRPr="002E3B2A">
              <w:rPr>
                <w:rStyle w:val="Hyperlink"/>
                <w:rFonts w:ascii="Open Sans" w:hAnsi="Open Sans" w:cs="Open Sans"/>
                <w:noProof/>
                <w:lang w:val="en-GB"/>
              </w:rPr>
              <w:t>EYC Youth Mentorship Network – From skills to careers</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_Toc221287154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3</w:t>
            </w:r>
            <w:r w:rsidRPr="002E3B2A">
              <w:rPr>
                <w:rFonts w:ascii="Open Sans" w:hAnsi="Open Sans" w:cs="Open Sans"/>
                <w:noProof/>
                <w:webHidden/>
                <w:lang w:val="en-GB"/>
              </w:rPr>
              <w:fldChar w:fldCharType="end"/>
            </w:r>
          </w:hyperlink>
        </w:p>
        <w:p w14:paraId="07CD776D" w14:textId="586C3F12"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5" w:history="1">
            <w:r w:rsidRPr="002E3B2A">
              <w:rPr>
                <w:rStyle w:val="Hyperlink"/>
                <w:rFonts w:ascii="Open Sans" w:hAnsi="Open Sans" w:cs="Open Sans"/>
                <w:noProof/>
                <w:lang w:val="en-GB"/>
              </w:rPr>
              <w:t>Reclaiming the Right to the City: Youth-Led Housing Justice in the Adriatic–Ionian Region</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_Toc221287155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4</w:t>
            </w:r>
            <w:r w:rsidRPr="002E3B2A">
              <w:rPr>
                <w:rFonts w:ascii="Open Sans" w:hAnsi="Open Sans" w:cs="Open Sans"/>
                <w:noProof/>
                <w:webHidden/>
                <w:lang w:val="en-GB"/>
              </w:rPr>
              <w:fldChar w:fldCharType="end"/>
            </w:r>
          </w:hyperlink>
        </w:p>
        <w:p w14:paraId="706B56F4" w14:textId="1B08FFDF"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6" w:history="1">
            <w:r w:rsidRPr="002E3B2A">
              <w:rPr>
                <w:rStyle w:val="Hyperlink"/>
                <w:rFonts w:ascii="Open Sans" w:hAnsi="Open Sans" w:cs="Open Sans"/>
                <w:noProof/>
                <w:lang w:val="en-GB"/>
              </w:rPr>
              <w:t>EYC Position Paper on Meaningful Participation</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_Toc221287156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4</w:t>
            </w:r>
            <w:r w:rsidRPr="002E3B2A">
              <w:rPr>
                <w:rFonts w:ascii="Open Sans" w:hAnsi="Open Sans" w:cs="Open Sans"/>
                <w:noProof/>
                <w:webHidden/>
                <w:lang w:val="en-GB"/>
              </w:rPr>
              <w:fldChar w:fldCharType="end"/>
            </w:r>
          </w:hyperlink>
        </w:p>
        <w:p w14:paraId="60F3BDFB" w14:textId="76F1B8AD"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7" w:history="1">
            <w:r w:rsidRPr="002E3B2A">
              <w:rPr>
                <w:rStyle w:val="Hyperlink"/>
                <w:rFonts w:ascii="Open Sans" w:hAnsi="Open Sans" w:cs="Open Sans"/>
                <w:noProof/>
                <w:lang w:val="en-GB"/>
              </w:rPr>
              <w:t>EUSAIR Thematic Briefings: A Structured Framework for Process-Relevant Youth Input</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_Toc221287157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4</w:t>
            </w:r>
            <w:r w:rsidRPr="002E3B2A">
              <w:rPr>
                <w:rFonts w:ascii="Open Sans" w:hAnsi="Open Sans" w:cs="Open Sans"/>
                <w:noProof/>
                <w:webHidden/>
                <w:lang w:val="en-GB"/>
              </w:rPr>
              <w:fldChar w:fldCharType="end"/>
            </w:r>
          </w:hyperlink>
        </w:p>
        <w:p w14:paraId="01CC4365" w14:textId="5FBD5892" w:rsidR="00575368" w:rsidRPr="002E3B2A" w:rsidRDefault="00575368">
          <w:pPr>
            <w:pStyle w:val="TOC1"/>
            <w:tabs>
              <w:tab w:val="right" w:leader="dot" w:pos="9628"/>
            </w:tabs>
            <w:rPr>
              <w:rFonts w:ascii="Open Sans" w:eastAsiaTheme="minorEastAsia" w:hAnsi="Open Sans" w:cs="Open Sans"/>
              <w:noProof/>
              <w:sz w:val="24"/>
              <w:szCs w:val="24"/>
              <w:lang w:val="en-GB" w:eastAsia="en-GB"/>
            </w:rPr>
          </w:pPr>
          <w:hyperlink w:anchor="_Toc221287158" w:history="1">
            <w:r w:rsidRPr="002E3B2A">
              <w:rPr>
                <w:rStyle w:val="Hyperlink"/>
                <w:rFonts w:ascii="Open Sans" w:hAnsi="Open Sans" w:cs="Open Sans"/>
                <w:noProof/>
                <w:lang w:val="en-GB"/>
              </w:rPr>
              <w:t>Annex 1: Initiatives in detail</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_Toc221287158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6</w:t>
            </w:r>
            <w:r w:rsidRPr="002E3B2A">
              <w:rPr>
                <w:rFonts w:ascii="Open Sans" w:hAnsi="Open Sans" w:cs="Open Sans"/>
                <w:noProof/>
                <w:webHidden/>
                <w:lang w:val="en-GB"/>
              </w:rPr>
              <w:fldChar w:fldCharType="end"/>
            </w:r>
          </w:hyperlink>
        </w:p>
        <w:p w14:paraId="14421AD0" w14:textId="405721E1"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59" w:history="1">
            <w:r w:rsidRPr="002E3B2A">
              <w:rPr>
                <w:rStyle w:val="Hyperlink"/>
                <w:rFonts w:ascii="Open Sans" w:hAnsi="Open Sans" w:cs="Open Sans"/>
                <w:noProof/>
                <w:lang w:val="en-GB"/>
              </w:rPr>
              <w:t>Hackathon</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_Toc221287159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6</w:t>
            </w:r>
            <w:r w:rsidRPr="002E3B2A">
              <w:rPr>
                <w:rFonts w:ascii="Open Sans" w:hAnsi="Open Sans" w:cs="Open Sans"/>
                <w:noProof/>
                <w:webHidden/>
                <w:lang w:val="en-GB"/>
              </w:rPr>
              <w:fldChar w:fldCharType="end"/>
            </w:r>
          </w:hyperlink>
        </w:p>
        <w:p w14:paraId="470B5BFB" w14:textId="5A795F86"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60" w:history="1">
            <w:r w:rsidRPr="002E3B2A">
              <w:rPr>
                <w:rStyle w:val="Hyperlink"/>
                <w:rFonts w:ascii="Open Sans" w:hAnsi="Open Sans" w:cs="Open Sans"/>
                <w:noProof/>
                <w:lang w:val="en-GB"/>
              </w:rPr>
              <w:t>EYC Youth Mentorship Network – From skills to careers</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_Toc221287160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9</w:t>
            </w:r>
            <w:r w:rsidRPr="002E3B2A">
              <w:rPr>
                <w:rFonts w:ascii="Open Sans" w:hAnsi="Open Sans" w:cs="Open Sans"/>
                <w:noProof/>
                <w:webHidden/>
                <w:lang w:val="en-GB"/>
              </w:rPr>
              <w:fldChar w:fldCharType="end"/>
            </w:r>
          </w:hyperlink>
        </w:p>
        <w:p w14:paraId="19D4826E" w14:textId="60F634AC"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61" w:history="1">
            <w:r w:rsidRPr="002E3B2A">
              <w:rPr>
                <w:rStyle w:val="Hyperlink"/>
                <w:rFonts w:ascii="Open Sans" w:hAnsi="Open Sans" w:cs="Open Sans"/>
                <w:noProof/>
                <w:lang w:val="en-GB"/>
              </w:rPr>
              <w:t>Reclaiming the Right to the City: Youth-Led Housing Justice in the Adriatic–Ionian Region</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_Toc221287161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13</w:t>
            </w:r>
            <w:r w:rsidRPr="002E3B2A">
              <w:rPr>
                <w:rFonts w:ascii="Open Sans" w:hAnsi="Open Sans" w:cs="Open Sans"/>
                <w:noProof/>
                <w:webHidden/>
                <w:lang w:val="en-GB"/>
              </w:rPr>
              <w:fldChar w:fldCharType="end"/>
            </w:r>
          </w:hyperlink>
        </w:p>
        <w:p w14:paraId="089C6C10" w14:textId="6A29010F"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62" w:history="1">
            <w:r w:rsidRPr="002E3B2A">
              <w:rPr>
                <w:rStyle w:val="Hyperlink"/>
                <w:rFonts w:ascii="Open Sans" w:hAnsi="Open Sans" w:cs="Open Sans"/>
                <w:noProof/>
                <w:lang w:val="en-GB"/>
              </w:rPr>
              <w:t>EYC Position Paper on Meaningful Participation</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_Toc221287162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16</w:t>
            </w:r>
            <w:r w:rsidRPr="002E3B2A">
              <w:rPr>
                <w:rFonts w:ascii="Open Sans" w:hAnsi="Open Sans" w:cs="Open Sans"/>
                <w:noProof/>
                <w:webHidden/>
                <w:lang w:val="en-GB"/>
              </w:rPr>
              <w:fldChar w:fldCharType="end"/>
            </w:r>
          </w:hyperlink>
        </w:p>
        <w:p w14:paraId="73EA5AD5" w14:textId="0D247BF4" w:rsidR="00575368" w:rsidRPr="002E3B2A" w:rsidRDefault="00575368">
          <w:pPr>
            <w:pStyle w:val="TOC2"/>
            <w:tabs>
              <w:tab w:val="right" w:leader="dot" w:pos="9628"/>
            </w:tabs>
            <w:rPr>
              <w:rFonts w:ascii="Open Sans" w:eastAsiaTheme="minorEastAsia" w:hAnsi="Open Sans" w:cs="Open Sans"/>
              <w:noProof/>
              <w:sz w:val="24"/>
              <w:szCs w:val="24"/>
              <w:lang w:val="en-GB" w:eastAsia="en-GB"/>
            </w:rPr>
          </w:pPr>
          <w:hyperlink w:anchor="_Toc221287163" w:history="1">
            <w:r w:rsidRPr="002E3B2A">
              <w:rPr>
                <w:rStyle w:val="Hyperlink"/>
                <w:rFonts w:ascii="Open Sans" w:hAnsi="Open Sans" w:cs="Open Sans"/>
                <w:noProof/>
                <w:lang w:val="en-GB"/>
              </w:rPr>
              <w:t>EUSAIR Thematic Briefings: A Structured Framework for Process-Relevant Youth Input</w:t>
            </w:r>
            <w:r w:rsidRPr="002E3B2A">
              <w:rPr>
                <w:rFonts w:ascii="Open Sans" w:hAnsi="Open Sans" w:cs="Open Sans"/>
                <w:noProof/>
                <w:webHidden/>
                <w:lang w:val="en-GB"/>
              </w:rPr>
              <w:tab/>
            </w:r>
            <w:r w:rsidRPr="002E3B2A">
              <w:rPr>
                <w:rFonts w:ascii="Open Sans" w:hAnsi="Open Sans" w:cs="Open Sans"/>
                <w:noProof/>
                <w:webHidden/>
                <w:lang w:val="en-GB"/>
              </w:rPr>
              <w:fldChar w:fldCharType="begin"/>
            </w:r>
            <w:r w:rsidRPr="002E3B2A">
              <w:rPr>
                <w:rFonts w:ascii="Open Sans" w:hAnsi="Open Sans" w:cs="Open Sans"/>
                <w:noProof/>
                <w:webHidden/>
                <w:lang w:val="en-GB"/>
              </w:rPr>
              <w:instrText xml:space="preserve"> PAGEREF _Toc221287163 \h </w:instrText>
            </w:r>
            <w:r w:rsidRPr="002E3B2A">
              <w:rPr>
                <w:rFonts w:ascii="Open Sans" w:hAnsi="Open Sans" w:cs="Open Sans"/>
                <w:noProof/>
                <w:webHidden/>
                <w:lang w:val="en-GB"/>
              </w:rPr>
            </w:r>
            <w:r w:rsidRPr="002E3B2A">
              <w:rPr>
                <w:rFonts w:ascii="Open Sans" w:hAnsi="Open Sans" w:cs="Open Sans"/>
                <w:noProof/>
                <w:webHidden/>
                <w:lang w:val="en-GB"/>
              </w:rPr>
              <w:fldChar w:fldCharType="separate"/>
            </w:r>
            <w:r w:rsidR="002E3B2A">
              <w:rPr>
                <w:rFonts w:ascii="Open Sans" w:hAnsi="Open Sans" w:cs="Open Sans"/>
                <w:noProof/>
                <w:webHidden/>
                <w:lang w:val="en-GB"/>
              </w:rPr>
              <w:t>19</w:t>
            </w:r>
            <w:r w:rsidRPr="002E3B2A">
              <w:rPr>
                <w:rFonts w:ascii="Open Sans" w:hAnsi="Open Sans" w:cs="Open Sans"/>
                <w:noProof/>
                <w:webHidden/>
                <w:lang w:val="en-GB"/>
              </w:rPr>
              <w:fldChar w:fldCharType="end"/>
            </w:r>
          </w:hyperlink>
        </w:p>
        <w:p w14:paraId="2994C786" w14:textId="00AB7FFD" w:rsidR="00AC6279" w:rsidRDefault="00AC6279">
          <w:r w:rsidRPr="002E3B2A">
            <w:rPr>
              <w:b/>
              <w:bCs/>
              <w:lang w:val="en-GB"/>
            </w:rPr>
            <w:fldChar w:fldCharType="end"/>
          </w:r>
        </w:p>
      </w:sdtContent>
    </w:sdt>
    <w:p w14:paraId="6BAEB81F" w14:textId="77777777" w:rsidR="00895F31" w:rsidRPr="0015691E" w:rsidRDefault="00895F31"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68A8476B"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23DEC133"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16841AC7"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636A9C11"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618A2B09"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3A87257F"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0D2193BD"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5827CDB6"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79F7C0AC" w14:textId="77777777" w:rsidR="00A751F2" w:rsidRPr="0015691E" w:rsidRDefault="00A751F2" w:rsidP="003B28FD">
      <w:pPr>
        <w:pStyle w:val="NormalWeb"/>
        <w:shd w:val="clear" w:color="auto" w:fill="FFFFFF"/>
        <w:spacing w:before="0" w:beforeAutospacing="0" w:after="225" w:afterAutospacing="0"/>
        <w:jc w:val="both"/>
        <w:rPr>
          <w:rFonts w:ascii="Open Sans" w:hAnsi="Open Sans" w:cs="Open Sans"/>
          <w:color w:val="000000"/>
          <w:sz w:val="22"/>
          <w:szCs w:val="22"/>
        </w:rPr>
      </w:pPr>
    </w:p>
    <w:p w14:paraId="5DF8E162" w14:textId="77777777" w:rsidR="005C0D08" w:rsidRDefault="005C0D08" w:rsidP="005C0D08">
      <w:pPr>
        <w:sectPr w:rsidR="005C0D08" w:rsidSect="00A213D6">
          <w:footerReference w:type="default" r:id="rId16"/>
          <w:pgSz w:w="11906" w:h="16838"/>
          <w:pgMar w:top="1134" w:right="1134" w:bottom="1134" w:left="1134" w:header="709" w:footer="709" w:gutter="0"/>
          <w:cols w:space="708"/>
          <w:docGrid w:linePitch="360"/>
        </w:sectPr>
      </w:pPr>
      <w:bookmarkStart w:id="0" w:name="_Toc217385695"/>
    </w:p>
    <w:p w14:paraId="141DCFF7" w14:textId="4E24190A" w:rsidR="001B5A43" w:rsidRPr="005C0D08" w:rsidRDefault="00A74233" w:rsidP="00621AF6">
      <w:pPr>
        <w:pStyle w:val="Heading1"/>
      </w:pPr>
      <w:bookmarkStart w:id="1" w:name="_Toc221287146"/>
      <w:bookmarkEnd w:id="0"/>
      <w:r>
        <w:rPr>
          <w:lang w:val="en-GB"/>
        </w:rPr>
        <w:lastRenderedPageBreak/>
        <w:t>Introduction</w:t>
      </w:r>
      <w:bookmarkEnd w:id="1"/>
      <w:r w:rsidR="001B5A43" w:rsidRPr="001B5A43">
        <w:t xml:space="preserve"> </w:t>
      </w:r>
    </w:p>
    <w:p w14:paraId="550606E7" w14:textId="77777777" w:rsidR="00621AF6" w:rsidRDefault="00621AF6" w:rsidP="004E06E7">
      <w:pPr>
        <w:jc w:val="both"/>
        <w:rPr>
          <w:lang w:val="en-GB"/>
        </w:rPr>
      </w:pPr>
    </w:p>
    <w:p w14:paraId="213D018F" w14:textId="4EBA1D62" w:rsidR="00CF275C" w:rsidRPr="002E3B2A" w:rsidRDefault="00CF275C" w:rsidP="0007561F">
      <w:pPr>
        <w:jc w:val="both"/>
        <w:rPr>
          <w:rFonts w:ascii="Open Sans" w:hAnsi="Open Sans" w:cs="Open Sans"/>
          <w:lang w:val="en-GB"/>
        </w:rPr>
      </w:pPr>
      <w:r w:rsidRPr="002E3B2A">
        <w:rPr>
          <w:rFonts w:ascii="Open Sans" w:hAnsi="Open Sans" w:cs="Open Sans"/>
          <w:lang w:val="en-GB"/>
        </w:rPr>
        <w:t>This document outlines the work of the EYC for the 2025/26 mandate.</w:t>
      </w:r>
    </w:p>
    <w:p w14:paraId="3C7198E0" w14:textId="77777777" w:rsidR="00CF275C" w:rsidRPr="002E3B2A" w:rsidRDefault="00CF275C" w:rsidP="0007561F">
      <w:pPr>
        <w:jc w:val="both"/>
        <w:rPr>
          <w:rFonts w:ascii="Open Sans" w:hAnsi="Open Sans" w:cs="Open Sans"/>
          <w:lang w:val="en-GB"/>
        </w:rPr>
      </w:pPr>
      <w:r w:rsidRPr="002E3B2A">
        <w:rPr>
          <w:rFonts w:ascii="Open Sans" w:hAnsi="Open Sans" w:cs="Open Sans"/>
          <w:lang w:val="en-GB"/>
        </w:rPr>
        <w:t>The Work Plan is divided into two main parts. The first part focuses on the obligatory activities that the Youth Council will carry out during the upcoming mandate. These include the preparation of the biannual report, participation in the EUSAIR Forum, participation in the TSG meetings, and work within the Pillar Groups.</w:t>
      </w:r>
    </w:p>
    <w:p w14:paraId="6D029F9D" w14:textId="0CBAF35D" w:rsidR="00CF275C" w:rsidRPr="002E3B2A" w:rsidRDefault="00CF275C" w:rsidP="0007561F">
      <w:pPr>
        <w:jc w:val="both"/>
        <w:rPr>
          <w:rFonts w:ascii="Open Sans" w:hAnsi="Open Sans" w:cs="Open Sans"/>
          <w:lang w:val="en-GB"/>
        </w:rPr>
      </w:pPr>
      <w:r w:rsidRPr="002E3B2A">
        <w:rPr>
          <w:rFonts w:ascii="Open Sans" w:hAnsi="Open Sans" w:cs="Open Sans"/>
          <w:lang w:val="en-GB"/>
        </w:rPr>
        <w:t>The second part provides a detailed description of the initiatives that the EYC will implement during the mandate. In total, there are five initiatives: three require funding, while two do not.</w:t>
      </w:r>
      <w:r w:rsidR="00DB6C21" w:rsidRPr="002E3B2A">
        <w:rPr>
          <w:rFonts w:ascii="Open Sans" w:hAnsi="Open Sans" w:cs="Open Sans"/>
          <w:lang w:val="en-GB"/>
        </w:rPr>
        <w:t xml:space="preserve"> </w:t>
      </w:r>
    </w:p>
    <w:p w14:paraId="500F71B5" w14:textId="7B5BB7B1" w:rsidR="001B5A43" w:rsidRPr="00E83C8E" w:rsidRDefault="001B5A43" w:rsidP="00855F11">
      <w:pPr>
        <w:pStyle w:val="Naslovpoglavji"/>
        <w:jc w:val="both"/>
        <w:rPr>
          <w:rFonts w:asciiTheme="minorHAnsi" w:hAnsiTheme="minorHAnsi" w:cstheme="minorBidi"/>
          <w:color w:val="auto"/>
          <w:sz w:val="22"/>
          <w:szCs w:val="22"/>
          <w:lang w:val="en-GB"/>
        </w:rPr>
      </w:pPr>
      <w:r w:rsidRPr="00E83C8E">
        <w:rPr>
          <w:rFonts w:asciiTheme="minorHAnsi" w:hAnsiTheme="minorHAnsi" w:cstheme="minorBidi"/>
          <w:color w:val="auto"/>
          <w:sz w:val="22"/>
          <w:szCs w:val="22"/>
          <w:lang w:val="en-GB"/>
        </w:rPr>
        <w:br w:type="page"/>
      </w:r>
    </w:p>
    <w:p w14:paraId="5879B8DB" w14:textId="77777777" w:rsidR="00162706" w:rsidRDefault="00162706" w:rsidP="003176D1">
      <w:pPr>
        <w:pStyle w:val="Heading1"/>
        <w:rPr>
          <w:lang w:val="en-GB"/>
        </w:rPr>
      </w:pPr>
      <w:bookmarkStart w:id="2" w:name="_Toc220660439"/>
      <w:bookmarkStart w:id="3" w:name="_Toc220660667"/>
      <w:bookmarkStart w:id="4" w:name="_Toc221098325"/>
      <w:bookmarkStart w:id="5" w:name="_Toc221100058"/>
      <w:bookmarkStart w:id="6" w:name="_Toc217385696"/>
      <w:bookmarkStart w:id="7" w:name="_Toc220660438"/>
      <w:bookmarkStart w:id="8" w:name="_Toc220660661"/>
      <w:bookmarkStart w:id="9" w:name="_Toc221287147"/>
      <w:r w:rsidRPr="007A39BE">
        <w:rPr>
          <w:lang w:val="en-GB"/>
        </w:rPr>
        <w:lastRenderedPageBreak/>
        <w:t>Obligations of the EYC</w:t>
      </w:r>
      <w:bookmarkEnd w:id="2"/>
      <w:bookmarkEnd w:id="3"/>
      <w:bookmarkEnd w:id="4"/>
      <w:bookmarkEnd w:id="5"/>
      <w:bookmarkEnd w:id="9"/>
      <w:r w:rsidRPr="007A39BE">
        <w:rPr>
          <w:lang w:val="en-GB"/>
        </w:rPr>
        <w:t xml:space="preserve"> </w:t>
      </w:r>
    </w:p>
    <w:p w14:paraId="146CCD95" w14:textId="77777777" w:rsidR="002E3B2A" w:rsidRPr="002E3B2A" w:rsidRDefault="002E3B2A" w:rsidP="002E3B2A">
      <w:pPr>
        <w:rPr>
          <w:lang w:val="en-GB"/>
        </w:rPr>
      </w:pPr>
    </w:p>
    <w:p w14:paraId="50B58ABE" w14:textId="58B8B90F" w:rsidR="00162706" w:rsidRPr="002E3B2A" w:rsidRDefault="00162706" w:rsidP="003176D1">
      <w:pPr>
        <w:pStyle w:val="Heading2"/>
        <w:rPr>
          <w:rFonts w:ascii="Open Sans" w:hAnsi="Open Sans" w:cs="Open Sans"/>
          <w:lang w:val="en-GB"/>
        </w:rPr>
      </w:pPr>
      <w:bookmarkStart w:id="10" w:name="_Toc221098326"/>
      <w:bookmarkStart w:id="11" w:name="_Toc221100059"/>
      <w:bookmarkStart w:id="12" w:name="_Toc221287148"/>
      <w:r w:rsidRPr="002E3B2A">
        <w:rPr>
          <w:rFonts w:ascii="Open Sans" w:hAnsi="Open Sans" w:cs="Open Sans"/>
          <w:lang w:val="en-GB"/>
        </w:rPr>
        <w:t>Biannual reports</w:t>
      </w:r>
      <w:bookmarkEnd w:id="10"/>
      <w:bookmarkEnd w:id="11"/>
      <w:r w:rsidR="0026176C" w:rsidRPr="002E3B2A">
        <w:rPr>
          <w:rFonts w:ascii="Open Sans" w:hAnsi="Open Sans" w:cs="Open Sans"/>
          <w:lang w:val="en-GB"/>
        </w:rPr>
        <w:t xml:space="preserve"> and participation at Governing Board meetings</w:t>
      </w:r>
      <w:bookmarkEnd w:id="12"/>
    </w:p>
    <w:p w14:paraId="77DC078A" w14:textId="3AC8D6AA" w:rsidR="00162706" w:rsidRPr="002E3B2A" w:rsidRDefault="005B6627" w:rsidP="00513268">
      <w:pPr>
        <w:jc w:val="both"/>
        <w:rPr>
          <w:rFonts w:ascii="Open Sans" w:hAnsi="Open Sans" w:cs="Open Sans"/>
          <w:b/>
          <w:bCs/>
          <w:lang w:val="en-GB"/>
        </w:rPr>
      </w:pPr>
      <w:bookmarkStart w:id="13" w:name="_Toc221098327"/>
      <w:r w:rsidRPr="002E3B2A">
        <w:rPr>
          <w:rFonts w:ascii="Open Sans" w:hAnsi="Open Sans" w:cs="Open Sans"/>
          <w:lang w:val="en-GB"/>
        </w:rPr>
        <w:t>Two biannual reports will be prepared in accordance with the Rules of Procedure. The first report will be written in February, and the second in September.</w:t>
      </w:r>
      <w:bookmarkEnd w:id="13"/>
      <w:r w:rsidR="0026176C" w:rsidRPr="002E3B2A">
        <w:rPr>
          <w:rFonts w:ascii="Open Sans" w:hAnsi="Open Sans" w:cs="Open Sans"/>
          <w:lang w:val="en-GB"/>
        </w:rPr>
        <w:t xml:space="preserve"> Once the GB dates will be announced, the biannual report must be submitted latest 22 calendar days before the GB meeting. The report will be presented by the Chair at the GB meeting. </w:t>
      </w:r>
    </w:p>
    <w:p w14:paraId="4AF9FBED" w14:textId="77777777" w:rsidR="005B6627" w:rsidRPr="002E3B2A" w:rsidRDefault="005B6627" w:rsidP="00431E64">
      <w:pPr>
        <w:pStyle w:val="Podnaslov1"/>
        <w:jc w:val="both"/>
        <w:rPr>
          <w:rFonts w:ascii="Open Sans" w:hAnsi="Open Sans" w:cs="Open Sans"/>
          <w:lang w:val="en-GB"/>
        </w:rPr>
      </w:pPr>
    </w:p>
    <w:p w14:paraId="4F1A2CE5" w14:textId="77777777" w:rsidR="00162706" w:rsidRPr="002E3B2A" w:rsidRDefault="00162706" w:rsidP="003176D1">
      <w:pPr>
        <w:pStyle w:val="Heading2"/>
        <w:rPr>
          <w:rFonts w:ascii="Open Sans" w:hAnsi="Open Sans" w:cs="Open Sans"/>
          <w:lang w:val="en-GB"/>
        </w:rPr>
      </w:pPr>
      <w:bookmarkStart w:id="14" w:name="_Toc221098328"/>
      <w:bookmarkStart w:id="15" w:name="_Toc221100060"/>
      <w:bookmarkStart w:id="16" w:name="_Toc221287149"/>
      <w:r w:rsidRPr="002E3B2A">
        <w:rPr>
          <w:rFonts w:ascii="Open Sans" w:hAnsi="Open Sans" w:cs="Open Sans"/>
          <w:lang w:val="en-GB"/>
        </w:rPr>
        <w:t>Participation at the EUSAIR annual forum</w:t>
      </w:r>
      <w:bookmarkEnd w:id="14"/>
      <w:bookmarkEnd w:id="15"/>
      <w:bookmarkEnd w:id="16"/>
      <w:r w:rsidRPr="002E3B2A">
        <w:rPr>
          <w:rFonts w:ascii="Open Sans" w:hAnsi="Open Sans" w:cs="Open Sans"/>
          <w:lang w:val="en-GB"/>
        </w:rPr>
        <w:t xml:space="preserve"> </w:t>
      </w:r>
    </w:p>
    <w:p w14:paraId="60A8D89D" w14:textId="22288B22" w:rsidR="00364F60" w:rsidRPr="002E3B2A" w:rsidRDefault="00CA2C8B" w:rsidP="00431E64">
      <w:pPr>
        <w:pStyle w:val="Podnaslov1"/>
        <w:jc w:val="both"/>
        <w:rPr>
          <w:rFonts w:ascii="Open Sans" w:hAnsi="Open Sans" w:cs="Open Sans"/>
          <w:b w:val="0"/>
          <w:bCs w:val="0"/>
          <w:lang w:val="en-GB"/>
        </w:rPr>
      </w:pPr>
      <w:r w:rsidRPr="002E3B2A">
        <w:rPr>
          <w:rFonts w:ascii="Open Sans" w:hAnsi="Open Sans" w:cs="Open Sans"/>
          <w:b w:val="0"/>
          <w:bCs w:val="0"/>
          <w:lang w:val="en-GB"/>
        </w:rPr>
        <w:t>The EYC aims to actively participate in the sessions of the EUSAIR Annual Forum by being part of pillar-dedicated sessions. Through this involvement, the EYC seeks to promote intergenerational dialogue by ensuring that at least one EYC member participates in the sessions of each pillar. In addition, the EYC plans to host its own session to present the EYC Position Paper on Meaningful Participation, alongside an internal meeting of EYC members.</w:t>
      </w:r>
    </w:p>
    <w:p w14:paraId="3AA90922" w14:textId="77777777" w:rsidR="00CA2C8B" w:rsidRPr="002E3B2A" w:rsidRDefault="00CA2C8B" w:rsidP="00431E64">
      <w:pPr>
        <w:pStyle w:val="Podnaslov1"/>
        <w:jc w:val="both"/>
        <w:rPr>
          <w:rFonts w:ascii="Open Sans" w:hAnsi="Open Sans" w:cs="Open Sans"/>
          <w:lang w:val="en-GB"/>
        </w:rPr>
      </w:pPr>
    </w:p>
    <w:p w14:paraId="5E8F60DB" w14:textId="77777777" w:rsidR="00162706" w:rsidRPr="002E3B2A" w:rsidRDefault="00162706" w:rsidP="003176D1">
      <w:pPr>
        <w:pStyle w:val="Heading2"/>
        <w:rPr>
          <w:rFonts w:ascii="Open Sans" w:hAnsi="Open Sans" w:cs="Open Sans"/>
          <w:lang w:val="en-GB"/>
        </w:rPr>
      </w:pPr>
      <w:bookmarkStart w:id="17" w:name="_Toc221098329"/>
      <w:bookmarkStart w:id="18" w:name="_Toc221100061"/>
      <w:bookmarkStart w:id="19" w:name="_Toc221287150"/>
      <w:r w:rsidRPr="002E3B2A">
        <w:rPr>
          <w:rFonts w:ascii="Open Sans" w:hAnsi="Open Sans" w:cs="Open Sans"/>
          <w:lang w:val="en-GB"/>
        </w:rPr>
        <w:t>Participation at the TSG meetings</w:t>
      </w:r>
      <w:bookmarkEnd w:id="17"/>
      <w:bookmarkEnd w:id="18"/>
      <w:bookmarkEnd w:id="19"/>
    </w:p>
    <w:p w14:paraId="0F53D090" w14:textId="7EE1FAB2" w:rsidR="005B6627" w:rsidRPr="002E3B2A" w:rsidRDefault="005B6627" w:rsidP="00431E64">
      <w:pPr>
        <w:jc w:val="both"/>
        <w:rPr>
          <w:rFonts w:ascii="Open Sans" w:hAnsi="Open Sans" w:cs="Open Sans"/>
          <w:lang w:val="en-GB"/>
        </w:rPr>
      </w:pPr>
      <w:r w:rsidRPr="002E3B2A">
        <w:rPr>
          <w:rFonts w:ascii="Open Sans" w:hAnsi="Open Sans" w:cs="Open Sans"/>
          <w:lang w:val="en-GB"/>
        </w:rPr>
        <w:t xml:space="preserve">Each of the six Pillar Groups holds two TSG meetings per year, and attendance by the respective Pillar Group Leader is mandatory. In line with the Rules of Procedure, the Pillar Group Leader must convene a preparatory meeting two weeks prior to each TSG meeting, during which the group discusses </w:t>
      </w:r>
      <w:r w:rsidR="0026176C" w:rsidRPr="002E3B2A">
        <w:rPr>
          <w:rFonts w:ascii="Open Sans" w:hAnsi="Open Sans" w:cs="Open Sans"/>
          <w:lang w:val="en-GB"/>
        </w:rPr>
        <w:t>what inputs could be provided based on the received</w:t>
      </w:r>
      <w:r w:rsidRPr="002E3B2A">
        <w:rPr>
          <w:rFonts w:ascii="Open Sans" w:hAnsi="Open Sans" w:cs="Open Sans"/>
          <w:lang w:val="en-GB"/>
        </w:rPr>
        <w:t xml:space="preserve"> agenda. </w:t>
      </w:r>
      <w:r w:rsidR="0026176C" w:rsidRPr="002E3B2A">
        <w:rPr>
          <w:rFonts w:ascii="Open Sans" w:hAnsi="Open Sans" w:cs="Open Sans"/>
          <w:lang w:val="en-GB"/>
        </w:rPr>
        <w:t xml:space="preserve">Afterwards Pillar Group leader exchanges on the inputs from EUSAIR Youth Council at the meeting with the Pillar Coordinator. </w:t>
      </w:r>
    </w:p>
    <w:p w14:paraId="1D74D2FF" w14:textId="4EE87638" w:rsidR="005B6627" w:rsidRPr="002E3B2A" w:rsidRDefault="005B6627" w:rsidP="00431E64">
      <w:pPr>
        <w:jc w:val="both"/>
        <w:rPr>
          <w:rFonts w:ascii="Open Sans" w:hAnsi="Open Sans" w:cs="Open Sans"/>
          <w:lang w:val="en-GB"/>
        </w:rPr>
      </w:pPr>
      <w:r w:rsidRPr="002E3B2A">
        <w:rPr>
          <w:rFonts w:ascii="Open Sans" w:hAnsi="Open Sans" w:cs="Open Sans"/>
          <w:lang w:val="en-GB"/>
        </w:rPr>
        <w:t>Pillar Groups report to the EYC every three months (four times during the mandate) on TSG activities and on how the EYC Pillar Group has contributed to those activities.</w:t>
      </w:r>
    </w:p>
    <w:p w14:paraId="78FBF487" w14:textId="77777777" w:rsidR="000C6D49" w:rsidRPr="002E3B2A" w:rsidRDefault="000C6D49">
      <w:pPr>
        <w:rPr>
          <w:rFonts w:ascii="Open Sans" w:hAnsi="Open Sans" w:cs="Open Sans"/>
          <w:lang w:val="en-GB"/>
        </w:rPr>
      </w:pPr>
    </w:p>
    <w:p w14:paraId="11CDB053" w14:textId="77777777" w:rsidR="000C6D49" w:rsidRPr="002E3B2A" w:rsidRDefault="000C6D49" w:rsidP="0001221E">
      <w:pPr>
        <w:pStyle w:val="Heading2"/>
        <w:rPr>
          <w:rFonts w:ascii="Open Sans" w:hAnsi="Open Sans" w:cs="Open Sans"/>
          <w:lang w:val="en-GB"/>
        </w:rPr>
      </w:pPr>
      <w:bookmarkStart w:id="20" w:name="_Toc221287151"/>
      <w:r w:rsidRPr="002E3B2A">
        <w:rPr>
          <w:rFonts w:ascii="Open Sans" w:hAnsi="Open Sans" w:cs="Open Sans"/>
          <w:lang w:val="en-GB"/>
        </w:rPr>
        <w:t>Communication team</w:t>
      </w:r>
      <w:bookmarkEnd w:id="20"/>
      <w:r w:rsidRPr="002E3B2A">
        <w:rPr>
          <w:rFonts w:ascii="Open Sans" w:hAnsi="Open Sans" w:cs="Open Sans"/>
          <w:lang w:val="en-GB"/>
        </w:rPr>
        <w:t xml:space="preserve"> </w:t>
      </w:r>
    </w:p>
    <w:p w14:paraId="6A60DF61" w14:textId="77777777" w:rsidR="00A74233" w:rsidRPr="002E3B2A" w:rsidRDefault="009B6D8B" w:rsidP="009B6D8B">
      <w:pPr>
        <w:jc w:val="both"/>
        <w:rPr>
          <w:rFonts w:ascii="Open Sans" w:hAnsi="Open Sans" w:cs="Open Sans"/>
          <w:lang w:val="en-GB"/>
        </w:rPr>
      </w:pPr>
      <w:r w:rsidRPr="002E3B2A">
        <w:rPr>
          <w:rFonts w:ascii="Open Sans" w:hAnsi="Open Sans" w:cs="Open Sans"/>
          <w:lang w:val="en-GB"/>
        </w:rPr>
        <w:t>The EUSAIR Youth Council Communication Team will implement the Communication Strategy 2026 to strengthen youth visibility, participation, and impact within the Adriatic–Ionian region, in full alignment with the EUSAIR Communication Strategy. The team will focus on increasing awareness of EUSAIR and its opportunities among young people, promoting youth engagement, and showcasing youth contributions through clear, youth-friendly, and targeted communication. Using Instagram as the primary channel and coordinating closely with the EUSAIR Facility Point and official communication structures, the Communication Team will ensure consistent, high-quality messaging. Through strategic content, clear key messages, and regular coordination, the team will support sustained youth involvement and reinforce the role of young people in shaping a more inclusive and sustainable Adriatic–Ionian region.</w:t>
      </w:r>
      <w:r w:rsidR="000B740A" w:rsidRPr="002E3B2A">
        <w:rPr>
          <w:rFonts w:ascii="Open Sans" w:hAnsi="Open Sans" w:cs="Open Sans"/>
          <w:lang w:val="en-GB"/>
        </w:rPr>
        <w:t xml:space="preserve"> </w:t>
      </w:r>
    </w:p>
    <w:p w14:paraId="0325B412" w14:textId="59177906" w:rsidR="00162706" w:rsidRPr="002E3B2A" w:rsidRDefault="00162706" w:rsidP="009B6D8B">
      <w:pPr>
        <w:jc w:val="both"/>
        <w:rPr>
          <w:rFonts w:ascii="Open Sans" w:hAnsi="Open Sans" w:cs="Open Sans"/>
          <w:color w:val="4E5762"/>
          <w:sz w:val="28"/>
          <w:szCs w:val="38"/>
          <w:lang w:val="en-GB"/>
        </w:rPr>
      </w:pPr>
      <w:r w:rsidRPr="002E3B2A">
        <w:rPr>
          <w:rFonts w:ascii="Open Sans" w:hAnsi="Open Sans" w:cs="Open Sans"/>
          <w:lang w:val="en-GB"/>
        </w:rPr>
        <w:br w:type="page"/>
      </w:r>
    </w:p>
    <w:p w14:paraId="0E82FBE8" w14:textId="77777777" w:rsidR="00206EA8" w:rsidRPr="002E3B2A" w:rsidRDefault="00206EA8" w:rsidP="00206EA8">
      <w:pPr>
        <w:pStyle w:val="Heading1"/>
        <w:rPr>
          <w:rFonts w:cs="Open Sans"/>
          <w:lang w:val="en-GB"/>
        </w:rPr>
      </w:pPr>
      <w:bookmarkStart w:id="21" w:name="_Toc221287152"/>
      <w:bookmarkEnd w:id="6"/>
      <w:bookmarkEnd w:id="7"/>
      <w:bookmarkEnd w:id="8"/>
      <w:r w:rsidRPr="002E3B2A">
        <w:rPr>
          <w:rFonts w:cs="Open Sans"/>
          <w:lang w:val="en-GB"/>
        </w:rPr>
        <w:lastRenderedPageBreak/>
        <w:t>Initiatives in 2025/26</w:t>
      </w:r>
      <w:bookmarkEnd w:id="21"/>
    </w:p>
    <w:p w14:paraId="5EE05027" w14:textId="77777777" w:rsidR="003B5FB9" w:rsidRPr="002E3B2A" w:rsidRDefault="003B5FB9" w:rsidP="000C6D49">
      <w:pPr>
        <w:pStyle w:val="Heading2"/>
        <w:rPr>
          <w:rFonts w:ascii="Open Sans" w:hAnsi="Open Sans" w:cs="Open Sans"/>
          <w:lang w:val="en-GB"/>
        </w:rPr>
      </w:pPr>
    </w:p>
    <w:p w14:paraId="76955590" w14:textId="74C84825" w:rsidR="005D1E29" w:rsidRPr="002E3B2A" w:rsidRDefault="006F6E49" w:rsidP="006F6E49">
      <w:pPr>
        <w:jc w:val="both"/>
        <w:rPr>
          <w:rFonts w:ascii="Open Sans" w:hAnsi="Open Sans" w:cs="Open Sans"/>
          <w:lang w:val="en-GB"/>
        </w:rPr>
      </w:pPr>
      <w:r w:rsidRPr="002E3B2A">
        <w:rPr>
          <w:rFonts w:ascii="Open Sans" w:hAnsi="Open Sans" w:cs="Open Sans"/>
          <w:lang w:val="en-GB"/>
        </w:rPr>
        <w:t>Below is a brief description of the initiatives, highlighting their relevance for youth in the EUSAIR region, the number of participants, the organisations involved, and any budgetary requirements. Full details are provided in Annex 1.</w:t>
      </w:r>
    </w:p>
    <w:p w14:paraId="04874855" w14:textId="77777777" w:rsidR="006F6E49" w:rsidRPr="002E3B2A" w:rsidRDefault="006F6E49" w:rsidP="005D1E29">
      <w:pPr>
        <w:rPr>
          <w:rFonts w:ascii="Open Sans" w:hAnsi="Open Sans" w:cs="Open Sans"/>
        </w:rPr>
      </w:pPr>
    </w:p>
    <w:p w14:paraId="39DDF59B" w14:textId="515892B3" w:rsidR="000C6D49" w:rsidRPr="002E3B2A" w:rsidRDefault="000C6D49" w:rsidP="000C6D49">
      <w:pPr>
        <w:pStyle w:val="Heading2"/>
        <w:rPr>
          <w:rFonts w:ascii="Open Sans" w:hAnsi="Open Sans" w:cs="Open Sans"/>
          <w:lang w:val="en-GB"/>
        </w:rPr>
      </w:pPr>
      <w:bookmarkStart w:id="22" w:name="_Toc221287153"/>
      <w:r w:rsidRPr="002E3B2A">
        <w:rPr>
          <w:rFonts w:ascii="Open Sans" w:hAnsi="Open Sans" w:cs="Open Sans"/>
          <w:lang w:val="en-GB"/>
        </w:rPr>
        <w:t>Hackathon</w:t>
      </w:r>
      <w:bookmarkEnd w:id="22"/>
    </w:p>
    <w:p w14:paraId="4DE8AD4E" w14:textId="5E4B6CCE" w:rsidR="003B5FB9" w:rsidRPr="002E3B2A" w:rsidRDefault="003B5FB9" w:rsidP="003B5FB9">
      <w:pPr>
        <w:jc w:val="both"/>
        <w:rPr>
          <w:rFonts w:ascii="Open Sans" w:hAnsi="Open Sans" w:cs="Open Sans"/>
          <w:lang w:val="en-GB"/>
        </w:rPr>
      </w:pPr>
      <w:r w:rsidRPr="002E3B2A">
        <w:rPr>
          <w:rFonts w:ascii="Open Sans" w:hAnsi="Open Sans" w:cs="Open Sans"/>
          <w:lang w:val="en-GB"/>
        </w:rPr>
        <w:t>This initiative is a 24 – 48 hour international hackathon hosted in the historic centre of the Republic of San Marino, focused on sustainable multi-modal transport, digital logistics, and last-mile solutions in the Adriatic-Ionian Region. University students from across the 10 EUSAIR countries will work in mixed teams to solve real transport “use cases” through Serious Games and simulation tools, transforming San Marino into a temporary Living Lab for smart logistics.</w:t>
      </w:r>
    </w:p>
    <w:p w14:paraId="724D6E90" w14:textId="1F3DA93A" w:rsidR="003B5FB9" w:rsidRPr="002E3B2A" w:rsidRDefault="003B5FB9" w:rsidP="003B5FB9">
      <w:pPr>
        <w:jc w:val="both"/>
        <w:rPr>
          <w:rFonts w:ascii="Open Sans" w:hAnsi="Open Sans" w:cs="Open Sans"/>
          <w:lang w:val="en-GB"/>
        </w:rPr>
      </w:pPr>
      <w:r w:rsidRPr="002E3B2A">
        <w:rPr>
          <w:rFonts w:ascii="Open Sans" w:hAnsi="Open Sans" w:cs="Open Sans"/>
          <w:lang w:val="en-GB"/>
        </w:rPr>
        <w:t>The initiative will involve students, supported by 10 EUSAIR Youth Council members (one per country), academic mentors, and transport experts. Key institutions include the University of San Marino (UNIRSM), the Italian Association of Transport, EUSAIR TSG2, and the San Marino Ministry of Foreign Affairs, with strategic endorsement from the TSG2 Leader.</w:t>
      </w:r>
    </w:p>
    <w:p w14:paraId="1F97735D" w14:textId="77777777" w:rsidR="003B5FB9" w:rsidRPr="002E3B2A" w:rsidRDefault="003B5FB9" w:rsidP="003B5FB9">
      <w:pPr>
        <w:jc w:val="both"/>
        <w:rPr>
          <w:rFonts w:ascii="Open Sans" w:hAnsi="Open Sans" w:cs="Open Sans"/>
          <w:lang w:val="en-GB"/>
        </w:rPr>
      </w:pPr>
      <w:r w:rsidRPr="002E3B2A">
        <w:rPr>
          <w:rFonts w:ascii="Open Sans" w:hAnsi="Open Sans" w:cs="Open Sans"/>
          <w:lang w:val="en-GB"/>
        </w:rPr>
        <w:t>The estimated budget ranges from €15,000 to €30,000, covering international travel, accommodation, catering, and organizational costs, complemented by significant in-kind contributions (venue, expertise, and digital tools).</w:t>
      </w:r>
    </w:p>
    <w:p w14:paraId="060CDDC6" w14:textId="77777777" w:rsidR="003B5FB9" w:rsidRPr="002E3B2A" w:rsidRDefault="003B5FB9" w:rsidP="003B5FB9">
      <w:pPr>
        <w:pStyle w:val="Heading2"/>
        <w:rPr>
          <w:rFonts w:ascii="Open Sans" w:hAnsi="Open Sans" w:cs="Open Sans"/>
          <w:lang w:val="en-GB"/>
        </w:rPr>
      </w:pPr>
    </w:p>
    <w:p w14:paraId="01C8A903" w14:textId="0A089370" w:rsidR="003B5FB9" w:rsidRPr="002E3B2A" w:rsidRDefault="003B5FB9" w:rsidP="003B5FB9">
      <w:pPr>
        <w:pStyle w:val="Heading2"/>
        <w:rPr>
          <w:rFonts w:ascii="Open Sans" w:hAnsi="Open Sans" w:cs="Open Sans"/>
          <w:lang w:val="en-GB"/>
        </w:rPr>
      </w:pPr>
      <w:bookmarkStart w:id="23" w:name="_Toc221287154"/>
      <w:r w:rsidRPr="002E3B2A">
        <w:rPr>
          <w:rFonts w:ascii="Open Sans" w:hAnsi="Open Sans" w:cs="Open Sans"/>
          <w:lang w:val="en-GB"/>
        </w:rPr>
        <w:t>EYC Youth Mentorship Network – From skills to careers</w:t>
      </w:r>
      <w:bookmarkEnd w:id="23"/>
    </w:p>
    <w:p w14:paraId="32E29E96" w14:textId="77777777" w:rsidR="000F1090" w:rsidRPr="002E3B2A" w:rsidRDefault="000F1090" w:rsidP="00C43C79">
      <w:pPr>
        <w:jc w:val="both"/>
        <w:rPr>
          <w:rFonts w:ascii="Open Sans" w:hAnsi="Open Sans" w:cs="Open Sans"/>
          <w:lang w:val="en-GB"/>
        </w:rPr>
      </w:pPr>
      <w:r w:rsidRPr="002E3B2A">
        <w:rPr>
          <w:rFonts w:ascii="Open Sans" w:hAnsi="Open Sans" w:cs="Open Sans"/>
          <w:lang w:val="en-GB"/>
        </w:rPr>
        <w:t>Young people in the Adriatic-Ionian region face growing uncertainty during the transition to adulthood, marked by high emigration rates, labour market mismatches, and limited access to stable employment and career guidance. Despite higher educational attainment, many experience insecurity, delayed independence, and disengagement. This initiative responds by addressing not only employability, but also the need for guidance, confidence, and human support, helping young people better position themselves within the region.</w:t>
      </w:r>
    </w:p>
    <w:p w14:paraId="74C240BE" w14:textId="48CE4F27" w:rsidR="00C43C79" w:rsidRPr="002E3B2A" w:rsidRDefault="00C43C79" w:rsidP="00C43C79">
      <w:pPr>
        <w:jc w:val="both"/>
        <w:rPr>
          <w:rFonts w:ascii="Open Sans" w:hAnsi="Open Sans" w:cs="Open Sans"/>
          <w:lang w:val="en-GB"/>
        </w:rPr>
      </w:pPr>
      <w:r w:rsidRPr="002E3B2A">
        <w:rPr>
          <w:rFonts w:ascii="Open Sans" w:hAnsi="Open Sans" w:cs="Open Sans"/>
          <w:lang w:val="en-GB"/>
        </w:rPr>
        <w:t>The pilot programme will involve young people from across the Adriatic-Ionian region, supported by volunteer mentors drawn from key economic and social sectors. Implementation will be coordinated by a working group of 5</w:t>
      </w:r>
      <w:r w:rsidR="00010170" w:rsidRPr="002E3B2A">
        <w:rPr>
          <w:rFonts w:ascii="Open Sans" w:hAnsi="Open Sans" w:cs="Open Sans"/>
          <w:lang w:val="en-GB"/>
        </w:rPr>
        <w:t xml:space="preserve"> – </w:t>
      </w:r>
      <w:r w:rsidRPr="002E3B2A">
        <w:rPr>
          <w:rFonts w:ascii="Open Sans" w:hAnsi="Open Sans" w:cs="Open Sans"/>
          <w:lang w:val="en-GB"/>
        </w:rPr>
        <w:t>6 EUSAIR Youth Council members, in cooperation with professional organisations, public institutions, and civil society actors across the region that contribute expertise and mentoring capacity.</w:t>
      </w:r>
    </w:p>
    <w:p w14:paraId="5B3AA033" w14:textId="77777777" w:rsidR="00C43C79" w:rsidRPr="002E3B2A" w:rsidRDefault="00C43C79" w:rsidP="00C43C79">
      <w:pPr>
        <w:jc w:val="both"/>
        <w:rPr>
          <w:rFonts w:ascii="Open Sans" w:hAnsi="Open Sans" w:cs="Open Sans"/>
          <w:lang w:val="en-GB"/>
        </w:rPr>
      </w:pPr>
      <w:r w:rsidRPr="002E3B2A">
        <w:rPr>
          <w:rFonts w:ascii="Open Sans" w:hAnsi="Open Sans" w:cs="Open Sans"/>
          <w:lang w:val="en-GB"/>
        </w:rPr>
        <w:t>The initiative is designed as a low-cost, scalable pilot, with an estimated budget of up to €5,000 per mentoring cycle. Costs cover a basic digital platform or website, online communication and mentoring tools, visibility materials, and mentor recognition (e.g. certificates). The programme relies primarily on in-kind contributions, including voluntary mentor engagement, existing EUSAIR Youth Council resources, and online delivery formats, ensuring sustainability and potential for future expansion.</w:t>
      </w:r>
    </w:p>
    <w:p w14:paraId="46EEDF1C" w14:textId="54F1FFCD" w:rsidR="00C43C79" w:rsidRPr="002E3B2A" w:rsidRDefault="00C43C79" w:rsidP="00C43C79">
      <w:pPr>
        <w:pStyle w:val="Heading2"/>
        <w:rPr>
          <w:rFonts w:ascii="Open Sans" w:hAnsi="Open Sans" w:cs="Open Sans"/>
          <w:lang w:val="en-GB"/>
        </w:rPr>
      </w:pPr>
      <w:bookmarkStart w:id="24" w:name="_Toc221287155"/>
      <w:r w:rsidRPr="002E3B2A">
        <w:rPr>
          <w:rFonts w:ascii="Open Sans" w:hAnsi="Open Sans" w:cs="Open Sans"/>
          <w:lang w:val="en-GB"/>
        </w:rPr>
        <w:t>Reclaiming the Right to the City: Youth-Led Housing Justice in the Adriatic–Ionian Region</w:t>
      </w:r>
      <w:bookmarkEnd w:id="24"/>
    </w:p>
    <w:p w14:paraId="5BCA8224" w14:textId="77777777" w:rsidR="00C43C79" w:rsidRPr="002E3B2A" w:rsidRDefault="00C43C79" w:rsidP="00C43C79">
      <w:pPr>
        <w:jc w:val="both"/>
        <w:rPr>
          <w:rFonts w:ascii="Open Sans" w:hAnsi="Open Sans" w:cs="Open Sans"/>
          <w:lang w:val="en-GB"/>
        </w:rPr>
      </w:pPr>
      <w:r w:rsidRPr="002E3B2A">
        <w:rPr>
          <w:rFonts w:ascii="Open Sans" w:hAnsi="Open Sans" w:cs="Open Sans"/>
          <w:lang w:val="en-GB"/>
        </w:rPr>
        <w:t>This initiative is a youth-led social innovation pilot that addresses housing as a key structural condition for youth participation, inclusion, and employability in the Adriatic–Ionian macro-region. Framed within Pillar 5 (Social Cohesion), it empowers young people to engage directly in local and macro-regional dialogue on housing-related challenges, positioning them as active contributors to inclusive and sustainable urban development rather than passive policy beneficiaries.</w:t>
      </w:r>
    </w:p>
    <w:p w14:paraId="02EF8D01" w14:textId="3B8AD6DF" w:rsidR="00C43C79" w:rsidRPr="002E3B2A" w:rsidRDefault="00C43C79" w:rsidP="00C43C79">
      <w:pPr>
        <w:jc w:val="both"/>
        <w:rPr>
          <w:rFonts w:ascii="Open Sans" w:hAnsi="Open Sans" w:cs="Open Sans"/>
          <w:lang w:val="en-GB"/>
        </w:rPr>
      </w:pPr>
      <w:r w:rsidRPr="002E3B2A">
        <w:rPr>
          <w:rFonts w:ascii="Open Sans" w:hAnsi="Open Sans" w:cs="Open Sans"/>
          <w:lang w:val="en-GB"/>
        </w:rPr>
        <w:lastRenderedPageBreak/>
        <w:t xml:space="preserve">The pilot phase will involve young participants across </w:t>
      </w:r>
      <w:r w:rsidR="001F075F" w:rsidRPr="002E3B2A">
        <w:rPr>
          <w:rFonts w:ascii="Open Sans" w:hAnsi="Open Sans" w:cs="Open Sans"/>
          <w:lang w:val="en-GB"/>
        </w:rPr>
        <w:t>2</w:t>
      </w:r>
      <w:r w:rsidRPr="002E3B2A">
        <w:rPr>
          <w:rFonts w:ascii="Open Sans" w:hAnsi="Open Sans" w:cs="Open Sans"/>
          <w:lang w:val="en-GB"/>
        </w:rPr>
        <w:t xml:space="preserve"> selected cities (one in an EU EUSAIR country and one in a Western Balkans partner country), supported by a working group of 5 EUSAIR Youth Council members. Key institutions and partners include municipal authorities, youth and civil society organisations, and universities or research institutions, which will contribute venues, expertise, and policy dialogue without implementing binding housing measures.</w:t>
      </w:r>
    </w:p>
    <w:p w14:paraId="3B00FE62" w14:textId="52EA4A16" w:rsidR="00C43C79" w:rsidRPr="002E3B2A" w:rsidRDefault="00C43C79" w:rsidP="00C43C79">
      <w:pPr>
        <w:jc w:val="both"/>
        <w:rPr>
          <w:rFonts w:ascii="Open Sans" w:hAnsi="Open Sans" w:cs="Open Sans"/>
          <w:lang w:val="en-GB"/>
        </w:rPr>
      </w:pPr>
      <w:r w:rsidRPr="002E3B2A">
        <w:rPr>
          <w:rFonts w:ascii="Open Sans" w:hAnsi="Open Sans" w:cs="Open Sans"/>
          <w:lang w:val="en-GB"/>
        </w:rPr>
        <w:t>The indicative budget for the pilot phase is €10,000</w:t>
      </w:r>
      <w:r w:rsidR="00410E68" w:rsidRPr="002E3B2A">
        <w:rPr>
          <w:rFonts w:ascii="Open Sans" w:hAnsi="Open Sans" w:cs="Open Sans"/>
          <w:lang w:val="en-GB"/>
        </w:rPr>
        <w:t xml:space="preserve"> - </w:t>
      </w:r>
      <w:r w:rsidRPr="002E3B2A">
        <w:rPr>
          <w:rFonts w:ascii="Open Sans" w:hAnsi="Open Sans" w:cs="Open Sans"/>
          <w:lang w:val="en-GB"/>
        </w:rPr>
        <w:t>15,000, covering youth workshops, participatory mapping activities, coordination, limited travel, and communication. Additional in-kind support is expected through municipal-provided venues, digital mapping tools, and expert contributions. Subject to evaluation, the initiative may be scaled to additional cities through external funding instruments such as Erasmus+ Youth Participation or Interreg IPA ADRION, strengthening youth-generated evidence and recommendations at macro-regional level.</w:t>
      </w:r>
    </w:p>
    <w:p w14:paraId="3AC39BA6" w14:textId="77777777" w:rsidR="00C43C79" w:rsidRPr="002E3B2A" w:rsidRDefault="00C43C79" w:rsidP="00C43C79">
      <w:pPr>
        <w:rPr>
          <w:rFonts w:ascii="Open Sans" w:hAnsi="Open Sans" w:cs="Open Sans"/>
          <w:lang w:val="en-GB"/>
        </w:rPr>
      </w:pPr>
    </w:p>
    <w:p w14:paraId="7CEB3BBA" w14:textId="77777777" w:rsidR="00C43C79" w:rsidRPr="002E3B2A" w:rsidRDefault="00C43C79" w:rsidP="00C43C79">
      <w:pPr>
        <w:pStyle w:val="Heading2"/>
        <w:rPr>
          <w:rFonts w:ascii="Open Sans" w:hAnsi="Open Sans" w:cs="Open Sans"/>
          <w:lang w:val="en-GB"/>
        </w:rPr>
      </w:pPr>
      <w:bookmarkStart w:id="25" w:name="_Toc221287156"/>
      <w:r w:rsidRPr="002E3B2A">
        <w:rPr>
          <w:rFonts w:ascii="Open Sans" w:hAnsi="Open Sans" w:cs="Open Sans"/>
          <w:lang w:val="en-GB"/>
        </w:rPr>
        <w:t>EYC Position Paper on Meaningful Participation</w:t>
      </w:r>
      <w:bookmarkEnd w:id="25"/>
    </w:p>
    <w:p w14:paraId="4FE7161A" w14:textId="3C15F3E6" w:rsidR="00C43C79" w:rsidRPr="002E3B2A" w:rsidRDefault="00C43C79" w:rsidP="00076E3A">
      <w:pPr>
        <w:jc w:val="both"/>
        <w:rPr>
          <w:rFonts w:ascii="Open Sans" w:hAnsi="Open Sans" w:cs="Open Sans"/>
          <w:lang w:val="en-GB"/>
        </w:rPr>
      </w:pPr>
      <w:r w:rsidRPr="002E3B2A">
        <w:rPr>
          <w:rFonts w:ascii="Open Sans" w:hAnsi="Open Sans" w:cs="Open Sans"/>
          <w:lang w:val="en-GB"/>
        </w:rPr>
        <w:t>This initiative aims to develop and formally present the first Position Paper of the EUSAIR Youth Council (EYC), addressing democratic disengagement among young people and proposing a structured, non-tokenistic model for meaningful youth participation in EUSAIR governance. Aligned with the EU Youth Strategy 2019</w:t>
      </w:r>
      <w:r w:rsidR="001F075F" w:rsidRPr="002E3B2A">
        <w:rPr>
          <w:rFonts w:ascii="Open Sans" w:hAnsi="Open Sans" w:cs="Open Sans"/>
          <w:lang w:val="en-GB"/>
        </w:rPr>
        <w:t xml:space="preserve"> – </w:t>
      </w:r>
      <w:r w:rsidRPr="002E3B2A">
        <w:rPr>
          <w:rFonts w:ascii="Open Sans" w:hAnsi="Open Sans" w:cs="Open Sans"/>
          <w:lang w:val="en-GB"/>
        </w:rPr>
        <w:t>2027</w:t>
      </w:r>
      <w:r w:rsidR="001F075F" w:rsidRPr="002E3B2A">
        <w:rPr>
          <w:rFonts w:ascii="Open Sans" w:hAnsi="Open Sans" w:cs="Open Sans"/>
          <w:lang w:val="en-GB"/>
        </w:rPr>
        <w:t xml:space="preserve"> </w:t>
      </w:r>
      <w:r w:rsidRPr="002E3B2A">
        <w:rPr>
          <w:rFonts w:ascii="Open Sans" w:hAnsi="Open Sans" w:cs="Open Sans"/>
          <w:lang w:val="en-GB"/>
        </w:rPr>
        <w:t>and Council of Europe youth participation frameworks, the Position Paper will articulate shared principles, standards, and concrete mechanisms to strengthen the role of youth in macro-regional decision-making.</w:t>
      </w:r>
    </w:p>
    <w:p w14:paraId="6F47C021" w14:textId="02313C16" w:rsidR="00C43C79" w:rsidRPr="002E3B2A" w:rsidRDefault="00C43C79" w:rsidP="00076E3A">
      <w:pPr>
        <w:jc w:val="both"/>
        <w:rPr>
          <w:rFonts w:ascii="Open Sans" w:hAnsi="Open Sans" w:cs="Open Sans"/>
          <w:lang w:val="en-GB"/>
        </w:rPr>
      </w:pPr>
      <w:r w:rsidRPr="002E3B2A">
        <w:rPr>
          <w:rFonts w:ascii="Open Sans" w:hAnsi="Open Sans" w:cs="Open Sans"/>
          <w:lang w:val="en-GB"/>
        </w:rPr>
        <w:t>The initiative will directly involve all EUSAIR Youth Council members through structured consultations, with a core drafting and coordination working group of 4</w:t>
      </w:r>
      <w:r w:rsidR="00D746FD" w:rsidRPr="002E3B2A">
        <w:rPr>
          <w:rFonts w:ascii="Open Sans" w:hAnsi="Open Sans" w:cs="Open Sans"/>
          <w:lang w:val="en-GB"/>
        </w:rPr>
        <w:t xml:space="preserve"> – </w:t>
      </w:r>
      <w:r w:rsidRPr="002E3B2A">
        <w:rPr>
          <w:rFonts w:ascii="Open Sans" w:hAnsi="Open Sans" w:cs="Open Sans"/>
          <w:lang w:val="en-GB"/>
        </w:rPr>
        <w:t>6 EYC members. While primarily youth-led, the initiative will engage EUSAIR governance bodies, including Thematic Steering Groups (TSGs), the Governing Board, and representatives of Member States, particularly at the stage of presentation and policy dialogue. The Position Paper will be formally presented at the EUSAIR Annual Forum 2026, ensuring institutional visibility and uptake.</w:t>
      </w:r>
    </w:p>
    <w:p w14:paraId="2EA2A647" w14:textId="550DC1F3" w:rsidR="00C43C79" w:rsidRPr="002E3B2A" w:rsidRDefault="00C43C79" w:rsidP="00076E3A">
      <w:pPr>
        <w:jc w:val="both"/>
        <w:rPr>
          <w:rFonts w:ascii="Open Sans" w:hAnsi="Open Sans" w:cs="Open Sans"/>
          <w:lang w:val="en-GB"/>
        </w:rPr>
      </w:pPr>
      <w:r w:rsidRPr="002E3B2A">
        <w:rPr>
          <w:rFonts w:ascii="Open Sans" w:hAnsi="Open Sans" w:cs="Open Sans"/>
          <w:lang w:val="en-GB"/>
        </w:rPr>
        <w:t xml:space="preserve">The initiative is designed as a low-cost, in-kind–driven activity. No major operational budget is required for drafting and coordination. </w:t>
      </w:r>
    </w:p>
    <w:p w14:paraId="4E6C32F4" w14:textId="77777777" w:rsidR="00C43C79" w:rsidRPr="002E3B2A" w:rsidRDefault="00C43C79" w:rsidP="00C43C79">
      <w:pPr>
        <w:rPr>
          <w:rFonts w:ascii="Open Sans" w:hAnsi="Open Sans" w:cs="Open Sans"/>
          <w:lang w:val="en-GB"/>
        </w:rPr>
      </w:pPr>
    </w:p>
    <w:p w14:paraId="490498D7" w14:textId="77777777" w:rsidR="00C43C79" w:rsidRPr="002E3B2A" w:rsidRDefault="00C43C79" w:rsidP="00C43C79">
      <w:pPr>
        <w:pStyle w:val="Heading2"/>
        <w:rPr>
          <w:rFonts w:ascii="Open Sans" w:hAnsi="Open Sans" w:cs="Open Sans"/>
          <w:lang w:val="en-GB"/>
        </w:rPr>
      </w:pPr>
      <w:bookmarkStart w:id="26" w:name="_Toc221287157"/>
      <w:r w:rsidRPr="002E3B2A">
        <w:rPr>
          <w:rFonts w:ascii="Open Sans" w:hAnsi="Open Sans" w:cs="Open Sans"/>
          <w:lang w:val="en-GB"/>
        </w:rPr>
        <w:t>EUSAIR Thematic Briefings: A Structured Framework for Process-Relevant Youth Input</w:t>
      </w:r>
      <w:bookmarkEnd w:id="26"/>
    </w:p>
    <w:p w14:paraId="1CD69519" w14:textId="77777777" w:rsidR="00CD54ED" w:rsidRPr="002E3B2A" w:rsidRDefault="00CD54ED" w:rsidP="00CD54ED">
      <w:pPr>
        <w:jc w:val="both"/>
        <w:rPr>
          <w:rFonts w:ascii="Open Sans" w:hAnsi="Open Sans" w:cs="Open Sans"/>
          <w:lang w:val="en-GB"/>
        </w:rPr>
      </w:pPr>
      <w:r w:rsidRPr="002E3B2A">
        <w:rPr>
          <w:rFonts w:ascii="Open Sans" w:hAnsi="Open Sans" w:cs="Open Sans"/>
          <w:lang w:val="en-GB"/>
        </w:rPr>
        <w:t>This initiative introduces a structured yet light framework for thematic dialogues across all five EUSAIR pillars, aimed at strengthening informed, coherent, and meaningful youth participation in macro-regional governance. It formalises existing informal exchanges between EUSAIR Youth Council (EYC) members and EUSAIR policy actors, ensuring that youth contributions to Thematic Steering Groups (TSGs) are timely, relevant, and well aligned with ongoing EUSAIR processes—without creating new mandates or bureaucratic structures.</w:t>
      </w:r>
    </w:p>
    <w:p w14:paraId="6F228F0F" w14:textId="5B508459" w:rsidR="00CD54ED" w:rsidRPr="002E3B2A" w:rsidRDefault="00CD54ED" w:rsidP="00CD54ED">
      <w:pPr>
        <w:jc w:val="both"/>
        <w:rPr>
          <w:rFonts w:ascii="Open Sans" w:hAnsi="Open Sans" w:cs="Open Sans"/>
          <w:lang w:val="en-GB"/>
        </w:rPr>
      </w:pPr>
      <w:r w:rsidRPr="002E3B2A">
        <w:rPr>
          <w:rFonts w:ascii="Open Sans" w:hAnsi="Open Sans" w:cs="Open Sans"/>
          <w:lang w:val="en-GB"/>
        </w:rPr>
        <w:t>The initiative involves all EYC members active in the five TSGs (approximately 10–15 young representatives), coordinated by a working group of 6 EYC TSG Group Leaders and one Facility Point contact person. Key institutions engaged include the EUSAIR Facility Point, Pillar Coordinators, TSG representatives, and relevant EUSAIR experts, who contribute their time and expertise on a voluntary, demand-driven basis. Each thematic dialogue takes the form of a 60 – 90 minute online briefing, followed by short written summaries prepared by youth participants to support institutional memory and continuity.</w:t>
      </w:r>
    </w:p>
    <w:p w14:paraId="1BD72E62" w14:textId="77777777" w:rsidR="00CD54ED" w:rsidRPr="002E3B2A" w:rsidRDefault="00CD54ED" w:rsidP="00CD54ED">
      <w:pPr>
        <w:jc w:val="both"/>
        <w:rPr>
          <w:rFonts w:ascii="Open Sans" w:hAnsi="Open Sans" w:cs="Open Sans"/>
          <w:lang w:val="en-GB"/>
        </w:rPr>
      </w:pPr>
      <w:r w:rsidRPr="002E3B2A">
        <w:rPr>
          <w:rFonts w:ascii="Open Sans" w:hAnsi="Open Sans" w:cs="Open Sans"/>
          <w:lang w:val="en-GB"/>
        </w:rPr>
        <w:t>The initiative operates with no additional monetary budget. All activities rely on existing EUSAIR structures, online meeting tools, and in-kind contributions from EYC members, Pillar Coordinators, TSG experts, and the Facility Point. This zero-cost, scalable approach enhances the quality, credibility, and impact of youth input in EUSAIR decision-making while supporting fair participation, continuity across mandates, and stronger trust between young people and EUSAIR governance structures.</w:t>
      </w:r>
    </w:p>
    <w:p w14:paraId="1644067C" w14:textId="77777777" w:rsidR="00C43C79" w:rsidRPr="002E3B2A" w:rsidRDefault="00C43C79" w:rsidP="00C43C79">
      <w:pPr>
        <w:rPr>
          <w:rFonts w:ascii="Open Sans" w:hAnsi="Open Sans" w:cs="Open Sans"/>
          <w:lang w:val="en-GB"/>
        </w:rPr>
      </w:pPr>
    </w:p>
    <w:p w14:paraId="32C3CC21" w14:textId="3C48BF89" w:rsidR="00206EA8" w:rsidRPr="002E3B2A" w:rsidRDefault="00206EA8">
      <w:pPr>
        <w:rPr>
          <w:rFonts w:ascii="Open Sans" w:eastAsiaTheme="majorEastAsia" w:hAnsi="Open Sans" w:cs="Open Sans"/>
          <w:b/>
          <w:color w:val="262626" w:themeColor="text1" w:themeTint="D9"/>
          <w:sz w:val="24"/>
          <w:szCs w:val="32"/>
          <w:lang w:val="en-GB"/>
        </w:rPr>
      </w:pPr>
      <w:r w:rsidRPr="002E3B2A">
        <w:rPr>
          <w:rFonts w:ascii="Open Sans" w:hAnsi="Open Sans" w:cs="Open Sans"/>
          <w:lang w:val="en-GB"/>
        </w:rPr>
        <w:br w:type="page"/>
      </w:r>
    </w:p>
    <w:p w14:paraId="4524959C" w14:textId="36B0B3EC" w:rsidR="00A751F2" w:rsidRPr="002E3B2A" w:rsidRDefault="00A71FA0" w:rsidP="003176D1">
      <w:pPr>
        <w:pStyle w:val="Heading1"/>
        <w:rPr>
          <w:rFonts w:cs="Open Sans"/>
          <w:lang w:val="en-GB"/>
        </w:rPr>
      </w:pPr>
      <w:bookmarkStart w:id="27" w:name="_Toc221287158"/>
      <w:r w:rsidRPr="002E3B2A">
        <w:rPr>
          <w:rFonts w:cs="Open Sans"/>
          <w:lang w:val="en-GB"/>
        </w:rPr>
        <w:t>Annex</w:t>
      </w:r>
      <w:r w:rsidR="00397037" w:rsidRPr="002E3B2A">
        <w:rPr>
          <w:rFonts w:cs="Open Sans"/>
          <w:lang w:val="en-GB"/>
        </w:rPr>
        <w:t xml:space="preserve"> 1</w:t>
      </w:r>
      <w:r w:rsidRPr="002E3B2A">
        <w:rPr>
          <w:rFonts w:cs="Open Sans"/>
          <w:lang w:val="en-GB"/>
        </w:rPr>
        <w:t>: Initiatives in detail</w:t>
      </w:r>
      <w:bookmarkEnd w:id="27"/>
    </w:p>
    <w:p w14:paraId="718251AB" w14:textId="77777777" w:rsidR="00440148" w:rsidRPr="002E3B2A" w:rsidRDefault="00440148" w:rsidP="003176D1">
      <w:pPr>
        <w:pStyle w:val="Heading2"/>
        <w:rPr>
          <w:rFonts w:ascii="Open Sans" w:hAnsi="Open Sans" w:cs="Open Sans"/>
          <w:lang w:val="en-GB"/>
        </w:rPr>
      </w:pPr>
      <w:bookmarkStart w:id="28" w:name="_Toc220660662"/>
      <w:bookmarkStart w:id="29" w:name="_Toc221098331"/>
      <w:bookmarkStart w:id="30" w:name="_Toc221100063"/>
      <w:bookmarkStart w:id="31" w:name="_Hlk221188225"/>
      <w:bookmarkStart w:id="32" w:name="_Toc221287159"/>
      <w:r w:rsidRPr="002E3B2A">
        <w:rPr>
          <w:rFonts w:ascii="Open Sans" w:hAnsi="Open Sans" w:cs="Open Sans"/>
          <w:lang w:val="en-GB"/>
        </w:rPr>
        <w:t>Hackathon</w:t>
      </w:r>
      <w:bookmarkEnd w:id="28"/>
      <w:bookmarkEnd w:id="29"/>
      <w:bookmarkEnd w:id="30"/>
      <w:bookmarkEnd w:id="32"/>
    </w:p>
    <w:p w14:paraId="0986926E" w14:textId="77777777" w:rsidR="00440148" w:rsidRPr="002E3B2A" w:rsidRDefault="00440148" w:rsidP="00855F11">
      <w:pPr>
        <w:numPr>
          <w:ilvl w:val="0"/>
          <w:numId w:val="1"/>
        </w:numPr>
        <w:jc w:val="both"/>
        <w:rPr>
          <w:rFonts w:ascii="Open Sans" w:hAnsi="Open Sans" w:cs="Open Sans"/>
          <w:u w:val="single"/>
          <w:lang w:val="en-GB"/>
        </w:rPr>
      </w:pPr>
      <w:r w:rsidRPr="002E3B2A">
        <w:rPr>
          <w:rFonts w:ascii="Open Sans" w:hAnsi="Open Sans" w:cs="Open Sans"/>
          <w:u w:val="single"/>
          <w:lang w:val="en-GB"/>
        </w:rPr>
        <w:t>Main theme/Topic</w:t>
      </w:r>
    </w:p>
    <w:p w14:paraId="0AAC36D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Sustainable Multi-modal Connectivity and Smart Logistics in the Adriatic-Ionian Macro-Region. This initiative focuses on EUSAIR Pillar 2 (Connecting the Region), specifically addressing digital logistics and the "last-mile" challenge within the context of the Republic of San Marino and its surrounding transport corridors.</w:t>
      </w:r>
    </w:p>
    <w:p w14:paraId="0BBFB3E4" w14:textId="77777777" w:rsidR="00440148" w:rsidRPr="002E3B2A" w:rsidRDefault="00440148" w:rsidP="00855F11">
      <w:pPr>
        <w:numPr>
          <w:ilvl w:val="0"/>
          <w:numId w:val="1"/>
        </w:numPr>
        <w:jc w:val="both"/>
        <w:rPr>
          <w:rFonts w:ascii="Open Sans" w:hAnsi="Open Sans" w:cs="Open Sans"/>
          <w:u w:val="single"/>
          <w:lang w:val="en-GB"/>
        </w:rPr>
      </w:pPr>
      <w:r w:rsidRPr="002E3B2A">
        <w:rPr>
          <w:rFonts w:ascii="Open Sans" w:hAnsi="Open Sans" w:cs="Open Sans"/>
          <w:u w:val="single"/>
          <w:lang w:val="en-GB"/>
        </w:rPr>
        <w:t>Goals and objectives</w:t>
      </w:r>
    </w:p>
    <w:p w14:paraId="5464DBA3"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overall goal is to foster innovation in regional transport by engaging University students in solving real-world logistical challenges.</w:t>
      </w:r>
    </w:p>
    <w:p w14:paraId="3C4AE3B1" w14:textId="77777777" w:rsidR="00440148" w:rsidRPr="002E3B2A" w:rsidRDefault="00440148" w:rsidP="00855F11">
      <w:pPr>
        <w:numPr>
          <w:ilvl w:val="0"/>
          <w:numId w:val="2"/>
        </w:numPr>
        <w:jc w:val="both"/>
        <w:rPr>
          <w:rFonts w:ascii="Open Sans" w:hAnsi="Open Sans" w:cs="Open Sans"/>
          <w:lang w:val="en-GB"/>
        </w:rPr>
      </w:pPr>
      <w:r w:rsidRPr="002E3B2A">
        <w:rPr>
          <w:rFonts w:ascii="Open Sans" w:hAnsi="Open Sans" w:cs="Open Sans"/>
          <w:lang w:val="en-GB"/>
        </w:rPr>
        <w:t>Technical Innovation: Develop prototype solutions using "Serious Games" provided by the Italian Association of Transport.</w:t>
      </w:r>
    </w:p>
    <w:p w14:paraId="200DD139" w14:textId="77777777" w:rsidR="00440148" w:rsidRPr="002E3B2A" w:rsidRDefault="00440148" w:rsidP="00855F11">
      <w:pPr>
        <w:numPr>
          <w:ilvl w:val="0"/>
          <w:numId w:val="2"/>
        </w:numPr>
        <w:jc w:val="both"/>
        <w:rPr>
          <w:rFonts w:ascii="Open Sans" w:hAnsi="Open Sans" w:cs="Open Sans"/>
          <w:lang w:val="en-GB"/>
        </w:rPr>
      </w:pPr>
      <w:r w:rsidRPr="002E3B2A">
        <w:rPr>
          <w:rFonts w:ascii="Open Sans" w:hAnsi="Open Sans" w:cs="Open Sans"/>
          <w:lang w:val="en-GB"/>
        </w:rPr>
        <w:t>Policy Alignment: Leverage the full approval and ongoing knowledge-sharing of Pierluigi Coppola (TSG2 Leader) to ensure regional impact.</w:t>
      </w:r>
    </w:p>
    <w:p w14:paraId="4D203BF7" w14:textId="3D925122" w:rsidR="00440148" w:rsidRPr="002E3B2A" w:rsidRDefault="00440148" w:rsidP="00855F11">
      <w:pPr>
        <w:numPr>
          <w:ilvl w:val="0"/>
          <w:numId w:val="2"/>
        </w:numPr>
        <w:jc w:val="both"/>
        <w:rPr>
          <w:rFonts w:ascii="Open Sans" w:hAnsi="Open Sans" w:cs="Open Sans"/>
          <w:lang w:val="en-GB"/>
        </w:rPr>
      </w:pPr>
      <w:r w:rsidRPr="002E3B2A">
        <w:rPr>
          <w:rFonts w:ascii="Open Sans" w:hAnsi="Open Sans" w:cs="Open Sans"/>
          <w:lang w:val="en-GB"/>
        </w:rPr>
        <w:t xml:space="preserve">Academic Networking: Strengthen links between </w:t>
      </w:r>
      <w:r w:rsidR="00711835" w:rsidRPr="002E3B2A">
        <w:rPr>
          <w:rFonts w:ascii="Open Sans" w:hAnsi="Open Sans" w:cs="Open Sans"/>
          <w:lang w:val="en-GB"/>
        </w:rPr>
        <w:t>universities</w:t>
      </w:r>
      <w:r w:rsidRPr="002E3B2A">
        <w:rPr>
          <w:rFonts w:ascii="Open Sans" w:hAnsi="Open Sans" w:cs="Open Sans"/>
          <w:lang w:val="en-GB"/>
        </w:rPr>
        <w:t xml:space="preserve"> across the 10 EUSAIR countries.</w:t>
      </w:r>
    </w:p>
    <w:p w14:paraId="68A95EC6" w14:textId="77777777" w:rsidR="00440148" w:rsidRPr="002E3B2A" w:rsidRDefault="00440148" w:rsidP="00855F11">
      <w:pPr>
        <w:numPr>
          <w:ilvl w:val="0"/>
          <w:numId w:val="2"/>
        </w:numPr>
        <w:jc w:val="both"/>
        <w:rPr>
          <w:rFonts w:ascii="Open Sans" w:hAnsi="Open Sans" w:cs="Open Sans"/>
          <w:lang w:val="en-GB"/>
        </w:rPr>
      </w:pPr>
      <w:r w:rsidRPr="002E3B2A">
        <w:rPr>
          <w:rFonts w:ascii="Open Sans" w:hAnsi="Open Sans" w:cs="Open Sans"/>
          <w:lang w:val="en-GB"/>
        </w:rPr>
        <w:t>Cultural Awareness: Highlight San Marino’s history and culture in light of its EU Association Agreement.</w:t>
      </w:r>
    </w:p>
    <w:p w14:paraId="44A5CF49" w14:textId="77777777" w:rsidR="00440148" w:rsidRPr="002E3B2A" w:rsidRDefault="00440148" w:rsidP="00855F11">
      <w:pPr>
        <w:numPr>
          <w:ilvl w:val="0"/>
          <w:numId w:val="1"/>
        </w:numPr>
        <w:jc w:val="both"/>
        <w:rPr>
          <w:rFonts w:ascii="Open Sans" w:hAnsi="Open Sans" w:cs="Open Sans"/>
          <w:u w:val="single"/>
          <w:lang w:val="en-GB"/>
        </w:rPr>
      </w:pPr>
      <w:r w:rsidRPr="002E3B2A">
        <w:rPr>
          <w:rFonts w:ascii="Open Sans" w:hAnsi="Open Sans" w:cs="Open Sans"/>
          <w:u w:val="single"/>
          <w:lang w:val="en-GB"/>
        </w:rPr>
        <w:t>Why does this matter for Youth in the EUSAIR region?</w:t>
      </w:r>
    </w:p>
    <w:p w14:paraId="280DF8F1" w14:textId="65FD3A70"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This initiative embodies the bottom-up approach essential to the EUSAIR mission. By sensibilising University students to propose solutions for regional bottlenecks, we can spread </w:t>
      </w:r>
      <w:r w:rsidR="00F726AB" w:rsidRPr="002E3B2A">
        <w:rPr>
          <w:rFonts w:ascii="Open Sans" w:hAnsi="Open Sans" w:cs="Open Sans"/>
          <w:lang w:val="en-GB"/>
        </w:rPr>
        <w:t>the understanding</w:t>
      </w:r>
      <w:r w:rsidRPr="002E3B2A">
        <w:rPr>
          <w:rFonts w:ascii="Open Sans" w:hAnsi="Open Sans" w:cs="Open Sans"/>
          <w:lang w:val="en-GB"/>
        </w:rPr>
        <w:t xml:space="preserve"> of transport issues between </w:t>
      </w:r>
      <w:r w:rsidR="00D92184" w:rsidRPr="002E3B2A">
        <w:rPr>
          <w:rFonts w:ascii="Open Sans" w:hAnsi="Open Sans" w:cs="Open Sans"/>
          <w:lang w:val="en-GB"/>
        </w:rPr>
        <w:t>microregion</w:t>
      </w:r>
      <w:r w:rsidRPr="002E3B2A">
        <w:rPr>
          <w:rFonts w:ascii="Open Sans" w:hAnsi="Open Sans" w:cs="Open Sans"/>
          <w:lang w:val="en-GB"/>
        </w:rPr>
        <w:t xml:space="preserve"> countries to those who will inherit it. Additionally, this initiative provides a platform for students to transition from theoretical study to practical application, addressing regional transport challenges. It connects talented youth directly with high-level industry leaders and </w:t>
      </w:r>
      <w:r w:rsidR="00711835" w:rsidRPr="002E3B2A">
        <w:rPr>
          <w:rFonts w:ascii="Open Sans" w:hAnsi="Open Sans" w:cs="Open Sans"/>
          <w:lang w:val="en-GB"/>
        </w:rPr>
        <w:t>policymakers</w:t>
      </w:r>
      <w:r w:rsidRPr="002E3B2A">
        <w:rPr>
          <w:rFonts w:ascii="Open Sans" w:hAnsi="Open Sans" w:cs="Open Sans"/>
          <w:lang w:val="en-GB"/>
        </w:rPr>
        <w:t>.</w:t>
      </w:r>
    </w:p>
    <w:p w14:paraId="3B13EBB9" w14:textId="77777777" w:rsidR="00440148" w:rsidRPr="002E3B2A" w:rsidRDefault="00440148" w:rsidP="00855F11">
      <w:pPr>
        <w:numPr>
          <w:ilvl w:val="0"/>
          <w:numId w:val="1"/>
        </w:numPr>
        <w:jc w:val="both"/>
        <w:rPr>
          <w:rFonts w:ascii="Open Sans" w:hAnsi="Open Sans" w:cs="Open Sans"/>
          <w:u w:val="single"/>
          <w:lang w:val="en-GB"/>
        </w:rPr>
      </w:pPr>
      <w:r w:rsidRPr="002E3B2A">
        <w:rPr>
          <w:rFonts w:ascii="Open Sans" w:hAnsi="Open Sans" w:cs="Open Sans"/>
          <w:u w:val="single"/>
          <w:lang w:val="en-GB"/>
        </w:rPr>
        <w:t>Description of the initiative</w:t>
      </w:r>
    </w:p>
    <w:p w14:paraId="0646FE90"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initiative is a 24/48-hours (depending by the game chosen) intensive Hackathon held in the historic city centre of San Marino.</w:t>
      </w:r>
    </w:p>
    <w:p w14:paraId="6CA0926E" w14:textId="77777777" w:rsidR="00440148" w:rsidRPr="002E3B2A" w:rsidRDefault="00440148" w:rsidP="00855F11">
      <w:pPr>
        <w:numPr>
          <w:ilvl w:val="0"/>
          <w:numId w:val="3"/>
        </w:numPr>
        <w:jc w:val="both"/>
        <w:rPr>
          <w:rFonts w:ascii="Open Sans" w:hAnsi="Open Sans" w:cs="Open Sans"/>
          <w:lang w:val="en-GB"/>
        </w:rPr>
      </w:pPr>
      <w:r w:rsidRPr="002E3B2A">
        <w:rPr>
          <w:rFonts w:ascii="Open Sans" w:hAnsi="Open Sans" w:cs="Open Sans"/>
          <w:lang w:val="en-GB"/>
        </w:rPr>
        <w:t>Teams of students from across the macro-region will compete to solve transport "use cases" using a "Serious Games" framework.</w:t>
      </w:r>
    </w:p>
    <w:p w14:paraId="671E8809" w14:textId="77777777" w:rsidR="00440148" w:rsidRPr="002E3B2A" w:rsidRDefault="00440148" w:rsidP="00855F11">
      <w:pPr>
        <w:numPr>
          <w:ilvl w:val="0"/>
          <w:numId w:val="3"/>
        </w:numPr>
        <w:jc w:val="both"/>
        <w:rPr>
          <w:rFonts w:ascii="Open Sans" w:hAnsi="Open Sans" w:cs="Open Sans"/>
          <w:lang w:val="en-GB"/>
        </w:rPr>
      </w:pPr>
      <w:r w:rsidRPr="002E3B2A">
        <w:rPr>
          <w:rFonts w:ascii="Open Sans" w:hAnsi="Open Sans" w:cs="Open Sans"/>
          <w:lang w:val="en-GB"/>
        </w:rPr>
        <w:t>The event acts as a "Living Lab," using San Marino's unique topography to model smart city logistics.</w:t>
      </w:r>
    </w:p>
    <w:p w14:paraId="1955A7B3" w14:textId="77777777" w:rsidR="00440148" w:rsidRPr="002E3B2A" w:rsidRDefault="00440148" w:rsidP="00855F11">
      <w:pPr>
        <w:numPr>
          <w:ilvl w:val="0"/>
          <w:numId w:val="3"/>
        </w:numPr>
        <w:jc w:val="both"/>
        <w:rPr>
          <w:rFonts w:ascii="Open Sans" w:hAnsi="Open Sans" w:cs="Open Sans"/>
          <w:lang w:val="en-GB"/>
        </w:rPr>
      </w:pPr>
      <w:r w:rsidRPr="002E3B2A">
        <w:rPr>
          <w:rFonts w:ascii="Open Sans" w:hAnsi="Open Sans" w:cs="Open Sans"/>
          <w:lang w:val="en-GB"/>
        </w:rPr>
        <w:t>The project has secured the technical support and endorsement of the TSG2 Leader, Pierluigi Coppola, ensuring direct contact with industry expertise.</w:t>
      </w:r>
    </w:p>
    <w:p w14:paraId="544F80E6" w14:textId="77777777" w:rsidR="00035C7F" w:rsidRPr="002E3B2A" w:rsidRDefault="00035C7F" w:rsidP="00855F11">
      <w:pPr>
        <w:jc w:val="both"/>
        <w:rPr>
          <w:rFonts w:ascii="Open Sans" w:hAnsi="Open Sans" w:cs="Open Sans"/>
          <w:lang w:val="en-GB"/>
        </w:rPr>
      </w:pPr>
    </w:p>
    <w:p w14:paraId="060F3D1F" w14:textId="77777777" w:rsidR="00440148" w:rsidRPr="002E3B2A" w:rsidRDefault="00440148" w:rsidP="00855F11">
      <w:pPr>
        <w:numPr>
          <w:ilvl w:val="0"/>
          <w:numId w:val="1"/>
        </w:numPr>
        <w:jc w:val="both"/>
        <w:rPr>
          <w:rFonts w:ascii="Open Sans" w:hAnsi="Open Sans" w:cs="Open Sans"/>
          <w:u w:val="single"/>
          <w:lang w:val="en-GB"/>
        </w:rPr>
      </w:pPr>
      <w:r w:rsidRPr="002E3B2A">
        <w:rPr>
          <w:rFonts w:ascii="Open Sans" w:hAnsi="Open Sans" w:cs="Open Sans"/>
          <w:u w:val="single"/>
          <w:lang w:val="en-GB"/>
        </w:rPr>
        <w:t>Working group</w:t>
      </w:r>
    </w:p>
    <w:p w14:paraId="11A87F7E"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Capacity: At least one EUSAIR Youth Council member per country (10 people total).</w:t>
      </w:r>
    </w:p>
    <w:p w14:paraId="082FC537"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Roles: To coordinate the selection of students by the universities across the macro-region and manage the national calls for applications.</w:t>
      </w:r>
    </w:p>
    <w:p w14:paraId="2BAD8A8D"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Stakeholders: Planned cooperation with the University of San Marino (UNIRSM), the Italian Association of Transport, and EUSAIR TSG2. Specify:</w:t>
      </w:r>
    </w:p>
    <w:p w14:paraId="3BA90636"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Financing: An estimated requirement of €30,000 to cover travel, 3 nights' accommodation, and catering (approx. €100/person/day).</w:t>
      </w:r>
    </w:p>
    <w:p w14:paraId="5E6007ED"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Materials &amp; Expertise: "Serious Games" frameworks and technical mentoring provided by the Italian Association of Transport and TSG2.</w:t>
      </w:r>
    </w:p>
    <w:p w14:paraId="251D05C9"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Partnership: The University of San Marino (UNIRSM) will provide the venue free of charge and, in case it will be needed, some expertise and support for the organization.</w:t>
      </w:r>
    </w:p>
    <w:p w14:paraId="6573BF11" w14:textId="5563B6F0"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 xml:space="preserve">Estimated Total Financing: between €15,000 and €30,000, depending on the collaboration of countries facility points/EUSAIR fundings, and the collaboration agreements between EUSAIR and macroregional </w:t>
      </w:r>
      <w:r w:rsidR="00372E79" w:rsidRPr="002E3B2A">
        <w:rPr>
          <w:rFonts w:ascii="Open Sans" w:hAnsi="Open Sans" w:cs="Open Sans"/>
          <w:lang w:val="en-GB"/>
        </w:rPr>
        <w:t>universities</w:t>
      </w:r>
      <w:r w:rsidRPr="002E3B2A">
        <w:rPr>
          <w:rFonts w:ascii="Open Sans" w:hAnsi="Open Sans" w:cs="Open Sans"/>
          <w:lang w:val="en-GB"/>
        </w:rPr>
        <w:t>.</w:t>
      </w:r>
    </w:p>
    <w:p w14:paraId="2475E138" w14:textId="5BD34B71" w:rsidR="00440148" w:rsidRPr="002E3B2A" w:rsidRDefault="00440148" w:rsidP="00855F11">
      <w:pPr>
        <w:numPr>
          <w:ilvl w:val="1"/>
          <w:numId w:val="4"/>
        </w:numPr>
        <w:jc w:val="both"/>
        <w:rPr>
          <w:rFonts w:ascii="Open Sans" w:hAnsi="Open Sans" w:cs="Open Sans"/>
          <w:lang w:val="en-GB"/>
        </w:rPr>
      </w:pPr>
      <w:r w:rsidRPr="002E3B2A">
        <w:rPr>
          <w:rFonts w:ascii="Open Sans" w:hAnsi="Open Sans" w:cs="Open Sans"/>
          <w:lang w:val="en-GB"/>
        </w:rPr>
        <w:t xml:space="preserve">Travel Expenses: An estimated €300 per person is required to move 40 participants across 10 countries (considering </w:t>
      </w:r>
      <w:r w:rsidR="00372E79" w:rsidRPr="002E3B2A">
        <w:rPr>
          <w:rFonts w:ascii="Open Sans" w:hAnsi="Open Sans" w:cs="Open Sans"/>
          <w:lang w:val="en-GB"/>
        </w:rPr>
        <w:t>flights</w:t>
      </w:r>
      <w:r w:rsidRPr="002E3B2A">
        <w:rPr>
          <w:rFonts w:ascii="Open Sans" w:hAnsi="Open Sans" w:cs="Open Sans"/>
          <w:lang w:val="en-GB"/>
        </w:rPr>
        <w:t>/trains and busses).</w:t>
      </w:r>
    </w:p>
    <w:p w14:paraId="594DE65A" w14:textId="77777777" w:rsidR="00440148" w:rsidRPr="002E3B2A" w:rsidRDefault="00440148" w:rsidP="00855F11">
      <w:pPr>
        <w:numPr>
          <w:ilvl w:val="1"/>
          <w:numId w:val="4"/>
        </w:numPr>
        <w:jc w:val="both"/>
        <w:rPr>
          <w:rFonts w:ascii="Open Sans" w:hAnsi="Open Sans" w:cs="Open Sans"/>
          <w:lang w:val="en-GB"/>
        </w:rPr>
      </w:pPr>
      <w:r w:rsidRPr="002E3B2A">
        <w:rPr>
          <w:rFonts w:ascii="Open Sans" w:hAnsi="Open Sans" w:cs="Open Sans"/>
          <w:lang w:val="en-GB"/>
        </w:rPr>
        <w:t>Food and drink: approximately €100 per person per day.</w:t>
      </w:r>
    </w:p>
    <w:p w14:paraId="1C8AEFB3" w14:textId="2BF989A9" w:rsidR="00440148" w:rsidRPr="002E3B2A" w:rsidRDefault="00372E79" w:rsidP="00855F11">
      <w:pPr>
        <w:numPr>
          <w:ilvl w:val="1"/>
          <w:numId w:val="4"/>
        </w:numPr>
        <w:jc w:val="both"/>
        <w:rPr>
          <w:rFonts w:ascii="Open Sans" w:hAnsi="Open Sans" w:cs="Open Sans"/>
          <w:lang w:val="en-GB"/>
        </w:rPr>
      </w:pPr>
      <w:r w:rsidRPr="002E3B2A">
        <w:rPr>
          <w:rFonts w:ascii="Open Sans" w:hAnsi="Open Sans" w:cs="Open Sans"/>
          <w:lang w:val="en-GB"/>
        </w:rPr>
        <w:t>Accommodation</w:t>
      </w:r>
      <w:r w:rsidR="00440148" w:rsidRPr="002E3B2A">
        <w:rPr>
          <w:rFonts w:ascii="Open Sans" w:hAnsi="Open Sans" w:cs="Open Sans"/>
          <w:lang w:val="en-GB"/>
        </w:rPr>
        <w:t xml:space="preserve">: To be defined with the Sammarinese ministry of </w:t>
      </w:r>
      <w:r w:rsidR="00711835" w:rsidRPr="002E3B2A">
        <w:rPr>
          <w:rFonts w:ascii="Open Sans" w:hAnsi="Open Sans" w:cs="Open Sans"/>
          <w:lang w:val="en-GB"/>
        </w:rPr>
        <w:t>foreign</w:t>
      </w:r>
      <w:r w:rsidR="00440148" w:rsidRPr="002E3B2A">
        <w:rPr>
          <w:rFonts w:ascii="Open Sans" w:hAnsi="Open Sans" w:cs="Open Sans"/>
          <w:lang w:val="en-GB"/>
        </w:rPr>
        <w:t xml:space="preserve"> affairs (maybe we can gain a discount from the government).</w:t>
      </w:r>
    </w:p>
    <w:p w14:paraId="191A7A2D" w14:textId="77777777" w:rsidR="00440148" w:rsidRPr="002E3B2A" w:rsidRDefault="00440148" w:rsidP="00855F11">
      <w:pPr>
        <w:numPr>
          <w:ilvl w:val="1"/>
          <w:numId w:val="4"/>
        </w:numPr>
        <w:jc w:val="both"/>
        <w:rPr>
          <w:rFonts w:ascii="Open Sans" w:hAnsi="Open Sans" w:cs="Open Sans"/>
          <w:lang w:val="en-GB"/>
        </w:rPr>
      </w:pPr>
      <w:r w:rsidRPr="002E3B2A">
        <w:rPr>
          <w:rFonts w:ascii="Open Sans" w:hAnsi="Open Sans" w:cs="Open Sans"/>
          <w:lang w:val="en-GB"/>
        </w:rPr>
        <w:t>Other expenses: To be considered and evaluated</w:t>
      </w:r>
    </w:p>
    <w:p w14:paraId="27CDC327"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Budgetary Strategy: A critical priority is to evaluate these costs accurately with the EUSAIR Facility Point. The goal is to secure economic assurance such that travel and accommodation are funded through the macro-regional budget (Interreg IPA ADRION) to avoid depleting the specific Youth Council operational budget.</w:t>
      </w:r>
    </w:p>
    <w:p w14:paraId="1BC4687E" w14:textId="77777777" w:rsidR="00440148" w:rsidRPr="002E3B2A" w:rsidRDefault="00440148" w:rsidP="00855F11">
      <w:pPr>
        <w:numPr>
          <w:ilvl w:val="0"/>
          <w:numId w:val="4"/>
        </w:numPr>
        <w:jc w:val="both"/>
        <w:rPr>
          <w:rFonts w:ascii="Open Sans" w:hAnsi="Open Sans" w:cs="Open Sans"/>
          <w:lang w:val="en-GB"/>
        </w:rPr>
      </w:pPr>
      <w:r w:rsidRPr="002E3B2A">
        <w:rPr>
          <w:rFonts w:ascii="Open Sans" w:hAnsi="Open Sans" w:cs="Open Sans"/>
          <w:lang w:val="en-GB"/>
        </w:rPr>
        <w:t>In-kind Support: Venue provided by UNIRSM; technical mentors and simulation software provided by TSG2 and the Italian Association of Transport.</w:t>
      </w:r>
    </w:p>
    <w:p w14:paraId="58E95B86" w14:textId="77777777" w:rsidR="00440148" w:rsidRPr="002E3B2A" w:rsidRDefault="00440148" w:rsidP="00855F11">
      <w:pPr>
        <w:jc w:val="both"/>
        <w:rPr>
          <w:rFonts w:ascii="Open Sans" w:hAnsi="Open Sans" w:cs="Open Sans"/>
          <w:lang w:val="en-GB"/>
        </w:rPr>
      </w:pPr>
    </w:p>
    <w:p w14:paraId="0B6914E6" w14:textId="77777777" w:rsidR="00440148" w:rsidRPr="002E3B2A" w:rsidRDefault="00440148" w:rsidP="00855F11">
      <w:pPr>
        <w:numPr>
          <w:ilvl w:val="0"/>
          <w:numId w:val="1"/>
        </w:numPr>
        <w:jc w:val="both"/>
        <w:rPr>
          <w:rFonts w:ascii="Open Sans" w:hAnsi="Open Sans" w:cs="Open Sans"/>
          <w:u w:val="single"/>
          <w:lang w:val="en-GB"/>
        </w:rPr>
      </w:pPr>
      <w:r w:rsidRPr="002E3B2A">
        <w:rPr>
          <w:rFonts w:ascii="Open Sans" w:hAnsi="Open Sans" w:cs="Open Sans"/>
          <w:u w:val="single"/>
          <w:lang w:val="en-GB"/>
        </w:rPr>
        <w:t>Timeline</w:t>
      </w:r>
    </w:p>
    <w:tbl>
      <w:tblPr>
        <w:tblStyle w:val="TableGrid"/>
        <w:tblW w:w="0" w:type="auto"/>
        <w:jc w:val="center"/>
        <w:tblLook w:val="04A0" w:firstRow="1" w:lastRow="0" w:firstColumn="1" w:lastColumn="0" w:noHBand="0" w:noVBand="1"/>
      </w:tblPr>
      <w:tblGrid>
        <w:gridCol w:w="1271"/>
        <w:gridCol w:w="4394"/>
        <w:gridCol w:w="1569"/>
      </w:tblGrid>
      <w:tr w:rsidR="00440148" w:rsidRPr="002E3B2A" w14:paraId="2E324668" w14:textId="77777777" w:rsidTr="0044014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95380A3"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37AD92F"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Activity</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AEAD676"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Responsible</w:t>
            </w:r>
          </w:p>
        </w:tc>
      </w:tr>
      <w:tr w:rsidR="00440148" w:rsidRPr="002E3B2A" w14:paraId="206F7DFE" w14:textId="77777777" w:rsidTr="0044014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9C3DFF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Jan 2026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730A6D"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Consultation on "Serious Games" with Transport Association and official confirmation from UNIRSM University Board</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A63C453"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F. Moroni</w:t>
            </w:r>
          </w:p>
        </w:tc>
      </w:tr>
      <w:tr w:rsidR="00440148" w:rsidRPr="002E3B2A" w14:paraId="05CE3CF1" w14:textId="77777777" w:rsidTr="0044014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0414AF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Mar 2026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3E4FF4E"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Official contact with Macro-region universities for the collaboration</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32321A3"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TSG2 &amp; Working Group with the collaboration of the University of San Marino</w:t>
            </w:r>
          </w:p>
        </w:tc>
      </w:tr>
      <w:tr w:rsidR="00440148" w:rsidRPr="002E3B2A" w14:paraId="3E2B9413" w14:textId="77777777" w:rsidTr="0044014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4048B0B"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Jun 2026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D57064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Call for application among all the universities involved</w:t>
            </w:r>
          </w:p>
        </w:tc>
        <w:tc>
          <w:tcPr>
            <w:tcW w:w="1556" w:type="dxa"/>
            <w:tcBorders>
              <w:top w:val="single" w:sz="4" w:space="0" w:color="auto"/>
              <w:left w:val="single" w:sz="4" w:space="0" w:color="auto"/>
              <w:bottom w:val="single" w:sz="4" w:space="0" w:color="auto"/>
              <w:right w:val="single" w:sz="4" w:space="0" w:color="auto"/>
            </w:tcBorders>
            <w:hideMark/>
          </w:tcPr>
          <w:p w14:paraId="1E97BC9D"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TSG2 &amp; Working Group</w:t>
            </w:r>
          </w:p>
        </w:tc>
      </w:tr>
      <w:tr w:rsidR="00440148" w:rsidRPr="002E3B2A" w14:paraId="6E941A6F" w14:textId="77777777" w:rsidTr="0044014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8DC69DB"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Sept 2026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AD5BEF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Selection of the participants</w:t>
            </w:r>
          </w:p>
        </w:tc>
        <w:tc>
          <w:tcPr>
            <w:tcW w:w="1556" w:type="dxa"/>
            <w:tcBorders>
              <w:top w:val="single" w:sz="4" w:space="0" w:color="auto"/>
              <w:left w:val="single" w:sz="4" w:space="0" w:color="auto"/>
              <w:bottom w:val="single" w:sz="4" w:space="0" w:color="auto"/>
              <w:right w:val="single" w:sz="4" w:space="0" w:color="auto"/>
            </w:tcBorders>
            <w:hideMark/>
          </w:tcPr>
          <w:p w14:paraId="650AE8D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TSG2 &amp; Working Group</w:t>
            </w:r>
          </w:p>
        </w:tc>
      </w:tr>
      <w:tr w:rsidR="00440148" w:rsidRPr="002E3B2A" w14:paraId="0968C81D" w14:textId="77777777" w:rsidTr="0044014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2C6FE59"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Dec 2026</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718771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Finalization of travel, logistics, accommodation and agenda of the event</w:t>
            </w:r>
          </w:p>
        </w:tc>
        <w:tc>
          <w:tcPr>
            <w:tcW w:w="1556" w:type="dxa"/>
            <w:tcBorders>
              <w:top w:val="single" w:sz="4" w:space="0" w:color="auto"/>
              <w:left w:val="single" w:sz="4" w:space="0" w:color="auto"/>
              <w:bottom w:val="single" w:sz="4" w:space="0" w:color="auto"/>
              <w:right w:val="single" w:sz="4" w:space="0" w:color="auto"/>
            </w:tcBorders>
            <w:hideMark/>
          </w:tcPr>
          <w:p w14:paraId="309CC61B"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San Marino ministry of foreign affairs, University of San Marino, TSG2 &amp; Working Group</w:t>
            </w:r>
          </w:p>
        </w:tc>
      </w:tr>
      <w:tr w:rsidR="00440148" w:rsidRPr="002E3B2A" w14:paraId="570F548B" w14:textId="77777777" w:rsidTr="0044014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3D1ACE5"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Mar 2027</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DE2950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The San Marino Hackathon (Main Event).</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87CCE9E"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All partners involved</w:t>
            </w:r>
          </w:p>
        </w:tc>
      </w:tr>
    </w:tbl>
    <w:p w14:paraId="7889F4B0" w14:textId="77777777" w:rsidR="00440148" w:rsidRPr="002E3B2A" w:rsidRDefault="00440148" w:rsidP="00855F11">
      <w:pPr>
        <w:jc w:val="both"/>
        <w:rPr>
          <w:rFonts w:ascii="Open Sans" w:hAnsi="Open Sans" w:cs="Open Sans"/>
        </w:rPr>
      </w:pPr>
    </w:p>
    <w:p w14:paraId="5A28C9FE" w14:textId="77777777" w:rsidR="00440148" w:rsidRPr="002E3B2A" w:rsidRDefault="00440148" w:rsidP="00855F11">
      <w:pPr>
        <w:jc w:val="both"/>
        <w:rPr>
          <w:rFonts w:ascii="Open Sans" w:hAnsi="Open Sans" w:cs="Open Sans"/>
        </w:rPr>
      </w:pPr>
      <w:r w:rsidRPr="002E3B2A">
        <w:rPr>
          <w:rFonts w:ascii="Open Sans" w:hAnsi="Open Sans" w:cs="Open Sans"/>
        </w:rPr>
        <w:br w:type="page"/>
      </w:r>
    </w:p>
    <w:p w14:paraId="4F624CA8" w14:textId="77777777" w:rsidR="00440148" w:rsidRPr="002E3B2A" w:rsidRDefault="00440148" w:rsidP="003176D1">
      <w:pPr>
        <w:pStyle w:val="Heading2"/>
        <w:rPr>
          <w:rFonts w:ascii="Open Sans" w:hAnsi="Open Sans" w:cs="Open Sans"/>
          <w:lang w:val="en-GB"/>
        </w:rPr>
      </w:pPr>
      <w:bookmarkStart w:id="33" w:name="_Toc220660663"/>
      <w:bookmarkStart w:id="34" w:name="_Toc221098332"/>
      <w:bookmarkStart w:id="35" w:name="_Toc221100064"/>
      <w:bookmarkStart w:id="36" w:name="_Toc221287160"/>
      <w:r w:rsidRPr="002E3B2A">
        <w:rPr>
          <w:rFonts w:ascii="Open Sans" w:hAnsi="Open Sans" w:cs="Open Sans"/>
          <w:lang w:val="en-GB"/>
        </w:rPr>
        <w:t>EYC Youth Mentorship Network – From skills to careers</w:t>
      </w:r>
      <w:bookmarkEnd w:id="33"/>
      <w:bookmarkEnd w:id="34"/>
      <w:bookmarkEnd w:id="35"/>
      <w:bookmarkEnd w:id="36"/>
    </w:p>
    <w:p w14:paraId="7448452C" w14:textId="584960B8" w:rsidR="00440148" w:rsidRPr="002E3B2A" w:rsidRDefault="00440148" w:rsidP="00855F11">
      <w:pPr>
        <w:pStyle w:val="ListParagraph"/>
        <w:numPr>
          <w:ilvl w:val="0"/>
          <w:numId w:val="25"/>
        </w:numPr>
        <w:jc w:val="both"/>
        <w:rPr>
          <w:rFonts w:ascii="Open Sans" w:hAnsi="Open Sans" w:cs="Open Sans"/>
          <w:u w:val="single"/>
          <w:lang w:val="en-GB"/>
        </w:rPr>
      </w:pPr>
      <w:r w:rsidRPr="002E3B2A">
        <w:rPr>
          <w:rFonts w:ascii="Open Sans" w:hAnsi="Open Sans" w:cs="Open Sans"/>
          <w:u w:val="single"/>
          <w:lang w:val="en-GB"/>
        </w:rPr>
        <w:t>Main theme/Topic</w:t>
      </w:r>
    </w:p>
    <w:p w14:paraId="7A46A137"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The main theme of the initiative is the development of a cross-border youth mentorship framework that supports young people in acquiring practical life and career skills, including employability, financial responsibility, and sector-specific competencies, through guidance from experienced professionals in the Adriatic-Ionian region. </w:t>
      </w:r>
    </w:p>
    <w:p w14:paraId="02A3BE69" w14:textId="77777777" w:rsidR="00440148" w:rsidRPr="002E3B2A" w:rsidRDefault="00440148" w:rsidP="00855F11">
      <w:pPr>
        <w:jc w:val="both"/>
        <w:rPr>
          <w:rFonts w:ascii="Open Sans" w:hAnsi="Open Sans" w:cs="Open Sans"/>
          <w:lang w:val="en-GB"/>
        </w:rPr>
      </w:pPr>
    </w:p>
    <w:p w14:paraId="5ECC6655" w14:textId="77777777" w:rsidR="00440148" w:rsidRPr="002E3B2A" w:rsidRDefault="00440148" w:rsidP="00855F11">
      <w:pPr>
        <w:numPr>
          <w:ilvl w:val="0"/>
          <w:numId w:val="25"/>
        </w:numPr>
        <w:jc w:val="both"/>
        <w:rPr>
          <w:rFonts w:ascii="Open Sans" w:hAnsi="Open Sans" w:cs="Open Sans"/>
          <w:u w:val="single"/>
          <w:lang w:val="en-GB"/>
        </w:rPr>
      </w:pPr>
      <w:r w:rsidRPr="002E3B2A">
        <w:rPr>
          <w:rFonts w:ascii="Open Sans" w:hAnsi="Open Sans" w:cs="Open Sans"/>
          <w:u w:val="single"/>
          <w:lang w:val="en-GB"/>
        </w:rPr>
        <w:t>Goals and objectives</w:t>
      </w:r>
    </w:p>
    <w:p w14:paraId="33B7FF06"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To strengthen the employability, life skills, and career readiness of young people in the Adriatic-Ionian region by bridging the gap between education, labour market needs, and the challenges of early adulthood through a structured, cross-border mentorship system.</w:t>
      </w:r>
    </w:p>
    <w:p w14:paraId="34BF4EA4"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Objectives:</w:t>
      </w:r>
    </w:p>
    <w:p w14:paraId="2A38ABAB" w14:textId="77777777" w:rsidR="00440148" w:rsidRPr="002E3B2A" w:rsidRDefault="00440148" w:rsidP="00855F11">
      <w:pPr>
        <w:numPr>
          <w:ilvl w:val="0"/>
          <w:numId w:val="33"/>
        </w:numPr>
        <w:jc w:val="both"/>
        <w:rPr>
          <w:rFonts w:ascii="Open Sans" w:hAnsi="Open Sans" w:cs="Open Sans"/>
          <w:lang w:val="en-GB"/>
        </w:rPr>
      </w:pPr>
      <w:r w:rsidRPr="002E3B2A">
        <w:rPr>
          <w:rFonts w:ascii="Open Sans" w:hAnsi="Open Sans" w:cs="Open Sans"/>
          <w:lang w:val="en-GB"/>
        </w:rPr>
        <w:t>To establish a sustainable, cross-border mentorship framework that connects motivated young people with experienced professionals from key sectors across the Adriatic-Ionian region.</w:t>
      </w:r>
    </w:p>
    <w:p w14:paraId="5B1E7A8A" w14:textId="77777777" w:rsidR="00440148" w:rsidRPr="002E3B2A" w:rsidRDefault="00440148" w:rsidP="00855F11">
      <w:pPr>
        <w:numPr>
          <w:ilvl w:val="0"/>
          <w:numId w:val="33"/>
        </w:numPr>
        <w:jc w:val="both"/>
        <w:rPr>
          <w:rFonts w:ascii="Open Sans" w:hAnsi="Open Sans" w:cs="Open Sans"/>
          <w:lang w:val="en-GB"/>
        </w:rPr>
      </w:pPr>
      <w:r w:rsidRPr="002E3B2A">
        <w:rPr>
          <w:rFonts w:ascii="Open Sans" w:hAnsi="Open Sans" w:cs="Open Sans"/>
          <w:lang w:val="en-GB"/>
        </w:rPr>
        <w:t>To support young people in developing practical life and career skills, including CV and portfolio development, financial responsibility, workplace readiness, and informed decision-making during early career and life transitions, through mentor-led guidance.</w:t>
      </w:r>
    </w:p>
    <w:p w14:paraId="3B4FDB8C" w14:textId="77777777" w:rsidR="00440148" w:rsidRPr="002E3B2A" w:rsidRDefault="00440148" w:rsidP="00855F11">
      <w:pPr>
        <w:numPr>
          <w:ilvl w:val="0"/>
          <w:numId w:val="33"/>
        </w:numPr>
        <w:jc w:val="both"/>
        <w:rPr>
          <w:rFonts w:ascii="Open Sans" w:hAnsi="Open Sans" w:cs="Open Sans"/>
          <w:lang w:val="en-GB"/>
        </w:rPr>
      </w:pPr>
      <w:r w:rsidRPr="002E3B2A">
        <w:rPr>
          <w:rFonts w:ascii="Open Sans" w:hAnsi="Open Sans" w:cs="Open Sans"/>
          <w:lang w:val="en-GB"/>
        </w:rPr>
        <w:t>To improve young people’s access to professional networks and reduce generational gaps by fostering structured, intergenerational and cross-sector knowledge exchange.</w:t>
      </w:r>
    </w:p>
    <w:p w14:paraId="01A6546B" w14:textId="77777777" w:rsidR="00440148" w:rsidRPr="002E3B2A" w:rsidRDefault="00440148" w:rsidP="00855F11">
      <w:pPr>
        <w:numPr>
          <w:ilvl w:val="0"/>
          <w:numId w:val="33"/>
        </w:numPr>
        <w:jc w:val="both"/>
        <w:rPr>
          <w:rFonts w:ascii="Open Sans" w:hAnsi="Open Sans" w:cs="Open Sans"/>
          <w:lang w:val="en-GB"/>
        </w:rPr>
      </w:pPr>
      <w:r w:rsidRPr="002E3B2A">
        <w:rPr>
          <w:rFonts w:ascii="Open Sans" w:hAnsi="Open Sans" w:cs="Open Sans"/>
          <w:lang w:val="en-GB"/>
        </w:rPr>
        <w:t>To promote social cohesion and a shared Adriatic-Ionian identity by encouraging cooperation and peer learning among youth and professionals from different countries in the region.</w:t>
      </w:r>
    </w:p>
    <w:p w14:paraId="65013614" w14:textId="77777777" w:rsidR="00440148" w:rsidRPr="002E3B2A" w:rsidRDefault="00440148" w:rsidP="00855F11">
      <w:pPr>
        <w:jc w:val="both"/>
        <w:rPr>
          <w:rFonts w:ascii="Open Sans" w:hAnsi="Open Sans" w:cs="Open Sans"/>
          <w:lang w:val="en-GB"/>
        </w:rPr>
      </w:pPr>
    </w:p>
    <w:p w14:paraId="7A8499B8" w14:textId="77777777" w:rsidR="00440148" w:rsidRPr="002E3B2A" w:rsidRDefault="00440148" w:rsidP="00855F11">
      <w:pPr>
        <w:numPr>
          <w:ilvl w:val="0"/>
          <w:numId w:val="25"/>
        </w:numPr>
        <w:jc w:val="both"/>
        <w:rPr>
          <w:rFonts w:ascii="Open Sans" w:hAnsi="Open Sans" w:cs="Open Sans"/>
          <w:u w:val="single"/>
          <w:lang w:val="en-GB"/>
        </w:rPr>
      </w:pPr>
      <w:r w:rsidRPr="002E3B2A">
        <w:rPr>
          <w:rFonts w:ascii="Open Sans" w:hAnsi="Open Sans" w:cs="Open Sans"/>
          <w:u w:val="single"/>
          <w:lang w:val="en-GB"/>
        </w:rPr>
        <w:t>Why does this matter for Youth in the EUSAIR region?</w:t>
      </w:r>
    </w:p>
    <w:p w14:paraId="3CB4E5D9"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Young people across the Adriatic-Ionian region are navigating a period of growing uncertainty during the transition to adulthood. According to European-level data, many countries in the region continue to experience high youth emigration rates, while at the same time facing labour shortages that are increasingly addressed through the recruitment of foreign workers rather than the integration of local young talent.</w:t>
      </w:r>
    </w:p>
    <w:p w14:paraId="02E28DF4"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Despite improvements in educational attainment, young people often struggle to access stable employment and meaningful career guidance, leading to delayed independence and a widespread feeling of insecurity about the future. Without accessible support and trusted role models, this phase of life can become isolating and discouraging, increasing the risk of disengagement or long-term emigration.</w:t>
      </w:r>
    </w:p>
    <w:p w14:paraId="486C6E2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This initiative responds to these realities by addressing not only employability, but also the need for guidance, confidence, and human support during a critical life stage, helping young people better position themselves within the Adriatic-Ionian region.</w:t>
      </w:r>
    </w:p>
    <w:p w14:paraId="63AD8ECA" w14:textId="77777777" w:rsidR="009122C2" w:rsidRPr="002E3B2A" w:rsidRDefault="009122C2" w:rsidP="00855F11">
      <w:pPr>
        <w:jc w:val="both"/>
        <w:rPr>
          <w:rFonts w:ascii="Open Sans" w:hAnsi="Open Sans" w:cs="Open Sans"/>
          <w:lang w:val="en-GB"/>
        </w:rPr>
      </w:pPr>
    </w:p>
    <w:p w14:paraId="02C9D371" w14:textId="77777777" w:rsidR="00440148" w:rsidRPr="002E3B2A" w:rsidRDefault="00440148" w:rsidP="00855F11">
      <w:pPr>
        <w:numPr>
          <w:ilvl w:val="0"/>
          <w:numId w:val="25"/>
        </w:numPr>
        <w:jc w:val="both"/>
        <w:rPr>
          <w:rFonts w:ascii="Open Sans" w:hAnsi="Open Sans" w:cs="Open Sans"/>
          <w:u w:val="single"/>
          <w:lang w:val="en-GB"/>
        </w:rPr>
      </w:pPr>
      <w:r w:rsidRPr="002E3B2A">
        <w:rPr>
          <w:rFonts w:ascii="Open Sans" w:hAnsi="Open Sans" w:cs="Open Sans"/>
          <w:u w:val="single"/>
          <w:lang w:val="en-GB"/>
        </w:rPr>
        <w:t>Description of the initiative</w:t>
      </w:r>
    </w:p>
    <w:p w14:paraId="7998ECEE"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0 – Digital presence and coordination platform</w:t>
      </w:r>
    </w:p>
    <w:p w14:paraId="7AC657D3"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A simple digital presence is established to support the initiative, serving as a central point for information, applications, communication, and visibility. This may include a lightweight website or online platform containing programme information, application forms, timelines, mentor profiles, and basic resources for participants. </w:t>
      </w:r>
    </w:p>
    <w:p w14:paraId="2624331D"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1 – Open call and outreach</w:t>
      </w:r>
    </w:p>
    <w:p w14:paraId="55C9A3F2"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initiative starts with an open call for young people from the Adriatic-Ionian region. Applications are open to motivated youth who are willing to actively participate and commit time to the programme. Selection is based on personal motivation, interests, and availability, rather than socio-economic background or formal status.</w:t>
      </w:r>
    </w:p>
    <w:p w14:paraId="33A34E89"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2 – Thematic grouping of participants</w:t>
      </w:r>
    </w:p>
    <w:p w14:paraId="1B08AC86"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Selected participants are grouped into small, cross-border thematic groups based on shared interests and needs (e.g. career development, sector-specific guidance, life and financial skills). This ensures relevance, engagement, and a sense of belonging within each group.</w:t>
      </w:r>
    </w:p>
    <w:p w14:paraId="36CF407C"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3 – Engagement of mentors</w:t>
      </w:r>
    </w:p>
    <w:p w14:paraId="47E9AA8A"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Mentors are engaged through targeted outreach to professionals, organisations, and institutions across the Adriatic-Ionian region. Their participation is supported by a clear value proposition, including professional recognition, visibility within EUSAIR-related networks, opportunities for leadership and mentoring skill development, and contribution to organisational social responsibility goals. Clear expectations regarding time commitment and mentoring roles are defined in advance to ensure a mutually beneficial and sustainable engagement.</w:t>
      </w:r>
    </w:p>
    <w:p w14:paraId="6A4053A3"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4 – Small-group mentoring cycle</w:t>
      </w:r>
    </w:p>
    <w:p w14:paraId="40D57672"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Mentoring is organised in small groups to create a personal, trust-based environment. Each group participates in a defined mentoring cycle, consisting of interactive online sessions, discussions, and practical activities. Topics may include CV and portfolio feedback, career path exploration, workplace culture, financial responsibility, and navigating early career and life challenges.</w:t>
      </w:r>
    </w:p>
    <w:p w14:paraId="582DD246"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5 – Flexible and accessible delivery</w:t>
      </w:r>
    </w:p>
    <w:p w14:paraId="70E89F9E"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programme is primarily delivered online to ensure accessibility across the region and to minimise time and travel constraints. Sessions are designed to be interactive rather than lecture-based, allowing participants to ask questions, share experiences, and learn from both mentors and peers.</w:t>
      </w:r>
    </w:p>
    <w:p w14:paraId="27406896"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6 – Reflection, follow-up, and continuity</w:t>
      </w:r>
    </w:p>
    <w:p w14:paraId="6CF90374"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At the end of each mentoring cycle, participants are encouraged to reflect on their learning outcomes and identify next steps for their personal and professional development. Participants and mentors remain connected through an informal peer and alumni network, supporting continued exchange, networking, and long-term impact.</w:t>
      </w:r>
    </w:p>
    <w:p w14:paraId="2806657D"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Step 7 – Learning and scalability</w:t>
      </w:r>
    </w:p>
    <w:p w14:paraId="1870391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Feedback from participants and mentors is collected after each cycle to improve the programme. The pilot structure allows the initiative to be gradually expanded to additional themes, sectors, and partners, while remaining aligned with EUSAIR priorities and existing cooperation frameworks.</w:t>
      </w:r>
    </w:p>
    <w:p w14:paraId="2449EDAF" w14:textId="77777777" w:rsidR="00440148" w:rsidRPr="002E3B2A" w:rsidRDefault="00440148" w:rsidP="00855F11">
      <w:pPr>
        <w:jc w:val="both"/>
        <w:rPr>
          <w:rFonts w:ascii="Open Sans" w:hAnsi="Open Sans" w:cs="Open Sans"/>
          <w:lang w:val="en-GB"/>
        </w:rPr>
      </w:pPr>
    </w:p>
    <w:p w14:paraId="4330285E" w14:textId="6CAF3292" w:rsidR="00440148" w:rsidRPr="002E3B2A" w:rsidRDefault="00440148" w:rsidP="00855F11">
      <w:pPr>
        <w:pStyle w:val="ListParagraph"/>
        <w:numPr>
          <w:ilvl w:val="0"/>
          <w:numId w:val="25"/>
        </w:numPr>
        <w:jc w:val="both"/>
        <w:rPr>
          <w:rFonts w:ascii="Open Sans" w:hAnsi="Open Sans" w:cs="Open Sans"/>
          <w:u w:val="single"/>
          <w:lang w:val="en-GB"/>
        </w:rPr>
      </w:pPr>
      <w:r w:rsidRPr="002E3B2A">
        <w:rPr>
          <w:rFonts w:ascii="Open Sans" w:hAnsi="Open Sans" w:cs="Open Sans"/>
          <w:u w:val="single"/>
          <w:lang w:val="en-GB"/>
        </w:rPr>
        <w:t>Working group</w:t>
      </w:r>
    </w:p>
    <w:p w14:paraId="460CCE3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initiative will be implemented by a small working group of approximately 5–6 people, primarily composed of EUSAIR Youth Council members. Tasks related to coordination, youth and mentor engagement, content, communication, and digital support are distributed to ensure a realistic and manageable time commitment alongside members existing obligations. Cooperation with external professionals, institutions, and organisations is foreseen to support mentorship delivery and ensure relevance across the region.</w:t>
      </w:r>
    </w:p>
    <w:p w14:paraId="744EF641" w14:textId="77777777" w:rsidR="00440148" w:rsidRPr="002E3B2A" w:rsidRDefault="00440148" w:rsidP="00855F11">
      <w:pPr>
        <w:numPr>
          <w:ilvl w:val="0"/>
          <w:numId w:val="25"/>
        </w:numPr>
        <w:jc w:val="both"/>
        <w:rPr>
          <w:rFonts w:ascii="Open Sans" w:hAnsi="Open Sans" w:cs="Open Sans"/>
          <w:u w:val="single"/>
          <w:lang w:val="en-GB"/>
        </w:rPr>
      </w:pPr>
      <w:r w:rsidRPr="002E3B2A">
        <w:rPr>
          <w:rFonts w:ascii="Open Sans" w:hAnsi="Open Sans" w:cs="Open Sans"/>
          <w:u w:val="single"/>
          <w:lang w:val="en-GB"/>
        </w:rPr>
        <w:t xml:space="preserve">Resources </w:t>
      </w:r>
    </w:p>
    <w:p w14:paraId="62362DE9"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initiative is designed as a low-cost pilot programme. Limited financing is required to cover basic operational costs, including the maintenance of a simple website and server, digital tools for online mentoring, communication and visibility materials, and the preparation of certificates or recognition materials for mentors. The estimated budget for one pilot cycle is up to 5000 EUR. The initiative primarily relies on existing resources, including the engagement of the EUSAIR Youth Council, voluntary participation of mentors, and the use of accessible online formats. Additional resources include expertise from professionals, cooperation with institutions and organisations across the Adriatic-Ionian region, and potential partnerships that may contribute in-kind support or limited financial contributions.</w:t>
      </w:r>
    </w:p>
    <w:p w14:paraId="538C35AF" w14:textId="77777777" w:rsidR="00440148" w:rsidRPr="002E3B2A" w:rsidRDefault="00440148" w:rsidP="00855F11">
      <w:pPr>
        <w:jc w:val="both"/>
        <w:rPr>
          <w:rFonts w:ascii="Open Sans" w:hAnsi="Open Sans" w:cs="Open Sans"/>
          <w:lang w:val="en-GB"/>
        </w:rPr>
      </w:pPr>
    </w:p>
    <w:p w14:paraId="44F465F2" w14:textId="77777777" w:rsidR="00440148" w:rsidRPr="002E3B2A" w:rsidRDefault="00440148" w:rsidP="00855F11">
      <w:pPr>
        <w:numPr>
          <w:ilvl w:val="0"/>
          <w:numId w:val="25"/>
        </w:numPr>
        <w:jc w:val="both"/>
        <w:rPr>
          <w:rFonts w:ascii="Open Sans" w:hAnsi="Open Sans" w:cs="Open Sans"/>
          <w:u w:val="single"/>
          <w:lang w:val="en-GB"/>
        </w:rPr>
      </w:pPr>
      <w:r w:rsidRPr="002E3B2A">
        <w:rPr>
          <w:rFonts w:ascii="Open Sans" w:hAnsi="Open Sans" w:cs="Open Sans"/>
          <w:u w:val="single"/>
          <w:lang w:val="en-GB"/>
        </w:rPr>
        <w:t>Timeline</w:t>
      </w:r>
    </w:p>
    <w:tbl>
      <w:tblPr>
        <w:tblStyle w:val="TableGrid"/>
        <w:tblW w:w="0" w:type="auto"/>
        <w:tblLook w:val="04A0" w:firstRow="1" w:lastRow="0" w:firstColumn="1" w:lastColumn="0" w:noHBand="0" w:noVBand="1"/>
      </w:tblPr>
      <w:tblGrid>
        <w:gridCol w:w="1271"/>
        <w:gridCol w:w="4394"/>
        <w:gridCol w:w="1556"/>
      </w:tblGrid>
      <w:tr w:rsidR="00440148" w:rsidRPr="002E3B2A" w14:paraId="7B0B9B73"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6EF7D9EA"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w:t>
            </w:r>
          </w:p>
        </w:tc>
        <w:tc>
          <w:tcPr>
            <w:tcW w:w="4394" w:type="dxa"/>
            <w:tcBorders>
              <w:top w:val="single" w:sz="4" w:space="0" w:color="auto"/>
              <w:left w:val="single" w:sz="4" w:space="0" w:color="auto"/>
              <w:bottom w:val="single" w:sz="4" w:space="0" w:color="auto"/>
              <w:right w:val="single" w:sz="4" w:space="0" w:color="auto"/>
            </w:tcBorders>
            <w:hideMark/>
          </w:tcPr>
          <w:p w14:paraId="356FE084"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Activity</w:t>
            </w:r>
          </w:p>
        </w:tc>
        <w:tc>
          <w:tcPr>
            <w:tcW w:w="1556" w:type="dxa"/>
            <w:tcBorders>
              <w:top w:val="single" w:sz="4" w:space="0" w:color="auto"/>
              <w:left w:val="single" w:sz="4" w:space="0" w:color="auto"/>
              <w:bottom w:val="single" w:sz="4" w:space="0" w:color="auto"/>
              <w:right w:val="single" w:sz="4" w:space="0" w:color="auto"/>
            </w:tcBorders>
            <w:hideMark/>
          </w:tcPr>
          <w:p w14:paraId="2005013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 xml:space="preserve">Responsible </w:t>
            </w:r>
          </w:p>
        </w:tc>
      </w:tr>
      <w:tr w:rsidR="00440148" w:rsidRPr="002E3B2A" w14:paraId="7E619CF8"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07578524"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1</w:t>
            </w:r>
          </w:p>
        </w:tc>
        <w:tc>
          <w:tcPr>
            <w:tcW w:w="4394"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96"/>
            </w:tblGrid>
            <w:tr w:rsidR="00440148" w:rsidRPr="002E3B2A" w14:paraId="39FF9759" w14:textId="77777777">
              <w:trPr>
                <w:tblCellSpacing w:w="15" w:type="dxa"/>
              </w:trPr>
              <w:tc>
                <w:tcPr>
                  <w:tcW w:w="0" w:type="auto"/>
                  <w:tcMar>
                    <w:top w:w="15" w:type="dxa"/>
                    <w:left w:w="15" w:type="dxa"/>
                    <w:bottom w:w="15" w:type="dxa"/>
                    <w:right w:w="15" w:type="dxa"/>
                  </w:tcMar>
                  <w:vAlign w:val="center"/>
                  <w:hideMark/>
                </w:tcPr>
                <w:p w14:paraId="439B5B05" w14:textId="77777777" w:rsidR="00440148" w:rsidRPr="002E3B2A" w:rsidRDefault="00440148" w:rsidP="00855F11">
                  <w:pPr>
                    <w:jc w:val="both"/>
                    <w:rPr>
                      <w:rFonts w:ascii="Open Sans" w:hAnsi="Open Sans" w:cs="Open Sans"/>
                      <w:lang w:val="en-GB"/>
                    </w:rPr>
                  </w:pPr>
                </w:p>
              </w:tc>
            </w:tr>
          </w:tbl>
          <w:p w14:paraId="1D5E0494" w14:textId="77777777" w:rsidR="00440148" w:rsidRPr="002E3B2A" w:rsidRDefault="00440148" w:rsidP="00855F11">
            <w:pPr>
              <w:spacing w:after="160" w:line="259" w:lineRule="auto"/>
              <w:jc w:val="both"/>
              <w:rPr>
                <w:rFonts w:ascii="Open Sans" w:hAnsi="Open Sans" w:cs="Open Sans"/>
                <w:vanish/>
                <w:lang w:val="en-GB"/>
              </w:rPr>
            </w:pPr>
          </w:p>
          <w:tbl>
            <w:tblPr>
              <w:tblW w:w="0" w:type="auto"/>
              <w:tblCellSpacing w:w="15" w:type="dxa"/>
              <w:tblLook w:val="04A0" w:firstRow="1" w:lastRow="0" w:firstColumn="1" w:lastColumn="0" w:noHBand="0" w:noVBand="1"/>
            </w:tblPr>
            <w:tblGrid>
              <w:gridCol w:w="4178"/>
            </w:tblGrid>
            <w:tr w:rsidR="00440148" w:rsidRPr="002E3B2A" w14:paraId="1C8A680B" w14:textId="77777777">
              <w:trPr>
                <w:tblCellSpacing w:w="15" w:type="dxa"/>
              </w:trPr>
              <w:tc>
                <w:tcPr>
                  <w:tcW w:w="0" w:type="auto"/>
                  <w:tcMar>
                    <w:top w:w="15" w:type="dxa"/>
                    <w:left w:w="15" w:type="dxa"/>
                    <w:bottom w:w="15" w:type="dxa"/>
                    <w:right w:w="15" w:type="dxa"/>
                  </w:tcMar>
                  <w:vAlign w:val="center"/>
                  <w:hideMark/>
                </w:tcPr>
                <w:p w14:paraId="3AE2740A"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Finalisation of initiative concept, roles, and internal coordination</w:t>
                  </w:r>
                </w:p>
              </w:tc>
            </w:tr>
          </w:tbl>
          <w:p w14:paraId="04C6419F" w14:textId="77777777" w:rsidR="00440148" w:rsidRPr="002E3B2A" w:rsidRDefault="00440148" w:rsidP="00855F11">
            <w:pPr>
              <w:spacing w:after="160" w:line="259" w:lineRule="auto"/>
              <w:jc w:val="both"/>
              <w:rPr>
                <w:rFonts w:ascii="Open Sans" w:hAnsi="Open Sans" w:cs="Open Sans"/>
                <w:lang w:val="en-GB"/>
              </w:rPr>
            </w:pPr>
          </w:p>
        </w:tc>
        <w:tc>
          <w:tcPr>
            <w:tcW w:w="1556" w:type="dxa"/>
            <w:tcBorders>
              <w:top w:val="single" w:sz="4" w:space="0" w:color="auto"/>
              <w:left w:val="single" w:sz="4" w:space="0" w:color="auto"/>
              <w:bottom w:val="single" w:sz="4" w:space="0" w:color="auto"/>
              <w:right w:val="single" w:sz="4" w:space="0" w:color="auto"/>
            </w:tcBorders>
            <w:hideMark/>
          </w:tcPr>
          <w:p w14:paraId="44D01926"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Working group</w:t>
            </w:r>
          </w:p>
        </w:tc>
      </w:tr>
      <w:tr w:rsidR="00440148" w:rsidRPr="002E3B2A" w14:paraId="1E482038"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01CFD1F4"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2</w:t>
            </w:r>
          </w:p>
        </w:tc>
        <w:tc>
          <w:tcPr>
            <w:tcW w:w="4394" w:type="dxa"/>
            <w:tcBorders>
              <w:top w:val="single" w:sz="4" w:space="0" w:color="auto"/>
              <w:left w:val="single" w:sz="4" w:space="0" w:color="auto"/>
              <w:bottom w:val="single" w:sz="4" w:space="0" w:color="auto"/>
              <w:right w:val="single" w:sz="4" w:space="0" w:color="auto"/>
            </w:tcBorders>
            <w:hideMark/>
          </w:tcPr>
          <w:p w14:paraId="1CB63AD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Creation of digital presence (website), preparation of communication materials, and launch of open call for youth participants</w:t>
            </w:r>
          </w:p>
        </w:tc>
        <w:tc>
          <w:tcPr>
            <w:tcW w:w="1556" w:type="dxa"/>
            <w:tcBorders>
              <w:top w:val="single" w:sz="4" w:space="0" w:color="auto"/>
              <w:left w:val="single" w:sz="4" w:space="0" w:color="auto"/>
              <w:bottom w:val="single" w:sz="4" w:space="0" w:color="auto"/>
              <w:right w:val="single" w:sz="4" w:space="0" w:color="auto"/>
            </w:tcBorders>
            <w:hideMark/>
          </w:tcPr>
          <w:p w14:paraId="15FCCCC3"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Working group</w:t>
            </w:r>
          </w:p>
        </w:tc>
      </w:tr>
      <w:tr w:rsidR="00440148" w:rsidRPr="002E3B2A" w14:paraId="5B606228"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5008D3D8"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3-4</w:t>
            </w:r>
          </w:p>
        </w:tc>
        <w:tc>
          <w:tcPr>
            <w:tcW w:w="4394"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96"/>
            </w:tblGrid>
            <w:tr w:rsidR="00440148" w:rsidRPr="002E3B2A" w14:paraId="76EF9DDD" w14:textId="77777777">
              <w:trPr>
                <w:tblCellSpacing w:w="15" w:type="dxa"/>
              </w:trPr>
              <w:tc>
                <w:tcPr>
                  <w:tcW w:w="0" w:type="auto"/>
                  <w:tcMar>
                    <w:top w:w="15" w:type="dxa"/>
                    <w:left w:w="15" w:type="dxa"/>
                    <w:bottom w:w="15" w:type="dxa"/>
                    <w:right w:w="15" w:type="dxa"/>
                  </w:tcMar>
                  <w:vAlign w:val="center"/>
                  <w:hideMark/>
                </w:tcPr>
                <w:p w14:paraId="7DB3D497" w14:textId="77777777" w:rsidR="00440148" w:rsidRPr="002E3B2A" w:rsidRDefault="00440148" w:rsidP="00855F11">
                  <w:pPr>
                    <w:jc w:val="both"/>
                    <w:rPr>
                      <w:rFonts w:ascii="Open Sans" w:hAnsi="Open Sans" w:cs="Open Sans"/>
                      <w:lang w:val="en-GB"/>
                    </w:rPr>
                  </w:pPr>
                </w:p>
              </w:tc>
            </w:tr>
          </w:tbl>
          <w:p w14:paraId="61880E9C" w14:textId="77777777" w:rsidR="00440148" w:rsidRPr="002E3B2A" w:rsidRDefault="00440148" w:rsidP="00855F11">
            <w:pPr>
              <w:spacing w:after="160" w:line="259" w:lineRule="auto"/>
              <w:jc w:val="both"/>
              <w:rPr>
                <w:rFonts w:ascii="Open Sans" w:hAnsi="Open Sans" w:cs="Open Sans"/>
                <w:vanish/>
                <w:lang w:val="en-GB"/>
              </w:rPr>
            </w:pPr>
          </w:p>
          <w:tbl>
            <w:tblPr>
              <w:tblW w:w="0" w:type="auto"/>
              <w:tblCellSpacing w:w="15" w:type="dxa"/>
              <w:tblLook w:val="04A0" w:firstRow="1" w:lastRow="0" w:firstColumn="1" w:lastColumn="0" w:noHBand="0" w:noVBand="1"/>
            </w:tblPr>
            <w:tblGrid>
              <w:gridCol w:w="4178"/>
            </w:tblGrid>
            <w:tr w:rsidR="00440148" w:rsidRPr="002E3B2A" w14:paraId="52D76330" w14:textId="77777777">
              <w:trPr>
                <w:tblCellSpacing w:w="15" w:type="dxa"/>
              </w:trPr>
              <w:tc>
                <w:tcPr>
                  <w:tcW w:w="0" w:type="auto"/>
                  <w:tcMar>
                    <w:top w:w="15" w:type="dxa"/>
                    <w:left w:w="15" w:type="dxa"/>
                    <w:bottom w:w="15" w:type="dxa"/>
                    <w:right w:w="15" w:type="dxa"/>
                  </w:tcMar>
                  <w:vAlign w:val="center"/>
                  <w:hideMark/>
                </w:tcPr>
                <w:p w14:paraId="3BA56318"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Selection of participants, thematic grouping, and engagement of mentors</w:t>
                  </w:r>
                </w:p>
              </w:tc>
            </w:tr>
          </w:tbl>
          <w:p w14:paraId="2C050F9E" w14:textId="77777777" w:rsidR="00440148" w:rsidRPr="002E3B2A" w:rsidRDefault="00440148" w:rsidP="00855F11">
            <w:pPr>
              <w:spacing w:after="160" w:line="259" w:lineRule="auto"/>
              <w:jc w:val="both"/>
              <w:rPr>
                <w:rFonts w:ascii="Open Sans" w:hAnsi="Open Sans" w:cs="Open Sans"/>
                <w:lang w:val="en-GB"/>
              </w:rPr>
            </w:pPr>
          </w:p>
        </w:tc>
        <w:tc>
          <w:tcPr>
            <w:tcW w:w="1556" w:type="dxa"/>
            <w:tcBorders>
              <w:top w:val="single" w:sz="4" w:space="0" w:color="auto"/>
              <w:left w:val="single" w:sz="4" w:space="0" w:color="auto"/>
              <w:bottom w:val="single" w:sz="4" w:space="0" w:color="auto"/>
              <w:right w:val="single" w:sz="4" w:space="0" w:color="auto"/>
            </w:tcBorders>
            <w:hideMark/>
          </w:tcPr>
          <w:p w14:paraId="5934D87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Working group</w:t>
            </w:r>
          </w:p>
        </w:tc>
      </w:tr>
      <w:tr w:rsidR="00440148" w:rsidRPr="002E3B2A" w14:paraId="5CA80716"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1BA28315"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5</w:t>
            </w:r>
          </w:p>
        </w:tc>
        <w:tc>
          <w:tcPr>
            <w:tcW w:w="4394"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96"/>
            </w:tblGrid>
            <w:tr w:rsidR="00440148" w:rsidRPr="002E3B2A" w14:paraId="3607BA15" w14:textId="77777777">
              <w:trPr>
                <w:tblCellSpacing w:w="15" w:type="dxa"/>
              </w:trPr>
              <w:tc>
                <w:tcPr>
                  <w:tcW w:w="0" w:type="auto"/>
                  <w:tcMar>
                    <w:top w:w="15" w:type="dxa"/>
                    <w:left w:w="15" w:type="dxa"/>
                    <w:bottom w:w="15" w:type="dxa"/>
                    <w:right w:w="15" w:type="dxa"/>
                  </w:tcMar>
                  <w:vAlign w:val="center"/>
                  <w:hideMark/>
                </w:tcPr>
                <w:p w14:paraId="448B7B58" w14:textId="77777777" w:rsidR="00440148" w:rsidRPr="002E3B2A" w:rsidRDefault="00440148" w:rsidP="00855F11">
                  <w:pPr>
                    <w:jc w:val="both"/>
                    <w:rPr>
                      <w:rFonts w:ascii="Open Sans" w:hAnsi="Open Sans" w:cs="Open Sans"/>
                      <w:lang w:val="en-GB"/>
                    </w:rPr>
                  </w:pPr>
                </w:p>
              </w:tc>
            </w:tr>
          </w:tbl>
          <w:p w14:paraId="617A8CAC" w14:textId="77777777" w:rsidR="00440148" w:rsidRPr="002E3B2A" w:rsidRDefault="00440148" w:rsidP="00855F11">
            <w:pPr>
              <w:spacing w:after="160" w:line="259" w:lineRule="auto"/>
              <w:jc w:val="both"/>
              <w:rPr>
                <w:rFonts w:ascii="Open Sans" w:hAnsi="Open Sans" w:cs="Open Sans"/>
                <w:vanish/>
                <w:lang w:val="en-GB"/>
              </w:rPr>
            </w:pPr>
          </w:p>
          <w:tbl>
            <w:tblPr>
              <w:tblW w:w="0" w:type="auto"/>
              <w:tblCellSpacing w:w="15" w:type="dxa"/>
              <w:tblLook w:val="04A0" w:firstRow="1" w:lastRow="0" w:firstColumn="1" w:lastColumn="0" w:noHBand="0" w:noVBand="1"/>
            </w:tblPr>
            <w:tblGrid>
              <w:gridCol w:w="4178"/>
            </w:tblGrid>
            <w:tr w:rsidR="00440148" w:rsidRPr="002E3B2A" w14:paraId="2B63E317" w14:textId="77777777">
              <w:trPr>
                <w:tblCellSpacing w:w="15" w:type="dxa"/>
              </w:trPr>
              <w:tc>
                <w:tcPr>
                  <w:tcW w:w="0" w:type="auto"/>
                  <w:tcMar>
                    <w:top w:w="15" w:type="dxa"/>
                    <w:left w:w="15" w:type="dxa"/>
                    <w:bottom w:w="15" w:type="dxa"/>
                    <w:right w:w="15" w:type="dxa"/>
                  </w:tcMar>
                  <w:vAlign w:val="center"/>
                  <w:hideMark/>
                </w:tcPr>
                <w:p w14:paraId="3573828B"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Start of mentorship cycle: introductory sessions and first thematic mentoring activities</w:t>
                  </w:r>
                </w:p>
              </w:tc>
            </w:tr>
          </w:tbl>
          <w:p w14:paraId="320BC5F8" w14:textId="77777777" w:rsidR="00440148" w:rsidRPr="002E3B2A" w:rsidRDefault="00440148" w:rsidP="00855F11">
            <w:pPr>
              <w:spacing w:after="160" w:line="259" w:lineRule="auto"/>
              <w:jc w:val="both"/>
              <w:rPr>
                <w:rFonts w:ascii="Open Sans" w:hAnsi="Open Sans" w:cs="Open Sans"/>
                <w:lang w:val="en-GB"/>
              </w:rPr>
            </w:pPr>
          </w:p>
        </w:tc>
        <w:tc>
          <w:tcPr>
            <w:tcW w:w="1556" w:type="dxa"/>
            <w:tcBorders>
              <w:top w:val="single" w:sz="4" w:space="0" w:color="auto"/>
              <w:left w:val="single" w:sz="4" w:space="0" w:color="auto"/>
              <w:bottom w:val="single" w:sz="4" w:space="0" w:color="auto"/>
              <w:right w:val="single" w:sz="4" w:space="0" w:color="auto"/>
            </w:tcBorders>
            <w:hideMark/>
          </w:tcPr>
          <w:p w14:paraId="08B6820E"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Mentors &amp; working group</w:t>
            </w:r>
          </w:p>
        </w:tc>
      </w:tr>
      <w:tr w:rsidR="00440148" w:rsidRPr="002E3B2A" w14:paraId="6F41A050"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3524B314"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6-7</w:t>
            </w:r>
          </w:p>
        </w:tc>
        <w:tc>
          <w:tcPr>
            <w:tcW w:w="4394"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96"/>
            </w:tblGrid>
            <w:tr w:rsidR="00440148" w:rsidRPr="002E3B2A" w14:paraId="2A5C0DD5" w14:textId="77777777">
              <w:trPr>
                <w:tblCellSpacing w:w="15" w:type="dxa"/>
              </w:trPr>
              <w:tc>
                <w:tcPr>
                  <w:tcW w:w="0" w:type="auto"/>
                  <w:tcMar>
                    <w:top w:w="15" w:type="dxa"/>
                    <w:left w:w="15" w:type="dxa"/>
                    <w:bottom w:w="15" w:type="dxa"/>
                    <w:right w:w="15" w:type="dxa"/>
                  </w:tcMar>
                  <w:vAlign w:val="center"/>
                  <w:hideMark/>
                </w:tcPr>
                <w:p w14:paraId="5BF6E92B" w14:textId="77777777" w:rsidR="00440148" w:rsidRPr="002E3B2A" w:rsidRDefault="00440148" w:rsidP="00855F11">
                  <w:pPr>
                    <w:jc w:val="both"/>
                    <w:rPr>
                      <w:rFonts w:ascii="Open Sans" w:hAnsi="Open Sans" w:cs="Open Sans"/>
                      <w:lang w:val="en-GB"/>
                    </w:rPr>
                  </w:pPr>
                </w:p>
              </w:tc>
            </w:tr>
          </w:tbl>
          <w:p w14:paraId="288B7DD8" w14:textId="77777777" w:rsidR="00440148" w:rsidRPr="002E3B2A" w:rsidRDefault="00440148" w:rsidP="00855F11">
            <w:pPr>
              <w:spacing w:after="160" w:line="259" w:lineRule="auto"/>
              <w:jc w:val="both"/>
              <w:rPr>
                <w:rFonts w:ascii="Open Sans" w:hAnsi="Open Sans" w:cs="Open Sans"/>
                <w:vanish/>
                <w:lang w:val="en-GB"/>
              </w:rPr>
            </w:pPr>
          </w:p>
          <w:tbl>
            <w:tblPr>
              <w:tblW w:w="0" w:type="auto"/>
              <w:tblCellSpacing w:w="15" w:type="dxa"/>
              <w:tblLook w:val="04A0" w:firstRow="1" w:lastRow="0" w:firstColumn="1" w:lastColumn="0" w:noHBand="0" w:noVBand="1"/>
            </w:tblPr>
            <w:tblGrid>
              <w:gridCol w:w="4178"/>
            </w:tblGrid>
            <w:tr w:rsidR="00440148" w:rsidRPr="002E3B2A" w14:paraId="43F1ED64" w14:textId="77777777">
              <w:trPr>
                <w:tblCellSpacing w:w="15" w:type="dxa"/>
              </w:trPr>
              <w:tc>
                <w:tcPr>
                  <w:tcW w:w="0" w:type="auto"/>
                  <w:tcMar>
                    <w:top w:w="15" w:type="dxa"/>
                    <w:left w:w="15" w:type="dxa"/>
                    <w:bottom w:w="15" w:type="dxa"/>
                    <w:right w:w="15" w:type="dxa"/>
                  </w:tcMar>
                  <w:vAlign w:val="center"/>
                  <w:hideMark/>
                </w:tcPr>
                <w:p w14:paraId="0A679CAA"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Ongoing mentoring sessions and group discussions</w:t>
                  </w:r>
                </w:p>
              </w:tc>
            </w:tr>
          </w:tbl>
          <w:p w14:paraId="332CE1AE" w14:textId="77777777" w:rsidR="00440148" w:rsidRPr="002E3B2A" w:rsidRDefault="00440148" w:rsidP="00855F11">
            <w:pPr>
              <w:spacing w:after="160" w:line="259" w:lineRule="auto"/>
              <w:jc w:val="both"/>
              <w:rPr>
                <w:rFonts w:ascii="Open Sans" w:hAnsi="Open Sans" w:cs="Open Sans"/>
                <w:lang w:val="en-GB"/>
              </w:rPr>
            </w:pPr>
          </w:p>
        </w:tc>
        <w:tc>
          <w:tcPr>
            <w:tcW w:w="1556" w:type="dxa"/>
            <w:tcBorders>
              <w:top w:val="single" w:sz="4" w:space="0" w:color="auto"/>
              <w:left w:val="single" w:sz="4" w:space="0" w:color="auto"/>
              <w:bottom w:val="single" w:sz="4" w:space="0" w:color="auto"/>
              <w:right w:val="single" w:sz="4" w:space="0" w:color="auto"/>
            </w:tcBorders>
            <w:hideMark/>
          </w:tcPr>
          <w:p w14:paraId="5BDAAD9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Mentors &amp; working group</w:t>
            </w:r>
          </w:p>
        </w:tc>
      </w:tr>
      <w:tr w:rsidR="00440148" w:rsidRPr="002E3B2A" w14:paraId="0DE2B876"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43B01AF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8</w:t>
            </w:r>
          </w:p>
        </w:tc>
        <w:tc>
          <w:tcPr>
            <w:tcW w:w="4394"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96"/>
            </w:tblGrid>
            <w:tr w:rsidR="00440148" w:rsidRPr="002E3B2A" w14:paraId="4FEBE8A7" w14:textId="77777777">
              <w:trPr>
                <w:tblCellSpacing w:w="15" w:type="dxa"/>
              </w:trPr>
              <w:tc>
                <w:tcPr>
                  <w:tcW w:w="0" w:type="auto"/>
                  <w:tcMar>
                    <w:top w:w="15" w:type="dxa"/>
                    <w:left w:w="15" w:type="dxa"/>
                    <w:bottom w:w="15" w:type="dxa"/>
                    <w:right w:w="15" w:type="dxa"/>
                  </w:tcMar>
                  <w:vAlign w:val="center"/>
                  <w:hideMark/>
                </w:tcPr>
                <w:p w14:paraId="56066F62" w14:textId="77777777" w:rsidR="00440148" w:rsidRPr="002E3B2A" w:rsidRDefault="00440148" w:rsidP="00855F11">
                  <w:pPr>
                    <w:jc w:val="both"/>
                    <w:rPr>
                      <w:rFonts w:ascii="Open Sans" w:hAnsi="Open Sans" w:cs="Open Sans"/>
                      <w:lang w:val="en-GB"/>
                    </w:rPr>
                  </w:pPr>
                </w:p>
              </w:tc>
            </w:tr>
          </w:tbl>
          <w:p w14:paraId="284937A5" w14:textId="77777777" w:rsidR="00440148" w:rsidRPr="002E3B2A" w:rsidRDefault="00440148" w:rsidP="00855F11">
            <w:pPr>
              <w:spacing w:after="160" w:line="259" w:lineRule="auto"/>
              <w:jc w:val="both"/>
              <w:rPr>
                <w:rFonts w:ascii="Open Sans" w:hAnsi="Open Sans" w:cs="Open Sans"/>
                <w:vanish/>
                <w:lang w:val="en-GB"/>
              </w:rPr>
            </w:pPr>
          </w:p>
          <w:tbl>
            <w:tblPr>
              <w:tblW w:w="0" w:type="auto"/>
              <w:tblCellSpacing w:w="15" w:type="dxa"/>
              <w:tblLook w:val="04A0" w:firstRow="1" w:lastRow="0" w:firstColumn="1" w:lastColumn="0" w:noHBand="0" w:noVBand="1"/>
            </w:tblPr>
            <w:tblGrid>
              <w:gridCol w:w="4178"/>
            </w:tblGrid>
            <w:tr w:rsidR="00440148" w:rsidRPr="002E3B2A" w14:paraId="40BAE2DC" w14:textId="77777777">
              <w:trPr>
                <w:tblCellSpacing w:w="15" w:type="dxa"/>
              </w:trPr>
              <w:tc>
                <w:tcPr>
                  <w:tcW w:w="0" w:type="auto"/>
                  <w:tcMar>
                    <w:top w:w="15" w:type="dxa"/>
                    <w:left w:w="15" w:type="dxa"/>
                    <w:bottom w:w="15" w:type="dxa"/>
                    <w:right w:w="15" w:type="dxa"/>
                  </w:tcMar>
                  <w:vAlign w:val="center"/>
                  <w:hideMark/>
                </w:tcPr>
                <w:p w14:paraId="1BE87AC7"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Conclusion of mentoring cycle, feedback collection, mentor recognition (certificates), and evaluation of pilot phase</w:t>
                  </w:r>
                </w:p>
              </w:tc>
            </w:tr>
          </w:tbl>
          <w:p w14:paraId="5C9DDF19" w14:textId="77777777" w:rsidR="00440148" w:rsidRPr="002E3B2A" w:rsidRDefault="00440148" w:rsidP="00855F11">
            <w:pPr>
              <w:spacing w:after="160" w:line="259" w:lineRule="auto"/>
              <w:jc w:val="both"/>
              <w:rPr>
                <w:rFonts w:ascii="Open Sans" w:hAnsi="Open Sans" w:cs="Open Sans"/>
                <w:lang w:val="en-GB"/>
              </w:rPr>
            </w:pPr>
          </w:p>
        </w:tc>
        <w:tc>
          <w:tcPr>
            <w:tcW w:w="1556" w:type="dxa"/>
            <w:tcBorders>
              <w:top w:val="single" w:sz="4" w:space="0" w:color="auto"/>
              <w:left w:val="single" w:sz="4" w:space="0" w:color="auto"/>
              <w:bottom w:val="single" w:sz="4" w:space="0" w:color="auto"/>
              <w:right w:val="single" w:sz="4" w:space="0" w:color="auto"/>
            </w:tcBorders>
            <w:hideMark/>
          </w:tcPr>
          <w:p w14:paraId="2F849F5E"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Working group</w:t>
            </w:r>
          </w:p>
        </w:tc>
      </w:tr>
    </w:tbl>
    <w:p w14:paraId="3657604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br w:type="page"/>
      </w:r>
    </w:p>
    <w:p w14:paraId="1DF3A42B" w14:textId="77777777" w:rsidR="00440148" w:rsidRPr="002E3B2A" w:rsidRDefault="00440148" w:rsidP="003176D1">
      <w:pPr>
        <w:pStyle w:val="Heading2"/>
        <w:rPr>
          <w:rFonts w:ascii="Open Sans" w:hAnsi="Open Sans" w:cs="Open Sans"/>
          <w:lang w:val="en-GB"/>
        </w:rPr>
      </w:pPr>
      <w:bookmarkStart w:id="37" w:name="_Toc220660664"/>
      <w:bookmarkStart w:id="38" w:name="_Toc221098333"/>
      <w:bookmarkStart w:id="39" w:name="_Toc221100065"/>
      <w:bookmarkStart w:id="40" w:name="_Toc221287161"/>
      <w:r w:rsidRPr="002E3B2A">
        <w:rPr>
          <w:rFonts w:ascii="Open Sans" w:hAnsi="Open Sans" w:cs="Open Sans"/>
          <w:lang w:val="en-GB"/>
        </w:rPr>
        <w:t>Reclaiming the Right to the City: Youth-Led Housing Justice in the Adriatic–Ionian Region</w:t>
      </w:r>
      <w:bookmarkEnd w:id="37"/>
      <w:bookmarkEnd w:id="38"/>
      <w:bookmarkEnd w:id="39"/>
      <w:bookmarkEnd w:id="40"/>
    </w:p>
    <w:p w14:paraId="7A2232C6" w14:textId="2A83777B" w:rsidR="00440148" w:rsidRPr="002E3B2A" w:rsidRDefault="00440148" w:rsidP="00855F11">
      <w:pPr>
        <w:pStyle w:val="ListParagraph"/>
        <w:numPr>
          <w:ilvl w:val="0"/>
          <w:numId w:val="28"/>
        </w:numPr>
        <w:jc w:val="both"/>
        <w:rPr>
          <w:rFonts w:ascii="Open Sans" w:hAnsi="Open Sans" w:cs="Open Sans"/>
          <w:u w:val="single"/>
          <w:lang w:val="en-GB"/>
        </w:rPr>
      </w:pPr>
      <w:r w:rsidRPr="002E3B2A">
        <w:rPr>
          <w:rFonts w:ascii="Open Sans" w:hAnsi="Open Sans" w:cs="Open Sans"/>
          <w:u w:val="single"/>
          <w:lang w:val="en-GB"/>
        </w:rPr>
        <w:t>Main theme/Topic</w:t>
      </w:r>
    </w:p>
    <w:p w14:paraId="41F96DD7" w14:textId="0A0B9A11" w:rsidR="00440148" w:rsidRPr="002E3B2A" w:rsidRDefault="00440148" w:rsidP="00855F11">
      <w:pPr>
        <w:jc w:val="both"/>
        <w:rPr>
          <w:rFonts w:ascii="Open Sans" w:hAnsi="Open Sans" w:cs="Open Sans"/>
          <w:lang w:val="en-GB"/>
        </w:rPr>
      </w:pPr>
      <w:r w:rsidRPr="002E3B2A">
        <w:rPr>
          <w:rFonts w:ascii="Open Sans" w:hAnsi="Open Sans" w:cs="Open Sans"/>
          <w:lang w:val="en-GB"/>
        </w:rPr>
        <w:t>Youth engagement, social cohesion, and social innovation, with a focus on housing as a key enabling condition for youth participation, inclusion, employability, and resilience in the Adriatic–Ionian macro-region.</w:t>
      </w:r>
    </w:p>
    <w:p w14:paraId="18F7A04F" w14:textId="59509644" w:rsidR="00440148" w:rsidRPr="002E3B2A" w:rsidRDefault="00440148" w:rsidP="00855F11">
      <w:pPr>
        <w:pStyle w:val="ListParagraph"/>
        <w:numPr>
          <w:ilvl w:val="0"/>
          <w:numId w:val="28"/>
        </w:numPr>
        <w:jc w:val="both"/>
        <w:rPr>
          <w:rFonts w:ascii="Open Sans" w:hAnsi="Open Sans" w:cs="Open Sans"/>
          <w:u w:val="single"/>
          <w:lang w:val="en-GB"/>
        </w:rPr>
      </w:pPr>
      <w:r w:rsidRPr="002E3B2A">
        <w:rPr>
          <w:rFonts w:ascii="Open Sans" w:hAnsi="Open Sans" w:cs="Open Sans"/>
          <w:u w:val="single"/>
          <w:lang w:val="en-GB"/>
        </w:rPr>
        <w:t>Goals and objectives</w:t>
      </w:r>
    </w:p>
    <w:p w14:paraId="6ECDA9F3"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Overall Goal</w:t>
      </w:r>
    </w:p>
    <w:p w14:paraId="62FDB268"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To strengthen social cohesion in the Adriatic–Ionian region by empowering young people to actively participate in social and economic life through youth-led engagement on housing-related challenges.</w:t>
      </w:r>
    </w:p>
    <w:p w14:paraId="39B2259C"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Specific Objectives</w:t>
      </w:r>
    </w:p>
    <w:p w14:paraId="0259A5BF" w14:textId="77777777" w:rsidR="00440148" w:rsidRPr="002E3B2A" w:rsidRDefault="00440148" w:rsidP="00855F11">
      <w:pPr>
        <w:numPr>
          <w:ilvl w:val="0"/>
          <w:numId w:val="8"/>
        </w:numPr>
        <w:jc w:val="both"/>
        <w:rPr>
          <w:rFonts w:ascii="Open Sans" w:hAnsi="Open Sans" w:cs="Open Sans"/>
          <w:lang w:val="en-GB"/>
        </w:rPr>
      </w:pPr>
      <w:r w:rsidRPr="002E3B2A">
        <w:rPr>
          <w:rFonts w:ascii="Open Sans" w:hAnsi="Open Sans" w:cs="Open Sans"/>
          <w:lang w:val="en-GB"/>
        </w:rPr>
        <w:t>To explore and document housing-related challenges affecting young people in selected EUSAIR and macro-regional partner cities.</w:t>
      </w:r>
    </w:p>
    <w:p w14:paraId="44383C38" w14:textId="77777777" w:rsidR="00440148" w:rsidRPr="002E3B2A" w:rsidRDefault="00440148" w:rsidP="00855F11">
      <w:pPr>
        <w:numPr>
          <w:ilvl w:val="0"/>
          <w:numId w:val="8"/>
        </w:numPr>
        <w:jc w:val="both"/>
        <w:rPr>
          <w:rFonts w:ascii="Open Sans" w:hAnsi="Open Sans" w:cs="Open Sans"/>
          <w:lang w:val="en-GB"/>
        </w:rPr>
      </w:pPr>
      <w:r w:rsidRPr="002E3B2A">
        <w:rPr>
          <w:rFonts w:ascii="Open Sans" w:hAnsi="Open Sans" w:cs="Open Sans"/>
          <w:lang w:val="en-GB"/>
        </w:rPr>
        <w:t>To strengthen youth capacity to participate in local policymaking through dialogue, participatory mapping, and co-design approaches.</w:t>
      </w:r>
    </w:p>
    <w:p w14:paraId="3C6B1427" w14:textId="77777777" w:rsidR="00440148" w:rsidRPr="002E3B2A" w:rsidRDefault="00440148" w:rsidP="00855F11">
      <w:pPr>
        <w:numPr>
          <w:ilvl w:val="0"/>
          <w:numId w:val="8"/>
        </w:numPr>
        <w:jc w:val="both"/>
        <w:rPr>
          <w:rFonts w:ascii="Open Sans" w:hAnsi="Open Sans" w:cs="Open Sans"/>
          <w:lang w:val="en-GB"/>
        </w:rPr>
      </w:pPr>
      <w:r w:rsidRPr="002E3B2A">
        <w:rPr>
          <w:rFonts w:ascii="Open Sans" w:hAnsi="Open Sans" w:cs="Open Sans"/>
          <w:lang w:val="en-GB"/>
        </w:rPr>
        <w:t>To pilot social innovation practices that connect youth engagement, housing, and even urban development.</w:t>
      </w:r>
    </w:p>
    <w:p w14:paraId="72F0E48C" w14:textId="77777777" w:rsidR="00440148" w:rsidRPr="002E3B2A" w:rsidRDefault="00440148" w:rsidP="00855F11">
      <w:pPr>
        <w:numPr>
          <w:ilvl w:val="0"/>
          <w:numId w:val="8"/>
        </w:numPr>
        <w:jc w:val="both"/>
        <w:rPr>
          <w:rFonts w:ascii="Open Sans" w:hAnsi="Open Sans" w:cs="Open Sans"/>
          <w:lang w:val="en-GB"/>
        </w:rPr>
      </w:pPr>
      <w:r w:rsidRPr="002E3B2A">
        <w:rPr>
          <w:rFonts w:ascii="Open Sans" w:hAnsi="Open Sans" w:cs="Open Sans"/>
          <w:lang w:val="en-GB"/>
        </w:rPr>
        <w:t>To contribute youth-generated evidence and recommendations to macro-regional policy dialogue under Pillar 5.</w:t>
      </w:r>
    </w:p>
    <w:p w14:paraId="320CCDFF" w14:textId="77777777" w:rsidR="00440148" w:rsidRPr="002E3B2A" w:rsidRDefault="00440148" w:rsidP="00855F11">
      <w:pPr>
        <w:jc w:val="both"/>
        <w:rPr>
          <w:rFonts w:ascii="Open Sans" w:hAnsi="Open Sans" w:cs="Open Sans"/>
          <w:lang w:val="en-GB"/>
        </w:rPr>
      </w:pPr>
    </w:p>
    <w:p w14:paraId="30477A44" w14:textId="77777777" w:rsidR="00440148" w:rsidRPr="002E3B2A" w:rsidRDefault="00440148" w:rsidP="00855F11">
      <w:pPr>
        <w:numPr>
          <w:ilvl w:val="0"/>
          <w:numId w:val="28"/>
        </w:numPr>
        <w:jc w:val="both"/>
        <w:rPr>
          <w:rFonts w:ascii="Open Sans" w:hAnsi="Open Sans" w:cs="Open Sans"/>
          <w:u w:val="single"/>
          <w:lang w:val="en-GB"/>
        </w:rPr>
      </w:pPr>
      <w:r w:rsidRPr="002E3B2A">
        <w:rPr>
          <w:rFonts w:ascii="Open Sans" w:hAnsi="Open Sans" w:cs="Open Sans"/>
          <w:u w:val="single"/>
          <w:lang w:val="en-GB"/>
        </w:rPr>
        <w:t>Why does this matter for Youth in the EUSAIR region?</w:t>
      </w:r>
    </w:p>
    <w:p w14:paraId="412A593F"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Across the Adriatic–Ionian region, housing insecurity increasingly affects young people's ability to access education, employment, training, and civic life. Rising housing costs, lack of affordable options, and spatial inequalities contribute to youth precarity, outmigration, and social exclusion, particularly for students, young workers, and migrant and refugee youth.</w:t>
      </w:r>
    </w:p>
    <w:p w14:paraId="10AE97DD"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Housing functions as a </w:t>
      </w:r>
      <w:r w:rsidRPr="002E3B2A">
        <w:rPr>
          <w:rFonts w:ascii="Open Sans" w:hAnsi="Open Sans" w:cs="Open Sans"/>
          <w:b/>
          <w:bCs/>
          <w:lang w:val="en-GB"/>
        </w:rPr>
        <w:t>structural condition</w:t>
      </w:r>
      <w:r w:rsidRPr="002E3B2A">
        <w:rPr>
          <w:rFonts w:ascii="Open Sans" w:hAnsi="Open Sans" w:cs="Open Sans"/>
          <w:lang w:val="en-GB"/>
        </w:rPr>
        <w:t xml:space="preserve"> for youth participation and labor market access. Addressing housing-related challenges through youth engagement strengthens resilience, equal opportunities, and social cohesion, in line with Pillar 5 objectives and EU-aligned priorities.</w:t>
      </w:r>
    </w:p>
    <w:p w14:paraId="1504A1D3" w14:textId="77777777" w:rsidR="00440148" w:rsidRPr="002E3B2A" w:rsidRDefault="00440148" w:rsidP="00855F11">
      <w:pPr>
        <w:jc w:val="both"/>
        <w:rPr>
          <w:rFonts w:ascii="Open Sans" w:hAnsi="Open Sans" w:cs="Open Sans"/>
          <w:lang w:val="en-GB"/>
        </w:rPr>
      </w:pPr>
    </w:p>
    <w:p w14:paraId="6DC0D964" w14:textId="77777777" w:rsidR="00440148" w:rsidRPr="002E3B2A" w:rsidRDefault="00440148" w:rsidP="00855F11">
      <w:pPr>
        <w:numPr>
          <w:ilvl w:val="0"/>
          <w:numId w:val="28"/>
        </w:numPr>
        <w:jc w:val="both"/>
        <w:rPr>
          <w:rFonts w:ascii="Open Sans" w:hAnsi="Open Sans" w:cs="Open Sans"/>
          <w:u w:val="single"/>
          <w:lang w:val="en-GB"/>
        </w:rPr>
      </w:pPr>
      <w:r w:rsidRPr="002E3B2A">
        <w:rPr>
          <w:rFonts w:ascii="Open Sans" w:hAnsi="Open Sans" w:cs="Open Sans"/>
          <w:u w:val="single"/>
          <w:lang w:val="en-GB"/>
        </w:rPr>
        <w:t>Description of the initiative</w:t>
      </w:r>
    </w:p>
    <w:p w14:paraId="1A60C4F2" w14:textId="4AED86EA" w:rsidR="00440148" w:rsidRPr="002E3B2A" w:rsidRDefault="00440148" w:rsidP="00855F11">
      <w:pPr>
        <w:jc w:val="both"/>
        <w:rPr>
          <w:rFonts w:ascii="Open Sans" w:hAnsi="Open Sans" w:cs="Open Sans"/>
          <w:lang w:val="en-GB"/>
        </w:rPr>
      </w:pPr>
      <w:r w:rsidRPr="002E3B2A">
        <w:rPr>
          <w:rFonts w:ascii="Open Sans" w:hAnsi="Open Sans" w:cs="Open Sans"/>
          <w:lang w:val="en-GB"/>
        </w:rPr>
        <w:t>“Reclaiming the Right to the City” is a youth-led flagship initiative that frames housing as a social cohesion and youth participation issue rather than a technical or regulatory matter. Inspired by the concept of the Right to the City, the initiative positions young people as active contributors to local and macro-regional dialogue on inclusive and sustainable urban development.</w:t>
      </w:r>
      <w:r w:rsidRPr="002E3B2A">
        <w:rPr>
          <w:rFonts w:ascii="Open Sans" w:hAnsi="Open Sans" w:cs="Open Sans"/>
          <w:lang w:val="en-GB"/>
        </w:rPr>
        <w:br/>
      </w:r>
      <w:r w:rsidRPr="002E3B2A">
        <w:rPr>
          <w:rFonts w:ascii="Open Sans" w:hAnsi="Open Sans" w:cs="Open Sans"/>
          <w:i/>
          <w:iCs/>
          <w:lang w:val="en-GB"/>
        </w:rPr>
        <w:br/>
      </w:r>
      <w:r w:rsidRPr="002E3B2A">
        <w:rPr>
          <w:rFonts w:ascii="Open Sans" w:hAnsi="Open Sans" w:cs="Open Sans"/>
          <w:lang w:val="en-GB"/>
        </w:rPr>
        <w:t>Implementation Approach</w:t>
      </w:r>
    </w:p>
    <w:p w14:paraId="0D7035E2" w14:textId="05291A87" w:rsidR="00440148" w:rsidRPr="002E3B2A" w:rsidRDefault="00440148" w:rsidP="00855F11">
      <w:pPr>
        <w:jc w:val="both"/>
        <w:rPr>
          <w:rFonts w:ascii="Open Sans" w:hAnsi="Open Sans" w:cs="Open Sans"/>
          <w:lang w:val="en-GB"/>
        </w:rPr>
      </w:pPr>
      <w:r w:rsidRPr="002E3B2A">
        <w:rPr>
          <w:rFonts w:ascii="Open Sans" w:hAnsi="Open Sans" w:cs="Open Sans"/>
          <w:lang w:val="en-GB"/>
        </w:rPr>
        <w:t>The initiative is designed with a phased and scalable approach</w:t>
      </w:r>
      <w:r w:rsidR="004928BB" w:rsidRPr="002E3B2A">
        <w:rPr>
          <w:rFonts w:ascii="Open Sans" w:hAnsi="Open Sans" w:cs="Open Sans"/>
          <w:lang w:val="en-GB"/>
        </w:rPr>
        <w:t>.</w:t>
      </w:r>
    </w:p>
    <w:p w14:paraId="24CFDAE5" w14:textId="14EB4FD0" w:rsidR="00440148" w:rsidRPr="002E3B2A" w:rsidRDefault="00440148" w:rsidP="005F7C50">
      <w:pPr>
        <w:rPr>
          <w:rFonts w:ascii="Open Sans" w:hAnsi="Open Sans" w:cs="Open Sans"/>
          <w:lang w:val="en-GB"/>
        </w:rPr>
      </w:pPr>
      <w:r w:rsidRPr="002E3B2A">
        <w:rPr>
          <w:rFonts w:ascii="Open Sans" w:hAnsi="Open Sans" w:cs="Open Sans"/>
          <w:lang w:val="en-US"/>
        </w:rPr>
        <w:t>Phase 1 – Pilot Phase</w:t>
      </w:r>
      <w:r w:rsidRPr="002E3B2A">
        <w:rPr>
          <w:rFonts w:ascii="Open Sans" w:hAnsi="Open Sans" w:cs="Open Sans"/>
          <w:lang w:val="en-US"/>
        </w:rPr>
        <w:br/>
      </w:r>
      <w:r w:rsidRPr="002E3B2A">
        <w:rPr>
          <w:rFonts w:ascii="Open Sans" w:hAnsi="Open Sans" w:cs="Open Sans"/>
          <w:lang w:val="en-GB"/>
        </w:rPr>
        <w:t>The pilot phase will be implemented in 1–2 cities, potentially including:</w:t>
      </w:r>
    </w:p>
    <w:p w14:paraId="550D5B15" w14:textId="77777777" w:rsidR="00440148" w:rsidRPr="002E3B2A" w:rsidRDefault="00440148" w:rsidP="00855F11">
      <w:pPr>
        <w:numPr>
          <w:ilvl w:val="0"/>
          <w:numId w:val="9"/>
        </w:numPr>
        <w:jc w:val="both"/>
        <w:rPr>
          <w:rFonts w:ascii="Open Sans" w:hAnsi="Open Sans" w:cs="Open Sans"/>
          <w:lang w:val="en-GB"/>
        </w:rPr>
      </w:pPr>
      <w:r w:rsidRPr="002E3B2A">
        <w:rPr>
          <w:rFonts w:ascii="Open Sans" w:hAnsi="Open Sans" w:cs="Open Sans"/>
          <w:lang w:val="en-GB"/>
        </w:rPr>
        <w:t>one EUSAIR city in an EU Member State, and</w:t>
      </w:r>
    </w:p>
    <w:p w14:paraId="7C6C10F0" w14:textId="77777777" w:rsidR="00440148" w:rsidRPr="002E3B2A" w:rsidRDefault="00440148" w:rsidP="00855F11">
      <w:pPr>
        <w:numPr>
          <w:ilvl w:val="0"/>
          <w:numId w:val="9"/>
        </w:numPr>
        <w:jc w:val="both"/>
        <w:rPr>
          <w:rFonts w:ascii="Open Sans" w:hAnsi="Open Sans" w:cs="Open Sans"/>
          <w:lang w:val="en-GB"/>
        </w:rPr>
      </w:pPr>
      <w:r w:rsidRPr="002E3B2A">
        <w:rPr>
          <w:rFonts w:ascii="Open Sans" w:hAnsi="Open Sans" w:cs="Open Sans"/>
          <w:lang w:val="en-GB"/>
        </w:rPr>
        <w:t xml:space="preserve">one macro-regional partner city in the Western Balkans (eg Skopje), </w:t>
      </w:r>
      <w:r w:rsidRPr="002E3B2A">
        <w:rPr>
          <w:rFonts w:ascii="Open Sans" w:hAnsi="Open Sans" w:cs="Open Sans"/>
          <w:lang w:val="en-GB"/>
        </w:rPr>
        <w:br/>
        <w:t>to reflect EUSAIR's inclusive macro-regional logic.</w:t>
      </w:r>
    </w:p>
    <w:p w14:paraId="58D2BEFF"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Pilot activities include:</w:t>
      </w:r>
    </w:p>
    <w:p w14:paraId="27F62790" w14:textId="77777777" w:rsidR="00440148" w:rsidRPr="002E3B2A" w:rsidRDefault="00440148" w:rsidP="00855F11">
      <w:pPr>
        <w:numPr>
          <w:ilvl w:val="0"/>
          <w:numId w:val="10"/>
        </w:numPr>
        <w:jc w:val="both"/>
        <w:rPr>
          <w:rFonts w:ascii="Open Sans" w:hAnsi="Open Sans" w:cs="Open Sans"/>
          <w:lang w:val="en-GB"/>
        </w:rPr>
      </w:pPr>
      <w:r w:rsidRPr="002E3B2A">
        <w:rPr>
          <w:rFonts w:ascii="Open Sans" w:hAnsi="Open Sans" w:cs="Open Sans"/>
          <w:lang w:val="en-GB"/>
        </w:rPr>
        <w:t>a Youth Housing Dialogue Lab (workshop-based youth engagement),</w:t>
      </w:r>
    </w:p>
    <w:p w14:paraId="29587A82" w14:textId="5BEF9D31" w:rsidR="00440148" w:rsidRPr="002E3B2A" w:rsidRDefault="00440148" w:rsidP="00855F11">
      <w:pPr>
        <w:numPr>
          <w:ilvl w:val="0"/>
          <w:numId w:val="10"/>
        </w:numPr>
        <w:jc w:val="both"/>
        <w:rPr>
          <w:rFonts w:ascii="Open Sans" w:hAnsi="Open Sans" w:cs="Open Sans"/>
          <w:lang w:val="en-GB"/>
        </w:rPr>
      </w:pPr>
      <w:r w:rsidRPr="002E3B2A">
        <w:rPr>
          <w:rFonts w:ascii="Open Sans" w:hAnsi="Open Sans" w:cs="Open Sans"/>
          <w:lang w:val="en-GB"/>
        </w:rPr>
        <w:t>a targeted participatory mapping exercise (</w:t>
      </w:r>
      <w:r w:rsidR="00C30679" w:rsidRPr="002E3B2A">
        <w:rPr>
          <w:rFonts w:ascii="Open Sans" w:hAnsi="Open Sans" w:cs="Open Sans"/>
          <w:lang w:val="en-GB"/>
        </w:rPr>
        <w:t>e.g.</w:t>
      </w:r>
      <w:r w:rsidRPr="002E3B2A">
        <w:rPr>
          <w:rFonts w:ascii="Open Sans" w:hAnsi="Open Sans" w:cs="Open Sans"/>
          <w:lang w:val="en-GB"/>
        </w:rPr>
        <w:t xml:space="preserve"> housing affordability, access to services, vacant buildings),</w:t>
      </w:r>
    </w:p>
    <w:p w14:paraId="426093BC" w14:textId="77777777" w:rsidR="00440148" w:rsidRPr="002E3B2A" w:rsidRDefault="00440148" w:rsidP="00855F11">
      <w:pPr>
        <w:numPr>
          <w:ilvl w:val="0"/>
          <w:numId w:val="10"/>
        </w:numPr>
        <w:jc w:val="both"/>
        <w:rPr>
          <w:rFonts w:ascii="Open Sans" w:hAnsi="Open Sans" w:cs="Open Sans"/>
          <w:lang w:val="en-GB"/>
        </w:rPr>
      </w:pPr>
      <w:r w:rsidRPr="002E3B2A">
        <w:rPr>
          <w:rFonts w:ascii="Open Sans" w:hAnsi="Open Sans" w:cs="Open Sans"/>
          <w:lang w:val="en-GB"/>
        </w:rPr>
        <w:t>a structured policy dialogue session with municipal representatives and local stakeholders.</w:t>
      </w:r>
    </w:p>
    <w:p w14:paraId="0E106A38" w14:textId="77777777" w:rsidR="00440148" w:rsidRPr="002E3B2A" w:rsidRDefault="00440148" w:rsidP="005F7C50">
      <w:pPr>
        <w:rPr>
          <w:rFonts w:ascii="Open Sans" w:hAnsi="Open Sans" w:cs="Open Sans"/>
          <w:lang w:val="en-GB"/>
        </w:rPr>
      </w:pPr>
      <w:r w:rsidRPr="002E3B2A">
        <w:rPr>
          <w:rFonts w:ascii="Open Sans" w:hAnsi="Open Sans" w:cs="Open Sans"/>
          <w:lang w:val="en-GB"/>
        </w:rPr>
        <w:t>Phase 2 – Scaling Phase (subject to evaluation and resources)</w:t>
      </w:r>
      <w:r w:rsidRPr="002E3B2A">
        <w:rPr>
          <w:rFonts w:ascii="Open Sans" w:hAnsi="Open Sans" w:cs="Open Sans"/>
          <w:lang w:val="en-GB"/>
        </w:rPr>
        <w:br/>
        <w:t>Based on pilot outcomes, activities may be expanded to additional cities and report broader macro-regional exchange and visibility.</w:t>
      </w:r>
    </w:p>
    <w:p w14:paraId="50AFF29E" w14:textId="13A79FCE" w:rsidR="00440148" w:rsidRPr="002E3B2A" w:rsidRDefault="00440148" w:rsidP="00855F11">
      <w:pPr>
        <w:jc w:val="both"/>
        <w:rPr>
          <w:rFonts w:ascii="Open Sans" w:hAnsi="Open Sans" w:cs="Open Sans"/>
          <w:lang w:val="en-GB"/>
        </w:rPr>
      </w:pPr>
      <w:r w:rsidRPr="002E3B2A">
        <w:rPr>
          <w:rFonts w:ascii="Open Sans" w:hAnsi="Open Sans" w:cs="Open Sans"/>
          <w:lang w:val="en-GB"/>
        </w:rPr>
        <w:t>The initiative does not implement housing policy or infrastructure projects. It supports youth participation, evidence generation, and social innovation, respecting subsidiarity and diverse governance contexts across EU and non-EU countries.</w:t>
      </w:r>
    </w:p>
    <w:p w14:paraId="08FB7D61" w14:textId="77777777" w:rsidR="00440148" w:rsidRPr="002E3B2A" w:rsidRDefault="00440148" w:rsidP="00855F11">
      <w:pPr>
        <w:jc w:val="both"/>
        <w:rPr>
          <w:rFonts w:ascii="Open Sans" w:hAnsi="Open Sans" w:cs="Open Sans"/>
          <w:lang w:val="en-GB"/>
        </w:rPr>
      </w:pPr>
    </w:p>
    <w:p w14:paraId="3305ADE2" w14:textId="4AB89E31" w:rsidR="00440148" w:rsidRPr="002E3B2A" w:rsidRDefault="00440148" w:rsidP="00855F11">
      <w:pPr>
        <w:pStyle w:val="ListParagraph"/>
        <w:numPr>
          <w:ilvl w:val="0"/>
          <w:numId w:val="28"/>
        </w:numPr>
        <w:jc w:val="both"/>
        <w:rPr>
          <w:rFonts w:ascii="Open Sans" w:hAnsi="Open Sans" w:cs="Open Sans"/>
          <w:u w:val="single"/>
          <w:lang w:val="en-GB"/>
        </w:rPr>
      </w:pPr>
      <w:r w:rsidRPr="002E3B2A">
        <w:rPr>
          <w:rFonts w:ascii="Open Sans" w:hAnsi="Open Sans" w:cs="Open Sans"/>
          <w:u w:val="single"/>
          <w:lang w:val="en-GB"/>
        </w:rPr>
        <w:t>Working group</w:t>
      </w:r>
    </w:p>
    <w:p w14:paraId="1A7EAD11" w14:textId="283E4D62" w:rsidR="00440148" w:rsidRPr="002E3B2A" w:rsidRDefault="00440148" w:rsidP="006A6459">
      <w:pPr>
        <w:jc w:val="both"/>
        <w:rPr>
          <w:rFonts w:ascii="Open Sans" w:hAnsi="Open Sans" w:cs="Open Sans"/>
          <w:lang w:val="en-GB"/>
        </w:rPr>
      </w:pPr>
      <w:r w:rsidRPr="002E3B2A">
        <w:rPr>
          <w:rFonts w:ascii="Open Sans" w:hAnsi="Open Sans" w:cs="Open Sans"/>
          <w:lang w:val="en-GB"/>
        </w:rPr>
        <w:t>Coordinator – overall coordination and liaison with EUSAIR bodies</w:t>
      </w:r>
    </w:p>
    <w:p w14:paraId="08C21402" w14:textId="77777777" w:rsidR="00440148" w:rsidRPr="002E3B2A" w:rsidRDefault="00440148" w:rsidP="006A6459">
      <w:pPr>
        <w:jc w:val="both"/>
        <w:rPr>
          <w:rFonts w:ascii="Open Sans" w:hAnsi="Open Sans" w:cs="Open Sans"/>
          <w:lang w:val="en-GB"/>
        </w:rPr>
      </w:pPr>
      <w:r w:rsidRPr="002E3B2A">
        <w:rPr>
          <w:rFonts w:ascii="Open Sans" w:hAnsi="Open Sans" w:cs="Open Sans"/>
          <w:lang w:val="en-GB"/>
        </w:rPr>
        <w:t>Youth Engagement Lead – inclusion of diverse youth voices</w:t>
      </w:r>
    </w:p>
    <w:p w14:paraId="1886585C" w14:textId="77777777" w:rsidR="00440148" w:rsidRPr="002E3B2A" w:rsidRDefault="00440148" w:rsidP="006A6459">
      <w:pPr>
        <w:jc w:val="both"/>
        <w:rPr>
          <w:rFonts w:ascii="Open Sans" w:hAnsi="Open Sans" w:cs="Open Sans"/>
          <w:lang w:val="en-GB"/>
        </w:rPr>
      </w:pPr>
      <w:r w:rsidRPr="002E3B2A">
        <w:rPr>
          <w:rFonts w:ascii="Open Sans" w:hAnsi="Open Sans" w:cs="Open Sans"/>
          <w:lang w:val="en-GB"/>
        </w:rPr>
        <w:t>Policy &amp; Research Lead – alignment with Pillar 5 objectives and outputs</w:t>
      </w:r>
    </w:p>
    <w:p w14:paraId="74F88DC5" w14:textId="77777777" w:rsidR="00440148" w:rsidRPr="002E3B2A" w:rsidRDefault="00440148" w:rsidP="006A6459">
      <w:pPr>
        <w:jc w:val="both"/>
        <w:rPr>
          <w:rFonts w:ascii="Open Sans" w:hAnsi="Open Sans" w:cs="Open Sans"/>
          <w:lang w:val="en-GB"/>
        </w:rPr>
      </w:pPr>
      <w:r w:rsidRPr="002E3B2A">
        <w:rPr>
          <w:rFonts w:ascii="Open Sans" w:hAnsi="Open Sans" w:cs="Open Sans"/>
          <w:lang w:val="en-GB"/>
        </w:rPr>
        <w:t>Mapping / Digital Lead – participatory mapping and data collection</w:t>
      </w:r>
    </w:p>
    <w:p w14:paraId="5421774F" w14:textId="5DCD8B48" w:rsidR="00440148" w:rsidRPr="002E3B2A" w:rsidRDefault="00440148" w:rsidP="006A6459">
      <w:pPr>
        <w:jc w:val="both"/>
        <w:rPr>
          <w:rFonts w:ascii="Open Sans" w:hAnsi="Open Sans" w:cs="Open Sans"/>
          <w:lang w:val="en-GB"/>
        </w:rPr>
      </w:pPr>
      <w:r w:rsidRPr="002E3B2A">
        <w:rPr>
          <w:rFonts w:ascii="Open Sans" w:hAnsi="Open Sans" w:cs="Open Sans"/>
          <w:lang w:val="en-GB"/>
        </w:rPr>
        <w:t>Communication Lead – visibility and dissemination</w:t>
      </w:r>
    </w:p>
    <w:p w14:paraId="22EAF73B" w14:textId="77777777" w:rsidR="00440148" w:rsidRPr="002E3B2A" w:rsidRDefault="00440148" w:rsidP="00855F11">
      <w:pPr>
        <w:numPr>
          <w:ilvl w:val="0"/>
          <w:numId w:val="6"/>
        </w:numPr>
        <w:jc w:val="both"/>
        <w:rPr>
          <w:rFonts w:ascii="Open Sans" w:hAnsi="Open Sans" w:cs="Open Sans"/>
          <w:lang w:val="en-GB"/>
        </w:rPr>
      </w:pPr>
      <w:r w:rsidRPr="002E3B2A">
        <w:rPr>
          <w:rFonts w:ascii="Open Sans" w:hAnsi="Open Sans" w:cs="Open Sans"/>
          <w:lang w:val="en-GB"/>
        </w:rPr>
        <w:t>Whether the working group will consist only of EYC members or if cooperation with other stakeholders, institutions, or external partners is planned</w:t>
      </w:r>
      <w:r w:rsidRPr="002E3B2A">
        <w:rPr>
          <w:rFonts w:ascii="Open Sans" w:hAnsi="Open Sans" w:cs="Open Sans"/>
          <w:lang w:val="en-GB"/>
        </w:rPr>
        <w:br/>
      </w:r>
    </w:p>
    <w:p w14:paraId="2B1B4AA2"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The working group will consist primarily of EYC members, with </w:t>
      </w:r>
      <w:r w:rsidRPr="002E3B2A">
        <w:rPr>
          <w:rFonts w:ascii="Open Sans" w:hAnsi="Open Sans" w:cs="Open Sans"/>
          <w:b/>
          <w:bCs/>
          <w:lang w:val="en-GB"/>
        </w:rPr>
        <w:t>selective cooperation</w:t>
      </w:r>
      <w:r w:rsidRPr="002E3B2A">
        <w:rPr>
          <w:rFonts w:ascii="Open Sans" w:hAnsi="Open Sans" w:cs="Open Sans"/>
          <w:lang w:val="en-GB"/>
        </w:rPr>
        <w:t xml:space="preserve"> planned with:</w:t>
      </w:r>
    </w:p>
    <w:p w14:paraId="510AE52B" w14:textId="77777777" w:rsidR="00440148" w:rsidRPr="002E3B2A" w:rsidRDefault="00440148" w:rsidP="00855F11">
      <w:pPr>
        <w:numPr>
          <w:ilvl w:val="0"/>
          <w:numId w:val="12"/>
        </w:numPr>
        <w:jc w:val="both"/>
        <w:rPr>
          <w:rFonts w:ascii="Open Sans" w:hAnsi="Open Sans" w:cs="Open Sans"/>
          <w:lang w:val="en-GB"/>
        </w:rPr>
      </w:pPr>
      <w:r w:rsidRPr="002E3B2A">
        <w:rPr>
          <w:rFonts w:ascii="Open Sans" w:hAnsi="Open Sans" w:cs="Open Sans"/>
          <w:lang w:val="en-GB"/>
        </w:rPr>
        <w:t>municipalities,</w:t>
      </w:r>
    </w:p>
    <w:p w14:paraId="2A0684EE" w14:textId="77777777" w:rsidR="00440148" w:rsidRPr="002E3B2A" w:rsidRDefault="00440148" w:rsidP="00855F11">
      <w:pPr>
        <w:numPr>
          <w:ilvl w:val="0"/>
          <w:numId w:val="12"/>
        </w:numPr>
        <w:jc w:val="both"/>
        <w:rPr>
          <w:rFonts w:ascii="Open Sans" w:hAnsi="Open Sans" w:cs="Open Sans"/>
          <w:lang w:val="en-GB"/>
        </w:rPr>
      </w:pPr>
      <w:r w:rsidRPr="002E3B2A">
        <w:rPr>
          <w:rFonts w:ascii="Open Sans" w:hAnsi="Open Sans" w:cs="Open Sans"/>
          <w:lang w:val="en-GB"/>
        </w:rPr>
        <w:t>youth and civil society organisations,</w:t>
      </w:r>
    </w:p>
    <w:p w14:paraId="57265DED" w14:textId="77777777" w:rsidR="00440148" w:rsidRPr="002E3B2A" w:rsidRDefault="00440148" w:rsidP="00855F11">
      <w:pPr>
        <w:numPr>
          <w:ilvl w:val="0"/>
          <w:numId w:val="12"/>
        </w:numPr>
        <w:jc w:val="both"/>
        <w:rPr>
          <w:rFonts w:ascii="Open Sans" w:hAnsi="Open Sans" w:cs="Open Sans"/>
          <w:lang w:val="en-GB"/>
        </w:rPr>
      </w:pPr>
      <w:r w:rsidRPr="002E3B2A">
        <w:rPr>
          <w:rFonts w:ascii="Open Sans" w:hAnsi="Open Sans" w:cs="Open Sans"/>
          <w:lang w:val="en-GB"/>
        </w:rPr>
        <w:t>universities or research institutions (where relevant).</w:t>
      </w:r>
    </w:p>
    <w:p w14:paraId="75EE212A" w14:textId="77777777" w:rsidR="00440148" w:rsidRPr="002E3B2A" w:rsidRDefault="00440148" w:rsidP="00855F11">
      <w:pPr>
        <w:jc w:val="both"/>
        <w:rPr>
          <w:rFonts w:ascii="Open Sans" w:hAnsi="Open Sans" w:cs="Open Sans"/>
          <w:lang w:val="en-GB"/>
        </w:rPr>
      </w:pPr>
    </w:p>
    <w:p w14:paraId="4B7B40D1" w14:textId="77777777" w:rsidR="00440148" w:rsidRPr="002E3B2A" w:rsidRDefault="00440148" w:rsidP="00855F11">
      <w:pPr>
        <w:numPr>
          <w:ilvl w:val="0"/>
          <w:numId w:val="28"/>
        </w:numPr>
        <w:jc w:val="both"/>
        <w:rPr>
          <w:rFonts w:ascii="Open Sans" w:hAnsi="Open Sans" w:cs="Open Sans"/>
          <w:u w:val="single"/>
          <w:lang w:val="en-GB"/>
        </w:rPr>
      </w:pPr>
      <w:r w:rsidRPr="002E3B2A">
        <w:rPr>
          <w:rFonts w:ascii="Open Sans" w:hAnsi="Open Sans" w:cs="Open Sans"/>
          <w:u w:val="single"/>
          <w:lang w:val="en-GB"/>
        </w:rPr>
        <w:t xml:space="preserve">Resources </w:t>
      </w:r>
    </w:p>
    <w:p w14:paraId="7F524B1C" w14:textId="2FAB25BA" w:rsidR="00440148" w:rsidRPr="002E3B2A" w:rsidRDefault="00440148" w:rsidP="00174EF7">
      <w:pPr>
        <w:rPr>
          <w:rFonts w:ascii="Open Sans" w:hAnsi="Open Sans" w:cs="Open Sans"/>
          <w:lang w:val="en-GB"/>
        </w:rPr>
      </w:pPr>
      <w:r w:rsidRPr="002E3B2A">
        <w:rPr>
          <w:rFonts w:ascii="Open Sans" w:hAnsi="Open Sans" w:cs="Open Sans"/>
          <w:lang w:val="en-GB"/>
        </w:rPr>
        <w:t>Pilot Phase indicative budget: €10,000–15,000 (workshops, coordination, travel, mapping, communication)</w:t>
      </w:r>
    </w:p>
    <w:p w14:paraId="2BCAE14F" w14:textId="30C42397" w:rsidR="00440148" w:rsidRPr="002E3B2A" w:rsidRDefault="00440148" w:rsidP="00855F11">
      <w:pPr>
        <w:jc w:val="both"/>
        <w:rPr>
          <w:rFonts w:ascii="Open Sans" w:hAnsi="Open Sans" w:cs="Open Sans"/>
          <w:lang w:val="en-GB"/>
        </w:rPr>
      </w:pPr>
      <w:r w:rsidRPr="002E3B2A">
        <w:rPr>
          <w:rFonts w:ascii="Open Sans" w:hAnsi="Open Sans" w:cs="Open Sans"/>
          <w:lang w:val="en-GB"/>
        </w:rPr>
        <w:t>Further scaling would depend on external funding opportunities (eg Erasmus+ Youth Participation, Interreg ADRION).</w:t>
      </w:r>
    </w:p>
    <w:p w14:paraId="21326EAA" w14:textId="77777777" w:rsidR="00440148" w:rsidRPr="002E3B2A" w:rsidRDefault="00440148" w:rsidP="00855F11">
      <w:pPr>
        <w:numPr>
          <w:ilvl w:val="0"/>
          <w:numId w:val="7"/>
        </w:numPr>
        <w:jc w:val="both"/>
        <w:rPr>
          <w:rFonts w:ascii="Open Sans" w:hAnsi="Open Sans" w:cs="Open Sans"/>
          <w:lang w:val="en-GB"/>
        </w:rPr>
      </w:pPr>
      <w:r w:rsidRPr="002E3B2A">
        <w:rPr>
          <w:rFonts w:ascii="Open Sans" w:hAnsi="Open Sans" w:cs="Open Sans"/>
          <w:lang w:val="en-GB"/>
        </w:rPr>
        <w:t>Any additional resources needed to implement the initiative (e.g. materials, expertise, partnerships)</w:t>
      </w:r>
    </w:p>
    <w:p w14:paraId="26CC36DE" w14:textId="77777777" w:rsidR="00440148" w:rsidRPr="002E3B2A" w:rsidRDefault="00440148" w:rsidP="00855F11">
      <w:pPr>
        <w:numPr>
          <w:ilvl w:val="0"/>
          <w:numId w:val="13"/>
        </w:numPr>
        <w:jc w:val="both"/>
        <w:rPr>
          <w:rFonts w:ascii="Open Sans" w:hAnsi="Open Sans" w:cs="Open Sans"/>
          <w:lang w:val="en-GB"/>
        </w:rPr>
      </w:pPr>
      <w:r w:rsidRPr="002E3B2A">
        <w:rPr>
          <w:rFonts w:ascii="Open Sans" w:hAnsi="Open Sans" w:cs="Open Sans"/>
          <w:lang w:val="en-GB"/>
        </w:rPr>
        <w:t>Workshop venues (municipal or partner-provided)</w:t>
      </w:r>
    </w:p>
    <w:p w14:paraId="0361A497" w14:textId="77777777" w:rsidR="00440148" w:rsidRPr="002E3B2A" w:rsidRDefault="00440148" w:rsidP="00855F11">
      <w:pPr>
        <w:numPr>
          <w:ilvl w:val="0"/>
          <w:numId w:val="13"/>
        </w:numPr>
        <w:jc w:val="both"/>
        <w:rPr>
          <w:rFonts w:ascii="Open Sans" w:hAnsi="Open Sans" w:cs="Open Sans"/>
          <w:lang w:val="en-GB"/>
        </w:rPr>
      </w:pPr>
      <w:r w:rsidRPr="002E3B2A">
        <w:rPr>
          <w:rFonts w:ascii="Open Sans" w:hAnsi="Open Sans" w:cs="Open Sans"/>
          <w:lang w:val="en-GB"/>
        </w:rPr>
        <w:t>Digital tools for participatory mapping</w:t>
      </w:r>
    </w:p>
    <w:p w14:paraId="53F3E256" w14:textId="77777777" w:rsidR="00440148" w:rsidRPr="002E3B2A" w:rsidRDefault="00440148" w:rsidP="00855F11">
      <w:pPr>
        <w:numPr>
          <w:ilvl w:val="0"/>
          <w:numId w:val="13"/>
        </w:numPr>
        <w:jc w:val="both"/>
        <w:rPr>
          <w:rFonts w:ascii="Open Sans" w:hAnsi="Open Sans" w:cs="Open Sans"/>
          <w:lang w:val="en-GB"/>
        </w:rPr>
      </w:pPr>
      <w:r w:rsidRPr="002E3B2A">
        <w:rPr>
          <w:rFonts w:ascii="Open Sans" w:hAnsi="Open Sans" w:cs="Open Sans"/>
          <w:lang w:val="en-GB"/>
        </w:rPr>
        <w:t>Expertise from academia and civil society</w:t>
      </w:r>
    </w:p>
    <w:p w14:paraId="78812F83" w14:textId="1DCC7AB8" w:rsidR="00440148" w:rsidRPr="002E3B2A" w:rsidRDefault="00440148" w:rsidP="00855F11">
      <w:pPr>
        <w:numPr>
          <w:ilvl w:val="0"/>
          <w:numId w:val="13"/>
        </w:numPr>
        <w:jc w:val="both"/>
        <w:rPr>
          <w:rFonts w:ascii="Open Sans" w:hAnsi="Open Sans" w:cs="Open Sans"/>
          <w:lang w:val="en-GB"/>
        </w:rPr>
      </w:pPr>
      <w:r w:rsidRPr="002E3B2A">
        <w:rPr>
          <w:rFonts w:ascii="Open Sans" w:hAnsi="Open Sans" w:cs="Open Sans"/>
          <w:lang w:val="en-GB"/>
        </w:rPr>
        <w:t>Municipal cooperation for dialogue and data sharing (non-binding)</w:t>
      </w:r>
    </w:p>
    <w:p w14:paraId="0F08B731" w14:textId="77777777" w:rsidR="00440148" w:rsidRPr="002E3B2A" w:rsidRDefault="00440148" w:rsidP="00855F11">
      <w:pPr>
        <w:jc w:val="both"/>
        <w:rPr>
          <w:rFonts w:ascii="Open Sans" w:hAnsi="Open Sans" w:cs="Open Sans"/>
          <w:lang w:val="en-GB"/>
        </w:rPr>
      </w:pPr>
    </w:p>
    <w:p w14:paraId="5C689D5A" w14:textId="77777777" w:rsidR="00440148" w:rsidRPr="002E3B2A" w:rsidRDefault="00440148" w:rsidP="00855F11">
      <w:pPr>
        <w:numPr>
          <w:ilvl w:val="0"/>
          <w:numId w:val="28"/>
        </w:numPr>
        <w:jc w:val="both"/>
        <w:rPr>
          <w:rFonts w:ascii="Open Sans" w:hAnsi="Open Sans" w:cs="Open Sans"/>
          <w:u w:val="single"/>
          <w:lang w:val="en-GB"/>
        </w:rPr>
      </w:pPr>
      <w:r w:rsidRPr="002E3B2A">
        <w:rPr>
          <w:rFonts w:ascii="Open Sans" w:hAnsi="Open Sans" w:cs="Open Sans"/>
          <w:u w:val="single"/>
          <w:lang w:val="en-GB"/>
        </w:rPr>
        <w:t>Timeline</w:t>
      </w:r>
    </w:p>
    <w:tbl>
      <w:tblPr>
        <w:tblStyle w:val="TableGrid"/>
        <w:tblW w:w="0" w:type="auto"/>
        <w:tblLook w:val="04A0" w:firstRow="1" w:lastRow="0" w:firstColumn="1" w:lastColumn="0" w:noHBand="0" w:noVBand="1"/>
      </w:tblPr>
      <w:tblGrid>
        <w:gridCol w:w="1271"/>
        <w:gridCol w:w="4394"/>
        <w:gridCol w:w="1556"/>
      </w:tblGrid>
      <w:tr w:rsidR="00440148" w:rsidRPr="002E3B2A" w14:paraId="2D939D51"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34697BA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w:t>
            </w:r>
          </w:p>
        </w:tc>
        <w:tc>
          <w:tcPr>
            <w:tcW w:w="4394" w:type="dxa"/>
            <w:tcBorders>
              <w:top w:val="single" w:sz="4" w:space="0" w:color="auto"/>
              <w:left w:val="single" w:sz="4" w:space="0" w:color="auto"/>
              <w:bottom w:val="single" w:sz="4" w:space="0" w:color="auto"/>
              <w:right w:val="single" w:sz="4" w:space="0" w:color="auto"/>
            </w:tcBorders>
            <w:hideMark/>
          </w:tcPr>
          <w:p w14:paraId="4DB8CBF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Activity</w:t>
            </w:r>
          </w:p>
        </w:tc>
        <w:tc>
          <w:tcPr>
            <w:tcW w:w="1556" w:type="dxa"/>
            <w:tcBorders>
              <w:top w:val="single" w:sz="4" w:space="0" w:color="auto"/>
              <w:left w:val="single" w:sz="4" w:space="0" w:color="auto"/>
              <w:bottom w:val="single" w:sz="4" w:space="0" w:color="auto"/>
              <w:right w:val="single" w:sz="4" w:space="0" w:color="auto"/>
            </w:tcBorders>
            <w:hideMark/>
          </w:tcPr>
          <w:p w14:paraId="4574D170"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 xml:space="preserve">Responsible </w:t>
            </w:r>
          </w:p>
        </w:tc>
      </w:tr>
      <w:tr w:rsidR="00440148" w:rsidRPr="002E3B2A" w14:paraId="548698CF"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1306E7E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1</w:t>
            </w:r>
          </w:p>
        </w:tc>
        <w:tc>
          <w:tcPr>
            <w:tcW w:w="4394" w:type="dxa"/>
            <w:tcBorders>
              <w:top w:val="single" w:sz="4" w:space="0" w:color="auto"/>
              <w:left w:val="single" w:sz="4" w:space="0" w:color="auto"/>
              <w:bottom w:val="single" w:sz="4" w:space="0" w:color="auto"/>
              <w:right w:val="single" w:sz="4" w:space="0" w:color="auto"/>
            </w:tcBorders>
            <w:hideMark/>
          </w:tcPr>
          <w:p w14:paraId="0AFC04C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Working group formation &amp; pilot design</w:t>
            </w:r>
          </w:p>
        </w:tc>
        <w:tc>
          <w:tcPr>
            <w:tcW w:w="1556" w:type="dxa"/>
            <w:tcBorders>
              <w:top w:val="single" w:sz="4" w:space="0" w:color="auto"/>
              <w:left w:val="single" w:sz="4" w:space="0" w:color="auto"/>
              <w:bottom w:val="single" w:sz="4" w:space="0" w:color="auto"/>
              <w:right w:val="single" w:sz="4" w:space="0" w:color="auto"/>
            </w:tcBorders>
            <w:hideMark/>
          </w:tcPr>
          <w:p w14:paraId="014F268D"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EYC WG</w:t>
            </w:r>
          </w:p>
        </w:tc>
      </w:tr>
      <w:tr w:rsidR="00440148" w:rsidRPr="002E3B2A" w14:paraId="42BB6466"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4AA10FC5"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2</w:t>
            </w:r>
          </w:p>
        </w:tc>
        <w:tc>
          <w:tcPr>
            <w:tcW w:w="4394" w:type="dxa"/>
            <w:tcBorders>
              <w:top w:val="single" w:sz="4" w:space="0" w:color="auto"/>
              <w:left w:val="single" w:sz="4" w:space="0" w:color="auto"/>
              <w:bottom w:val="single" w:sz="4" w:space="0" w:color="auto"/>
              <w:right w:val="single" w:sz="4" w:space="0" w:color="auto"/>
            </w:tcBorders>
            <w:hideMark/>
          </w:tcPr>
          <w:p w14:paraId="1FE6E45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Youth Housing Dialogue Lab</w:t>
            </w:r>
          </w:p>
        </w:tc>
        <w:tc>
          <w:tcPr>
            <w:tcW w:w="1556" w:type="dxa"/>
            <w:tcBorders>
              <w:top w:val="single" w:sz="4" w:space="0" w:color="auto"/>
              <w:left w:val="single" w:sz="4" w:space="0" w:color="auto"/>
              <w:bottom w:val="single" w:sz="4" w:space="0" w:color="auto"/>
              <w:right w:val="single" w:sz="4" w:space="0" w:color="auto"/>
            </w:tcBorders>
            <w:hideMark/>
          </w:tcPr>
          <w:p w14:paraId="77D1B28B"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WG</w:t>
            </w:r>
          </w:p>
        </w:tc>
      </w:tr>
      <w:tr w:rsidR="00440148" w:rsidRPr="002E3B2A" w14:paraId="6CB97964"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2A077818"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3</w:t>
            </w:r>
          </w:p>
        </w:tc>
        <w:tc>
          <w:tcPr>
            <w:tcW w:w="4394" w:type="dxa"/>
            <w:tcBorders>
              <w:top w:val="single" w:sz="4" w:space="0" w:color="auto"/>
              <w:left w:val="single" w:sz="4" w:space="0" w:color="auto"/>
              <w:bottom w:val="single" w:sz="4" w:space="0" w:color="auto"/>
              <w:right w:val="single" w:sz="4" w:space="0" w:color="auto"/>
            </w:tcBorders>
            <w:hideMark/>
          </w:tcPr>
          <w:p w14:paraId="7B96FECA"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Participatory mapping &amp; policy dialogue</w:t>
            </w:r>
          </w:p>
        </w:tc>
        <w:tc>
          <w:tcPr>
            <w:tcW w:w="1556" w:type="dxa"/>
            <w:tcBorders>
              <w:top w:val="single" w:sz="4" w:space="0" w:color="auto"/>
              <w:left w:val="single" w:sz="4" w:space="0" w:color="auto"/>
              <w:bottom w:val="single" w:sz="4" w:space="0" w:color="auto"/>
              <w:right w:val="single" w:sz="4" w:space="0" w:color="auto"/>
            </w:tcBorders>
            <w:hideMark/>
          </w:tcPr>
          <w:p w14:paraId="6AB995E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WG</w:t>
            </w:r>
          </w:p>
        </w:tc>
      </w:tr>
      <w:tr w:rsidR="00440148" w:rsidRPr="002E3B2A" w14:paraId="71593F54"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2272D86E"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 4</w:t>
            </w:r>
          </w:p>
        </w:tc>
        <w:tc>
          <w:tcPr>
            <w:tcW w:w="4394" w:type="dxa"/>
            <w:tcBorders>
              <w:top w:val="single" w:sz="4" w:space="0" w:color="auto"/>
              <w:left w:val="single" w:sz="4" w:space="0" w:color="auto"/>
              <w:bottom w:val="single" w:sz="4" w:space="0" w:color="auto"/>
              <w:right w:val="single" w:sz="4" w:space="0" w:color="auto"/>
            </w:tcBorders>
            <w:hideMark/>
          </w:tcPr>
          <w:p w14:paraId="2AE5CB67"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Pilot summary &amp; recommendations</w:t>
            </w:r>
          </w:p>
        </w:tc>
        <w:tc>
          <w:tcPr>
            <w:tcW w:w="1556" w:type="dxa"/>
            <w:tcBorders>
              <w:top w:val="single" w:sz="4" w:space="0" w:color="auto"/>
              <w:left w:val="single" w:sz="4" w:space="0" w:color="auto"/>
              <w:bottom w:val="single" w:sz="4" w:space="0" w:color="auto"/>
              <w:right w:val="single" w:sz="4" w:space="0" w:color="auto"/>
            </w:tcBorders>
            <w:hideMark/>
          </w:tcPr>
          <w:p w14:paraId="4CB90748"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WG</w:t>
            </w:r>
          </w:p>
        </w:tc>
      </w:tr>
    </w:tbl>
    <w:p w14:paraId="07DF621F" w14:textId="77777777" w:rsidR="00440148" w:rsidRPr="002E3B2A" w:rsidRDefault="00440148" w:rsidP="00855F11">
      <w:pPr>
        <w:jc w:val="both"/>
        <w:rPr>
          <w:rFonts w:ascii="Open Sans" w:hAnsi="Open Sans" w:cs="Open Sans"/>
          <w:lang w:val="en-GB"/>
        </w:rPr>
      </w:pPr>
    </w:p>
    <w:p w14:paraId="7F9487C8"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br w:type="page"/>
      </w:r>
    </w:p>
    <w:p w14:paraId="246080EC" w14:textId="77777777" w:rsidR="00440148" w:rsidRPr="002E3B2A" w:rsidRDefault="00440148" w:rsidP="003176D1">
      <w:pPr>
        <w:pStyle w:val="Heading2"/>
        <w:rPr>
          <w:rFonts w:ascii="Open Sans" w:hAnsi="Open Sans" w:cs="Open Sans"/>
          <w:lang w:val="en-GB"/>
        </w:rPr>
      </w:pPr>
      <w:bookmarkStart w:id="41" w:name="_Toc220660665"/>
      <w:bookmarkStart w:id="42" w:name="_Toc221098334"/>
      <w:bookmarkStart w:id="43" w:name="_Toc221100066"/>
      <w:bookmarkStart w:id="44" w:name="_Toc221287162"/>
      <w:r w:rsidRPr="002E3B2A">
        <w:rPr>
          <w:rFonts w:ascii="Open Sans" w:hAnsi="Open Sans" w:cs="Open Sans"/>
          <w:lang w:val="en-GB"/>
        </w:rPr>
        <w:t>EYC Position Paper on Meaningful Participation</w:t>
      </w:r>
      <w:bookmarkEnd w:id="41"/>
      <w:bookmarkEnd w:id="42"/>
      <w:bookmarkEnd w:id="43"/>
      <w:bookmarkEnd w:id="44"/>
    </w:p>
    <w:p w14:paraId="7CFF524F" w14:textId="3C2DAFA7" w:rsidR="00440148" w:rsidRPr="002E3B2A" w:rsidRDefault="00440148" w:rsidP="00855F11">
      <w:pPr>
        <w:pStyle w:val="ListParagraph"/>
        <w:numPr>
          <w:ilvl w:val="0"/>
          <w:numId w:val="29"/>
        </w:numPr>
        <w:jc w:val="both"/>
        <w:rPr>
          <w:rFonts w:ascii="Open Sans" w:hAnsi="Open Sans" w:cs="Open Sans"/>
          <w:u w:val="single"/>
          <w:lang w:val="en-GB"/>
        </w:rPr>
      </w:pPr>
      <w:r w:rsidRPr="002E3B2A">
        <w:rPr>
          <w:rFonts w:ascii="Open Sans" w:hAnsi="Open Sans" w:cs="Open Sans"/>
          <w:u w:val="single"/>
          <w:lang w:val="en-GB"/>
        </w:rPr>
        <w:t>Main theme/Topic</w:t>
      </w:r>
    </w:p>
    <w:p w14:paraId="1C3B727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initiative focuses on meaningful youth participation in macro-regional governance, addressing democratic disengagement among young people in the Adriatic–Ionian region and proposing a structured, non-tokenistic model for youth engagement within the EUSAIR framework.</w:t>
      </w:r>
    </w:p>
    <w:p w14:paraId="2FA20DA7"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Position Paper will articulate a shared vision and concrete recommendations on how youth participation can move from symbolic consultation to structured contribution, strengthening democratic legitimacy, social cohesion, and policy quality across the EUSAIR region.</w:t>
      </w:r>
    </w:p>
    <w:p w14:paraId="76F286C6" w14:textId="77777777" w:rsidR="00440148" w:rsidRPr="002E3B2A" w:rsidRDefault="00440148" w:rsidP="00855F11">
      <w:pPr>
        <w:jc w:val="both"/>
        <w:rPr>
          <w:rFonts w:ascii="Open Sans" w:hAnsi="Open Sans" w:cs="Open Sans"/>
          <w:lang w:val="en-GB"/>
        </w:rPr>
      </w:pPr>
    </w:p>
    <w:p w14:paraId="5129423B" w14:textId="260B1FC7" w:rsidR="00440148" w:rsidRPr="002E3B2A" w:rsidRDefault="00440148" w:rsidP="00855F11">
      <w:pPr>
        <w:pStyle w:val="ListParagraph"/>
        <w:numPr>
          <w:ilvl w:val="0"/>
          <w:numId w:val="29"/>
        </w:numPr>
        <w:jc w:val="both"/>
        <w:rPr>
          <w:rFonts w:ascii="Open Sans" w:hAnsi="Open Sans" w:cs="Open Sans"/>
          <w:u w:val="single"/>
          <w:lang w:val="en-GB"/>
        </w:rPr>
      </w:pPr>
      <w:r w:rsidRPr="002E3B2A">
        <w:rPr>
          <w:rFonts w:ascii="Open Sans" w:hAnsi="Open Sans" w:cs="Open Sans"/>
          <w:u w:val="single"/>
          <w:lang w:val="en-GB"/>
        </w:rPr>
        <w:t>Goals and objectives</w:t>
      </w:r>
    </w:p>
    <w:p w14:paraId="36DEA547"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overall goal of the Position Paper is to develop and formally present the first Position Paper of the EUSAIR Youth Council that defines standards, principles and mechanisms for meaningful youth participation in EUSAIR governance, in line with EU Youth Strategy 2019-2027 and other youth participation frameworks within EU and CoE.</w:t>
      </w:r>
    </w:p>
    <w:p w14:paraId="16777873"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Specific Objectives</w:t>
      </w:r>
    </w:p>
    <w:p w14:paraId="00549D96" w14:textId="77777777" w:rsidR="00440148" w:rsidRPr="002E3B2A" w:rsidRDefault="00440148" w:rsidP="00855F11">
      <w:pPr>
        <w:numPr>
          <w:ilvl w:val="0"/>
          <w:numId w:val="14"/>
        </w:numPr>
        <w:jc w:val="both"/>
        <w:rPr>
          <w:rFonts w:ascii="Open Sans" w:hAnsi="Open Sans" w:cs="Open Sans"/>
          <w:lang w:val="en-GB"/>
        </w:rPr>
      </w:pPr>
      <w:r w:rsidRPr="002E3B2A">
        <w:rPr>
          <w:rFonts w:ascii="Open Sans" w:hAnsi="Open Sans" w:cs="Open Sans"/>
          <w:lang w:val="en-GB"/>
        </w:rPr>
        <w:t>To consolidate the views, experiences, and proposals of EYC members on meaningful youth participation beyond tokenistic approaches.</w:t>
      </w:r>
    </w:p>
    <w:p w14:paraId="492E33BF" w14:textId="77777777" w:rsidR="00440148" w:rsidRPr="002E3B2A" w:rsidRDefault="00440148" w:rsidP="00855F11">
      <w:pPr>
        <w:numPr>
          <w:ilvl w:val="0"/>
          <w:numId w:val="14"/>
        </w:numPr>
        <w:jc w:val="both"/>
        <w:rPr>
          <w:rFonts w:ascii="Open Sans" w:hAnsi="Open Sans" w:cs="Open Sans"/>
          <w:lang w:val="en-GB"/>
        </w:rPr>
      </w:pPr>
      <w:r w:rsidRPr="002E3B2A">
        <w:rPr>
          <w:rFonts w:ascii="Open Sans" w:hAnsi="Open Sans" w:cs="Open Sans"/>
          <w:lang w:val="en-GB"/>
        </w:rPr>
        <w:t>To frame democratic disengagement among young people in our region as a structural challenge, rather than a lack of youth interest.</w:t>
      </w:r>
    </w:p>
    <w:p w14:paraId="0C83FF55" w14:textId="77777777" w:rsidR="00440148" w:rsidRPr="002E3B2A" w:rsidRDefault="00440148" w:rsidP="00855F11">
      <w:pPr>
        <w:numPr>
          <w:ilvl w:val="0"/>
          <w:numId w:val="14"/>
        </w:numPr>
        <w:jc w:val="both"/>
        <w:rPr>
          <w:rFonts w:ascii="Open Sans" w:hAnsi="Open Sans" w:cs="Open Sans"/>
          <w:lang w:val="en-GB"/>
        </w:rPr>
      </w:pPr>
      <w:r w:rsidRPr="002E3B2A">
        <w:rPr>
          <w:rFonts w:ascii="Open Sans" w:hAnsi="Open Sans" w:cs="Open Sans"/>
          <w:lang w:val="en-GB"/>
        </w:rPr>
        <w:t xml:space="preserve">To propose a clear engagement model for the EYC within EUSAIR decision-making processes, including interaction with TSGs and the Governing Board. </w:t>
      </w:r>
    </w:p>
    <w:p w14:paraId="3EE712AE" w14:textId="77777777" w:rsidR="00440148" w:rsidRPr="002E3B2A" w:rsidRDefault="00440148" w:rsidP="00855F11">
      <w:pPr>
        <w:numPr>
          <w:ilvl w:val="0"/>
          <w:numId w:val="14"/>
        </w:numPr>
        <w:jc w:val="both"/>
        <w:rPr>
          <w:rFonts w:ascii="Open Sans" w:hAnsi="Open Sans" w:cs="Open Sans"/>
          <w:lang w:val="en-GB"/>
        </w:rPr>
      </w:pPr>
      <w:r w:rsidRPr="002E3B2A">
        <w:rPr>
          <w:rFonts w:ascii="Open Sans" w:hAnsi="Open Sans" w:cs="Open Sans"/>
          <w:lang w:val="en-GB"/>
        </w:rPr>
        <w:t xml:space="preserve">To strengthen the institutional role, visibility and legitimacy of the EUSAIR Youth Council within the macro-regional strategy. </w:t>
      </w:r>
    </w:p>
    <w:p w14:paraId="76E6EF17" w14:textId="77777777" w:rsidR="00440148" w:rsidRPr="002E3B2A" w:rsidRDefault="00440148" w:rsidP="00855F11">
      <w:pPr>
        <w:jc w:val="both"/>
        <w:rPr>
          <w:rFonts w:ascii="Open Sans" w:hAnsi="Open Sans" w:cs="Open Sans"/>
          <w:lang w:val="en-GB"/>
        </w:rPr>
      </w:pPr>
    </w:p>
    <w:p w14:paraId="41C47CE5" w14:textId="44F50817" w:rsidR="00440148" w:rsidRPr="002E3B2A" w:rsidRDefault="00440148" w:rsidP="00855F11">
      <w:pPr>
        <w:pStyle w:val="ListParagraph"/>
        <w:numPr>
          <w:ilvl w:val="0"/>
          <w:numId w:val="29"/>
        </w:numPr>
        <w:jc w:val="both"/>
        <w:rPr>
          <w:rFonts w:ascii="Open Sans" w:hAnsi="Open Sans" w:cs="Open Sans"/>
          <w:u w:val="single"/>
          <w:lang w:val="en-GB"/>
        </w:rPr>
      </w:pPr>
      <w:r w:rsidRPr="002E3B2A">
        <w:rPr>
          <w:rFonts w:ascii="Open Sans" w:hAnsi="Open Sans" w:cs="Open Sans"/>
          <w:u w:val="single"/>
          <w:lang w:val="en-GB"/>
        </w:rPr>
        <w:t>Why does this matter for Youth in the EUSAIR region?</w:t>
      </w:r>
    </w:p>
    <w:p w14:paraId="29F8354F"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Young people in the Adriatic–Ionian region are experiencing increasing democratic disengagement, driven not by apathy, but by repeated experiences of participation that lacks influence, feedback, and continuity. Many young people do not see clear links between engagement and tangible outcomes, leading to declining trust in institutions and reduced willingness to participate in public decision-making.</w:t>
      </w:r>
    </w:p>
    <w:p w14:paraId="3221E28E"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At the same time, awareness of the EUSAIR and its relevance remains limited beyond a small circle of already active youth and stakeholders. This reduces the potential of the Strategy to serve as a space for youth ownership, innovation, and long-term engagement.</w:t>
      </w:r>
    </w:p>
    <w:p w14:paraId="58FD26AB"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Position Paper responds to these challenges by:</w:t>
      </w:r>
    </w:p>
    <w:p w14:paraId="02C15A19" w14:textId="77777777" w:rsidR="00440148" w:rsidRPr="002E3B2A" w:rsidRDefault="00440148" w:rsidP="00855F11">
      <w:pPr>
        <w:numPr>
          <w:ilvl w:val="0"/>
          <w:numId w:val="15"/>
        </w:numPr>
        <w:jc w:val="both"/>
        <w:rPr>
          <w:rFonts w:ascii="Open Sans" w:hAnsi="Open Sans" w:cs="Open Sans"/>
          <w:lang w:val="en-GB"/>
        </w:rPr>
      </w:pPr>
      <w:r w:rsidRPr="002E3B2A">
        <w:rPr>
          <w:rFonts w:ascii="Open Sans" w:hAnsi="Open Sans" w:cs="Open Sans"/>
          <w:lang w:val="en-GB"/>
        </w:rPr>
        <w:t>articulating why youth participation matters for young people’s sense of agency and belonging,</w:t>
      </w:r>
    </w:p>
    <w:p w14:paraId="4EAA1ABE" w14:textId="77777777" w:rsidR="00440148" w:rsidRPr="002E3B2A" w:rsidRDefault="00440148" w:rsidP="00855F11">
      <w:pPr>
        <w:numPr>
          <w:ilvl w:val="0"/>
          <w:numId w:val="15"/>
        </w:numPr>
        <w:jc w:val="both"/>
        <w:rPr>
          <w:rFonts w:ascii="Open Sans" w:hAnsi="Open Sans" w:cs="Open Sans"/>
          <w:lang w:val="en-GB"/>
        </w:rPr>
      </w:pPr>
      <w:r w:rsidRPr="002E3B2A">
        <w:rPr>
          <w:rFonts w:ascii="Open Sans" w:hAnsi="Open Sans" w:cs="Open Sans"/>
          <w:lang w:val="en-GB"/>
        </w:rPr>
        <w:t>identifying structural barriers to meaningful participation,</w:t>
      </w:r>
    </w:p>
    <w:p w14:paraId="6ED0C490" w14:textId="77777777" w:rsidR="00440148" w:rsidRPr="002E3B2A" w:rsidRDefault="00440148" w:rsidP="00855F11">
      <w:pPr>
        <w:numPr>
          <w:ilvl w:val="0"/>
          <w:numId w:val="15"/>
        </w:numPr>
        <w:jc w:val="both"/>
        <w:rPr>
          <w:rFonts w:ascii="Open Sans" w:hAnsi="Open Sans" w:cs="Open Sans"/>
          <w:lang w:val="en-GB"/>
        </w:rPr>
      </w:pPr>
      <w:r w:rsidRPr="002E3B2A">
        <w:rPr>
          <w:rFonts w:ascii="Open Sans" w:hAnsi="Open Sans" w:cs="Open Sans"/>
          <w:lang w:val="en-GB"/>
        </w:rPr>
        <w:t>and proposing solutions that make engagement visible, impactful, and accessible.</w:t>
      </w:r>
    </w:p>
    <w:p w14:paraId="5A11BB7A"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By doing so, the initiative supports stronger youth engagement, democratic resilience, and social cohesion across the region.</w:t>
      </w:r>
    </w:p>
    <w:p w14:paraId="75521833" w14:textId="77777777" w:rsidR="00440148" w:rsidRPr="002E3B2A" w:rsidRDefault="00440148" w:rsidP="00855F11">
      <w:pPr>
        <w:jc w:val="both"/>
        <w:rPr>
          <w:rFonts w:ascii="Open Sans" w:hAnsi="Open Sans" w:cs="Open Sans"/>
          <w:lang w:val="en-GB"/>
        </w:rPr>
      </w:pPr>
    </w:p>
    <w:p w14:paraId="69775768" w14:textId="2F4F1128" w:rsidR="00440148" w:rsidRPr="002E3B2A" w:rsidRDefault="00440148" w:rsidP="00855F11">
      <w:pPr>
        <w:pStyle w:val="ListParagraph"/>
        <w:numPr>
          <w:ilvl w:val="0"/>
          <w:numId w:val="12"/>
        </w:numPr>
        <w:jc w:val="both"/>
        <w:rPr>
          <w:rFonts w:ascii="Open Sans" w:hAnsi="Open Sans" w:cs="Open Sans"/>
          <w:u w:val="single"/>
          <w:lang w:val="en-GB"/>
        </w:rPr>
      </w:pPr>
      <w:r w:rsidRPr="002E3B2A">
        <w:rPr>
          <w:rFonts w:ascii="Open Sans" w:hAnsi="Open Sans" w:cs="Open Sans"/>
          <w:u w:val="single"/>
          <w:lang w:val="en-GB"/>
        </w:rPr>
        <w:t>Description of the initiative</w:t>
      </w:r>
    </w:p>
    <w:p w14:paraId="22612CCA" w14:textId="5C9007B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The initiative consists of the development, endorsement, and presentation of the Position Paper prepared by the EYC. The paper will be developed through desk research on EU, CoE, and other macro-regional youth participation frameworks; structured internal consultations among EYC members; collaborative drafting by a small co-writing team and validation and </w:t>
      </w:r>
      <w:r w:rsidR="003C101F" w:rsidRPr="002E3B2A">
        <w:rPr>
          <w:rFonts w:ascii="Open Sans" w:hAnsi="Open Sans" w:cs="Open Sans"/>
          <w:lang w:val="en-GB"/>
        </w:rPr>
        <w:t>endorsement</w:t>
      </w:r>
      <w:r w:rsidRPr="002E3B2A">
        <w:rPr>
          <w:rFonts w:ascii="Open Sans" w:hAnsi="Open Sans" w:cs="Open Sans"/>
          <w:lang w:val="en-GB"/>
        </w:rPr>
        <w:t xml:space="preserve"> through EYC MoM. </w:t>
      </w:r>
    </w:p>
    <w:p w14:paraId="05000C77"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aim of the paper is:</w:t>
      </w:r>
    </w:p>
    <w:p w14:paraId="6DEAE4DB" w14:textId="3369CB67" w:rsidR="00440148" w:rsidRPr="002E3B2A" w:rsidRDefault="00440148" w:rsidP="00855F11">
      <w:pPr>
        <w:numPr>
          <w:ilvl w:val="0"/>
          <w:numId w:val="16"/>
        </w:numPr>
        <w:jc w:val="both"/>
        <w:rPr>
          <w:rFonts w:ascii="Open Sans" w:hAnsi="Open Sans" w:cs="Open Sans"/>
          <w:lang w:val="en-GB"/>
        </w:rPr>
      </w:pPr>
      <w:r w:rsidRPr="002E3B2A">
        <w:rPr>
          <w:rFonts w:ascii="Open Sans" w:hAnsi="Open Sans" w:cs="Open Sans"/>
          <w:lang w:val="en-GB"/>
        </w:rPr>
        <w:t>to define what meaningful youth participation means in the EUSAIR context</w:t>
      </w:r>
      <w:r w:rsidR="003C101F" w:rsidRPr="002E3B2A">
        <w:rPr>
          <w:rFonts w:ascii="Open Sans" w:hAnsi="Open Sans" w:cs="Open Sans"/>
          <w:lang w:val="en-GB"/>
        </w:rPr>
        <w:t>.</w:t>
      </w:r>
    </w:p>
    <w:p w14:paraId="675A852A" w14:textId="79B45689" w:rsidR="00440148" w:rsidRPr="002E3B2A" w:rsidRDefault="00440148" w:rsidP="00855F11">
      <w:pPr>
        <w:numPr>
          <w:ilvl w:val="0"/>
          <w:numId w:val="16"/>
        </w:numPr>
        <w:jc w:val="both"/>
        <w:rPr>
          <w:rFonts w:ascii="Open Sans" w:hAnsi="Open Sans" w:cs="Open Sans"/>
          <w:lang w:val="en-GB"/>
        </w:rPr>
      </w:pPr>
      <w:r w:rsidRPr="002E3B2A">
        <w:rPr>
          <w:rFonts w:ascii="Open Sans" w:hAnsi="Open Sans" w:cs="Open Sans"/>
          <w:lang w:val="en-GB"/>
        </w:rPr>
        <w:t xml:space="preserve">to analyse current </w:t>
      </w:r>
      <w:r w:rsidR="003C101F" w:rsidRPr="002E3B2A">
        <w:rPr>
          <w:rFonts w:ascii="Open Sans" w:hAnsi="Open Sans" w:cs="Open Sans"/>
          <w:lang w:val="en-GB"/>
        </w:rPr>
        <w:t>opportunities</w:t>
      </w:r>
      <w:r w:rsidRPr="002E3B2A">
        <w:rPr>
          <w:rFonts w:ascii="Open Sans" w:hAnsi="Open Sans" w:cs="Open Sans"/>
          <w:lang w:val="en-GB"/>
        </w:rPr>
        <w:t xml:space="preserve"> and limitations for youth </w:t>
      </w:r>
      <w:r w:rsidR="003C101F" w:rsidRPr="002E3B2A">
        <w:rPr>
          <w:rFonts w:ascii="Open Sans" w:hAnsi="Open Sans" w:cs="Open Sans"/>
          <w:lang w:val="en-GB"/>
        </w:rPr>
        <w:t>engagement.</w:t>
      </w:r>
      <w:r w:rsidRPr="002E3B2A">
        <w:rPr>
          <w:rFonts w:ascii="Open Sans" w:hAnsi="Open Sans" w:cs="Open Sans"/>
          <w:lang w:val="en-GB"/>
        </w:rPr>
        <w:t xml:space="preserve"> </w:t>
      </w:r>
    </w:p>
    <w:p w14:paraId="16B393C5" w14:textId="5AA83A85" w:rsidR="00440148" w:rsidRPr="002E3B2A" w:rsidRDefault="00440148" w:rsidP="00855F11">
      <w:pPr>
        <w:numPr>
          <w:ilvl w:val="0"/>
          <w:numId w:val="16"/>
        </w:numPr>
        <w:jc w:val="both"/>
        <w:rPr>
          <w:rFonts w:ascii="Open Sans" w:hAnsi="Open Sans" w:cs="Open Sans"/>
          <w:lang w:val="en-GB"/>
        </w:rPr>
      </w:pPr>
      <w:r w:rsidRPr="002E3B2A">
        <w:rPr>
          <w:rFonts w:ascii="Open Sans" w:hAnsi="Open Sans" w:cs="Open Sans"/>
          <w:lang w:val="en-GB"/>
        </w:rPr>
        <w:t xml:space="preserve">to propose a structured model for youth involvement in EUSAIR </w:t>
      </w:r>
      <w:r w:rsidR="003C101F" w:rsidRPr="002E3B2A">
        <w:rPr>
          <w:rFonts w:ascii="Open Sans" w:hAnsi="Open Sans" w:cs="Open Sans"/>
          <w:lang w:val="en-GB"/>
        </w:rPr>
        <w:t>governance.</w:t>
      </w:r>
    </w:p>
    <w:p w14:paraId="0238BB8C" w14:textId="77777777" w:rsidR="00440148" w:rsidRPr="002E3B2A" w:rsidRDefault="00440148" w:rsidP="00855F11">
      <w:pPr>
        <w:numPr>
          <w:ilvl w:val="0"/>
          <w:numId w:val="16"/>
        </w:numPr>
        <w:jc w:val="both"/>
        <w:rPr>
          <w:rFonts w:ascii="Open Sans" w:hAnsi="Open Sans" w:cs="Open Sans"/>
          <w:lang w:val="en-GB"/>
        </w:rPr>
      </w:pPr>
      <w:r w:rsidRPr="002E3B2A">
        <w:rPr>
          <w:rFonts w:ascii="Open Sans" w:hAnsi="Open Sans" w:cs="Open Sans"/>
          <w:lang w:val="en-GB"/>
        </w:rPr>
        <w:t>and present clear recommendations to EUSAIR Governance bodies and Member States</w:t>
      </w:r>
    </w:p>
    <w:p w14:paraId="557F8834"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The Position Paper will be formally presented at the EUSAIR Annual Forum 2026, with the aim of informing future discussions, practices and institutional arrangements related to youth participation. </w:t>
      </w:r>
    </w:p>
    <w:p w14:paraId="18992264" w14:textId="77777777" w:rsidR="00440148" w:rsidRPr="002E3B2A" w:rsidRDefault="00440148" w:rsidP="00855F11">
      <w:pPr>
        <w:jc w:val="both"/>
        <w:rPr>
          <w:rFonts w:ascii="Open Sans" w:hAnsi="Open Sans" w:cs="Open Sans"/>
          <w:lang w:val="en-GB"/>
        </w:rPr>
      </w:pPr>
    </w:p>
    <w:p w14:paraId="45C9053C" w14:textId="77777777" w:rsidR="00440148" w:rsidRPr="002E3B2A" w:rsidRDefault="00440148" w:rsidP="00855F11">
      <w:pPr>
        <w:numPr>
          <w:ilvl w:val="0"/>
          <w:numId w:val="12"/>
        </w:numPr>
        <w:jc w:val="both"/>
        <w:rPr>
          <w:rFonts w:ascii="Open Sans" w:hAnsi="Open Sans" w:cs="Open Sans"/>
          <w:u w:val="single"/>
          <w:lang w:val="en-GB"/>
        </w:rPr>
      </w:pPr>
      <w:r w:rsidRPr="002E3B2A">
        <w:rPr>
          <w:rFonts w:ascii="Open Sans" w:hAnsi="Open Sans" w:cs="Open Sans"/>
          <w:u w:val="single"/>
          <w:lang w:val="en-GB"/>
        </w:rPr>
        <w:t>Working group</w:t>
      </w:r>
    </w:p>
    <w:p w14:paraId="4BDA9D65"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For the seamlessly execution of the proposed activity, there’s a need of a small drafting and coordination working group composed primarily of EYC members. </w:t>
      </w:r>
    </w:p>
    <w:p w14:paraId="1CD51A4A"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The working group will include the following roles:</w:t>
      </w:r>
    </w:p>
    <w:p w14:paraId="365E4041" w14:textId="76DFE00B" w:rsidR="00440148" w:rsidRPr="002E3B2A" w:rsidRDefault="00440148" w:rsidP="00855F11">
      <w:pPr>
        <w:numPr>
          <w:ilvl w:val="0"/>
          <w:numId w:val="17"/>
        </w:numPr>
        <w:jc w:val="both"/>
        <w:rPr>
          <w:rFonts w:ascii="Open Sans" w:hAnsi="Open Sans" w:cs="Open Sans"/>
          <w:lang w:val="en-GB"/>
        </w:rPr>
      </w:pPr>
      <w:r w:rsidRPr="002E3B2A">
        <w:rPr>
          <w:rFonts w:ascii="Open Sans" w:hAnsi="Open Sans" w:cs="Open Sans"/>
          <w:lang w:val="en-GB"/>
        </w:rPr>
        <w:t xml:space="preserve">Lead Editor / Coordinator – Responsible for overall coordination, coherence of the document, and </w:t>
      </w:r>
      <w:r w:rsidR="00735A05" w:rsidRPr="002E3B2A">
        <w:rPr>
          <w:rFonts w:ascii="Open Sans" w:hAnsi="Open Sans" w:cs="Open Sans"/>
          <w:lang w:val="en-GB"/>
        </w:rPr>
        <w:t>liaison</w:t>
      </w:r>
      <w:r w:rsidRPr="002E3B2A">
        <w:rPr>
          <w:rFonts w:ascii="Open Sans" w:hAnsi="Open Sans" w:cs="Open Sans"/>
          <w:lang w:val="en-GB"/>
        </w:rPr>
        <w:t xml:space="preserve"> with EUSAIR </w:t>
      </w:r>
      <w:r w:rsidR="003C101F" w:rsidRPr="002E3B2A">
        <w:rPr>
          <w:rFonts w:ascii="Open Sans" w:hAnsi="Open Sans" w:cs="Open Sans"/>
          <w:lang w:val="en-GB"/>
        </w:rPr>
        <w:t>structures.</w:t>
      </w:r>
    </w:p>
    <w:p w14:paraId="58D3E05E" w14:textId="322A9CC0" w:rsidR="00440148" w:rsidRPr="002E3B2A" w:rsidRDefault="003C101F" w:rsidP="00855F11">
      <w:pPr>
        <w:numPr>
          <w:ilvl w:val="0"/>
          <w:numId w:val="17"/>
        </w:numPr>
        <w:jc w:val="both"/>
        <w:rPr>
          <w:rFonts w:ascii="Open Sans" w:hAnsi="Open Sans" w:cs="Open Sans"/>
          <w:lang w:val="en-GB"/>
        </w:rPr>
      </w:pPr>
      <w:r w:rsidRPr="002E3B2A">
        <w:rPr>
          <w:rFonts w:ascii="Open Sans" w:hAnsi="Open Sans" w:cs="Open Sans"/>
          <w:lang w:val="en-GB"/>
        </w:rPr>
        <w:t>Policy Research</w:t>
      </w:r>
      <w:r w:rsidR="00440148" w:rsidRPr="002E3B2A">
        <w:rPr>
          <w:rFonts w:ascii="Open Sans" w:hAnsi="Open Sans" w:cs="Open Sans"/>
          <w:lang w:val="en-GB"/>
        </w:rPr>
        <w:t xml:space="preserve"> Lead – Responsible for desk research and alignment with EU and CoE of European youth participation frameworks such as the EU Youth Strategy, etc.</w:t>
      </w:r>
    </w:p>
    <w:p w14:paraId="53535F6C" w14:textId="77777777" w:rsidR="00440148" w:rsidRPr="002E3B2A" w:rsidRDefault="00440148" w:rsidP="00855F11">
      <w:pPr>
        <w:numPr>
          <w:ilvl w:val="0"/>
          <w:numId w:val="17"/>
        </w:numPr>
        <w:jc w:val="both"/>
        <w:rPr>
          <w:rFonts w:ascii="Open Sans" w:hAnsi="Open Sans" w:cs="Open Sans"/>
          <w:lang w:val="en-GB"/>
        </w:rPr>
      </w:pPr>
      <w:r w:rsidRPr="002E3B2A">
        <w:rPr>
          <w:rFonts w:ascii="Open Sans" w:hAnsi="Open Sans" w:cs="Open Sans"/>
          <w:lang w:val="en-GB"/>
        </w:rPr>
        <w:t>Drafting Leads – Responsible for drafting assigned sections of the Position Paper.</w:t>
      </w:r>
    </w:p>
    <w:p w14:paraId="3814B543" w14:textId="40DF968F" w:rsidR="00440148" w:rsidRPr="002E3B2A" w:rsidRDefault="00440148" w:rsidP="00855F11">
      <w:pPr>
        <w:numPr>
          <w:ilvl w:val="0"/>
          <w:numId w:val="17"/>
        </w:numPr>
        <w:jc w:val="both"/>
        <w:rPr>
          <w:rFonts w:ascii="Open Sans" w:hAnsi="Open Sans" w:cs="Open Sans"/>
          <w:lang w:val="en-GB"/>
        </w:rPr>
      </w:pPr>
      <w:r w:rsidRPr="002E3B2A">
        <w:rPr>
          <w:rFonts w:ascii="Open Sans" w:hAnsi="Open Sans" w:cs="Open Sans"/>
          <w:lang w:val="en-GB"/>
        </w:rPr>
        <w:t xml:space="preserve">Outreach Lead – Responsible for coordinating internal consultations and validations. </w:t>
      </w:r>
    </w:p>
    <w:p w14:paraId="77CFCF6C" w14:textId="77777777" w:rsidR="008B198B" w:rsidRPr="002E3B2A" w:rsidRDefault="008B198B" w:rsidP="00855F11">
      <w:pPr>
        <w:jc w:val="both"/>
        <w:rPr>
          <w:rFonts w:ascii="Open Sans" w:hAnsi="Open Sans" w:cs="Open Sans"/>
          <w:lang w:val="en-GB"/>
        </w:rPr>
      </w:pPr>
    </w:p>
    <w:p w14:paraId="0D7AA508" w14:textId="77777777" w:rsidR="00440148" w:rsidRPr="002E3B2A" w:rsidRDefault="00440148" w:rsidP="00855F11">
      <w:pPr>
        <w:numPr>
          <w:ilvl w:val="0"/>
          <w:numId w:val="12"/>
        </w:numPr>
        <w:jc w:val="both"/>
        <w:rPr>
          <w:rFonts w:ascii="Open Sans" w:hAnsi="Open Sans" w:cs="Open Sans"/>
          <w:u w:val="single"/>
          <w:lang w:val="en-GB"/>
        </w:rPr>
      </w:pPr>
      <w:r w:rsidRPr="002E3B2A">
        <w:rPr>
          <w:rFonts w:ascii="Open Sans" w:hAnsi="Open Sans" w:cs="Open Sans"/>
          <w:u w:val="single"/>
          <w:lang w:val="en-GB"/>
        </w:rPr>
        <w:t xml:space="preserve">Resources </w:t>
      </w:r>
    </w:p>
    <w:p w14:paraId="3519E7A4" w14:textId="1FFB95E9"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The development of the Position Paper will primarily rely on in-kind contributions from EYC members. However, there will be a need for support for the designing of the </w:t>
      </w:r>
      <w:r w:rsidR="005B7BC3" w:rsidRPr="002E3B2A">
        <w:rPr>
          <w:rFonts w:ascii="Open Sans" w:hAnsi="Open Sans" w:cs="Open Sans"/>
          <w:lang w:val="en-GB"/>
        </w:rPr>
        <w:t>position</w:t>
      </w:r>
      <w:r w:rsidRPr="002E3B2A">
        <w:rPr>
          <w:rFonts w:ascii="Open Sans" w:hAnsi="Open Sans" w:cs="Open Sans"/>
          <w:lang w:val="en-GB"/>
        </w:rPr>
        <w:t xml:space="preserve">-paper and dissemination activities. </w:t>
      </w:r>
    </w:p>
    <w:p w14:paraId="3DD86036" w14:textId="77777777" w:rsidR="00440148" w:rsidRPr="002E3B2A" w:rsidRDefault="00440148" w:rsidP="00855F11">
      <w:pPr>
        <w:jc w:val="both"/>
        <w:rPr>
          <w:rFonts w:ascii="Open Sans" w:hAnsi="Open Sans" w:cs="Open Sans"/>
          <w:lang w:val="en-GB"/>
        </w:rPr>
      </w:pPr>
    </w:p>
    <w:p w14:paraId="30EFC518" w14:textId="77777777" w:rsidR="00440148" w:rsidRPr="002E3B2A" w:rsidRDefault="00440148" w:rsidP="00855F11">
      <w:pPr>
        <w:numPr>
          <w:ilvl w:val="0"/>
          <w:numId w:val="12"/>
        </w:numPr>
        <w:jc w:val="both"/>
        <w:rPr>
          <w:rFonts w:ascii="Open Sans" w:hAnsi="Open Sans" w:cs="Open Sans"/>
          <w:u w:val="single"/>
          <w:lang w:val="en-GB"/>
        </w:rPr>
      </w:pPr>
      <w:r w:rsidRPr="002E3B2A">
        <w:rPr>
          <w:rFonts w:ascii="Open Sans" w:hAnsi="Open Sans" w:cs="Open Sans"/>
          <w:u w:val="single"/>
          <w:lang w:val="en-GB"/>
        </w:rPr>
        <w:t>Timeline</w:t>
      </w:r>
    </w:p>
    <w:tbl>
      <w:tblPr>
        <w:tblStyle w:val="TableGrid"/>
        <w:tblW w:w="0" w:type="auto"/>
        <w:tblLook w:val="04A0" w:firstRow="1" w:lastRow="0" w:firstColumn="1" w:lastColumn="0" w:noHBand="0" w:noVBand="1"/>
      </w:tblPr>
      <w:tblGrid>
        <w:gridCol w:w="1271"/>
        <w:gridCol w:w="4394"/>
        <w:gridCol w:w="1556"/>
      </w:tblGrid>
      <w:tr w:rsidR="00440148" w:rsidRPr="002E3B2A" w14:paraId="2CD99256"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7968FC83"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Month</w:t>
            </w:r>
          </w:p>
        </w:tc>
        <w:tc>
          <w:tcPr>
            <w:tcW w:w="4394" w:type="dxa"/>
            <w:tcBorders>
              <w:top w:val="single" w:sz="4" w:space="0" w:color="auto"/>
              <w:left w:val="single" w:sz="4" w:space="0" w:color="auto"/>
              <w:bottom w:val="single" w:sz="4" w:space="0" w:color="auto"/>
              <w:right w:val="single" w:sz="4" w:space="0" w:color="auto"/>
            </w:tcBorders>
            <w:hideMark/>
          </w:tcPr>
          <w:p w14:paraId="4BAC22C7"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Activity</w:t>
            </w:r>
          </w:p>
        </w:tc>
        <w:tc>
          <w:tcPr>
            <w:tcW w:w="1556" w:type="dxa"/>
            <w:tcBorders>
              <w:top w:val="single" w:sz="4" w:space="0" w:color="auto"/>
              <w:left w:val="single" w:sz="4" w:space="0" w:color="auto"/>
              <w:bottom w:val="single" w:sz="4" w:space="0" w:color="auto"/>
              <w:right w:val="single" w:sz="4" w:space="0" w:color="auto"/>
            </w:tcBorders>
            <w:hideMark/>
          </w:tcPr>
          <w:p w14:paraId="25BF096E"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 xml:space="preserve">Responsible </w:t>
            </w:r>
          </w:p>
        </w:tc>
      </w:tr>
      <w:tr w:rsidR="00440148" w:rsidRPr="002E3B2A" w14:paraId="56651A5D"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31CFAAC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February</w:t>
            </w:r>
          </w:p>
        </w:tc>
        <w:tc>
          <w:tcPr>
            <w:tcW w:w="4394" w:type="dxa"/>
            <w:tcBorders>
              <w:top w:val="single" w:sz="4" w:space="0" w:color="auto"/>
              <w:left w:val="single" w:sz="4" w:space="0" w:color="auto"/>
              <w:bottom w:val="single" w:sz="4" w:space="0" w:color="auto"/>
              <w:right w:val="single" w:sz="4" w:space="0" w:color="auto"/>
            </w:tcBorders>
            <w:hideMark/>
          </w:tcPr>
          <w:p w14:paraId="06D6B331"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Methodology, scope and structure of the Paper</w:t>
            </w:r>
          </w:p>
        </w:tc>
        <w:tc>
          <w:tcPr>
            <w:tcW w:w="1556" w:type="dxa"/>
            <w:tcBorders>
              <w:top w:val="single" w:sz="4" w:space="0" w:color="auto"/>
              <w:left w:val="single" w:sz="4" w:space="0" w:color="auto"/>
              <w:bottom w:val="single" w:sz="4" w:space="0" w:color="auto"/>
              <w:right w:val="single" w:sz="4" w:space="0" w:color="auto"/>
            </w:tcBorders>
            <w:hideMark/>
          </w:tcPr>
          <w:p w14:paraId="75A502B0"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EYC  WG</w:t>
            </w:r>
          </w:p>
        </w:tc>
      </w:tr>
      <w:tr w:rsidR="00440148" w:rsidRPr="002E3B2A" w14:paraId="27640858"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7FB1488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Feb – March</w:t>
            </w:r>
          </w:p>
        </w:tc>
        <w:tc>
          <w:tcPr>
            <w:tcW w:w="4394" w:type="dxa"/>
            <w:tcBorders>
              <w:top w:val="single" w:sz="4" w:space="0" w:color="auto"/>
              <w:left w:val="single" w:sz="4" w:space="0" w:color="auto"/>
              <w:bottom w:val="single" w:sz="4" w:space="0" w:color="auto"/>
              <w:right w:val="single" w:sz="4" w:space="0" w:color="auto"/>
            </w:tcBorders>
            <w:hideMark/>
          </w:tcPr>
          <w:p w14:paraId="4F37A48D"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Desk Research &amp; Internal Consultations</w:t>
            </w:r>
          </w:p>
        </w:tc>
        <w:tc>
          <w:tcPr>
            <w:tcW w:w="1556" w:type="dxa"/>
            <w:tcBorders>
              <w:top w:val="single" w:sz="4" w:space="0" w:color="auto"/>
              <w:left w:val="single" w:sz="4" w:space="0" w:color="auto"/>
              <w:bottom w:val="single" w:sz="4" w:space="0" w:color="auto"/>
              <w:right w:val="single" w:sz="4" w:space="0" w:color="auto"/>
            </w:tcBorders>
            <w:hideMark/>
          </w:tcPr>
          <w:p w14:paraId="24B0A2D8"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Drafting team</w:t>
            </w:r>
          </w:p>
        </w:tc>
      </w:tr>
      <w:tr w:rsidR="00440148" w:rsidRPr="002E3B2A" w14:paraId="7435261D"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43A0E39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March</w:t>
            </w:r>
          </w:p>
        </w:tc>
        <w:tc>
          <w:tcPr>
            <w:tcW w:w="4394" w:type="dxa"/>
            <w:tcBorders>
              <w:top w:val="single" w:sz="4" w:space="0" w:color="auto"/>
              <w:left w:val="single" w:sz="4" w:space="0" w:color="auto"/>
              <w:bottom w:val="single" w:sz="4" w:space="0" w:color="auto"/>
              <w:right w:val="single" w:sz="4" w:space="0" w:color="auto"/>
            </w:tcBorders>
            <w:hideMark/>
          </w:tcPr>
          <w:p w14:paraId="0E473C72"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First draft of Position Paper</w:t>
            </w:r>
          </w:p>
        </w:tc>
        <w:tc>
          <w:tcPr>
            <w:tcW w:w="1556" w:type="dxa"/>
            <w:tcBorders>
              <w:top w:val="single" w:sz="4" w:space="0" w:color="auto"/>
              <w:left w:val="single" w:sz="4" w:space="0" w:color="auto"/>
              <w:bottom w:val="single" w:sz="4" w:space="0" w:color="auto"/>
              <w:right w:val="single" w:sz="4" w:space="0" w:color="auto"/>
            </w:tcBorders>
            <w:hideMark/>
          </w:tcPr>
          <w:p w14:paraId="5DE6A42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Lead editor</w:t>
            </w:r>
          </w:p>
        </w:tc>
      </w:tr>
      <w:tr w:rsidR="00440148" w:rsidRPr="002E3B2A" w14:paraId="57E6F6E3"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36042996"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April</w:t>
            </w:r>
          </w:p>
        </w:tc>
        <w:tc>
          <w:tcPr>
            <w:tcW w:w="4394" w:type="dxa"/>
            <w:tcBorders>
              <w:top w:val="single" w:sz="4" w:space="0" w:color="auto"/>
              <w:left w:val="single" w:sz="4" w:space="0" w:color="auto"/>
              <w:bottom w:val="single" w:sz="4" w:space="0" w:color="auto"/>
              <w:right w:val="single" w:sz="4" w:space="0" w:color="auto"/>
            </w:tcBorders>
            <w:hideMark/>
          </w:tcPr>
          <w:p w14:paraId="58BC2D7E"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Internal review &amp; validation</w:t>
            </w:r>
          </w:p>
        </w:tc>
        <w:tc>
          <w:tcPr>
            <w:tcW w:w="1556" w:type="dxa"/>
            <w:tcBorders>
              <w:top w:val="single" w:sz="4" w:space="0" w:color="auto"/>
              <w:left w:val="single" w:sz="4" w:space="0" w:color="auto"/>
              <w:bottom w:val="single" w:sz="4" w:space="0" w:color="auto"/>
              <w:right w:val="single" w:sz="4" w:space="0" w:color="auto"/>
            </w:tcBorders>
            <w:hideMark/>
          </w:tcPr>
          <w:p w14:paraId="462A17F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EYC</w:t>
            </w:r>
          </w:p>
        </w:tc>
      </w:tr>
      <w:tr w:rsidR="00440148" w:rsidRPr="002E3B2A" w14:paraId="53241925" w14:textId="77777777" w:rsidTr="00440148">
        <w:tc>
          <w:tcPr>
            <w:tcW w:w="1271" w:type="dxa"/>
            <w:tcBorders>
              <w:top w:val="single" w:sz="4" w:space="0" w:color="auto"/>
              <w:left w:val="single" w:sz="4" w:space="0" w:color="auto"/>
              <w:bottom w:val="single" w:sz="4" w:space="0" w:color="auto"/>
              <w:right w:val="single" w:sz="4" w:space="0" w:color="auto"/>
            </w:tcBorders>
            <w:hideMark/>
          </w:tcPr>
          <w:p w14:paraId="529A4239"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May</w:t>
            </w:r>
          </w:p>
        </w:tc>
        <w:tc>
          <w:tcPr>
            <w:tcW w:w="4394" w:type="dxa"/>
            <w:tcBorders>
              <w:top w:val="single" w:sz="4" w:space="0" w:color="auto"/>
              <w:left w:val="single" w:sz="4" w:space="0" w:color="auto"/>
              <w:bottom w:val="single" w:sz="4" w:space="0" w:color="auto"/>
              <w:right w:val="single" w:sz="4" w:space="0" w:color="auto"/>
            </w:tcBorders>
            <w:hideMark/>
          </w:tcPr>
          <w:p w14:paraId="02EB63CC"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Final draft &amp; presentation at EUSAIR Annual Forum</w:t>
            </w:r>
          </w:p>
        </w:tc>
        <w:tc>
          <w:tcPr>
            <w:tcW w:w="1556" w:type="dxa"/>
            <w:tcBorders>
              <w:top w:val="single" w:sz="4" w:space="0" w:color="auto"/>
              <w:left w:val="single" w:sz="4" w:space="0" w:color="auto"/>
              <w:bottom w:val="single" w:sz="4" w:space="0" w:color="auto"/>
              <w:right w:val="single" w:sz="4" w:space="0" w:color="auto"/>
            </w:tcBorders>
            <w:hideMark/>
          </w:tcPr>
          <w:p w14:paraId="1B60297B" w14:textId="77777777" w:rsidR="00440148" w:rsidRPr="002E3B2A" w:rsidRDefault="00440148" w:rsidP="00855F11">
            <w:pPr>
              <w:spacing w:after="160" w:line="259" w:lineRule="auto"/>
              <w:jc w:val="both"/>
              <w:rPr>
                <w:rFonts w:ascii="Open Sans" w:hAnsi="Open Sans" w:cs="Open Sans"/>
                <w:lang w:val="en-GB"/>
              </w:rPr>
            </w:pPr>
            <w:r w:rsidRPr="002E3B2A">
              <w:rPr>
                <w:rFonts w:ascii="Open Sans" w:hAnsi="Open Sans" w:cs="Open Sans"/>
                <w:lang w:val="en-GB"/>
              </w:rPr>
              <w:t xml:space="preserve">EYC Co-chairs </w:t>
            </w:r>
          </w:p>
        </w:tc>
      </w:tr>
    </w:tbl>
    <w:p w14:paraId="4348A5FA" w14:textId="77777777" w:rsidR="00440148" w:rsidRPr="002E3B2A" w:rsidRDefault="00440148" w:rsidP="00855F11">
      <w:pPr>
        <w:jc w:val="both"/>
        <w:rPr>
          <w:rFonts w:ascii="Open Sans" w:hAnsi="Open Sans" w:cs="Open Sans"/>
        </w:rPr>
      </w:pPr>
      <w:r w:rsidRPr="002E3B2A">
        <w:rPr>
          <w:rFonts w:ascii="Open Sans" w:hAnsi="Open Sans" w:cs="Open Sans"/>
        </w:rPr>
        <w:br w:type="page"/>
      </w:r>
    </w:p>
    <w:p w14:paraId="4EA85EBE" w14:textId="77777777" w:rsidR="00440148" w:rsidRPr="002E3B2A" w:rsidRDefault="00440148" w:rsidP="003176D1">
      <w:pPr>
        <w:pStyle w:val="Heading2"/>
        <w:rPr>
          <w:rFonts w:ascii="Open Sans" w:hAnsi="Open Sans" w:cs="Open Sans"/>
          <w:lang w:val="en-GB"/>
        </w:rPr>
      </w:pPr>
      <w:bookmarkStart w:id="45" w:name="_Toc220660666"/>
      <w:bookmarkStart w:id="46" w:name="_Toc221098335"/>
      <w:bookmarkStart w:id="47" w:name="_Toc221100067"/>
      <w:bookmarkStart w:id="48" w:name="_Toc221287163"/>
      <w:r w:rsidRPr="002E3B2A">
        <w:rPr>
          <w:rFonts w:ascii="Open Sans" w:hAnsi="Open Sans" w:cs="Open Sans"/>
          <w:lang w:val="en-GB"/>
        </w:rPr>
        <w:t>EUSAIR Thematic Briefings: A Structured Framework for Process-Relevant Youth Input</w:t>
      </w:r>
      <w:bookmarkEnd w:id="45"/>
      <w:bookmarkEnd w:id="46"/>
      <w:bookmarkEnd w:id="47"/>
      <w:bookmarkEnd w:id="48"/>
    </w:p>
    <w:p w14:paraId="77A252C1" w14:textId="77777777" w:rsidR="00440148" w:rsidRPr="002E3B2A" w:rsidRDefault="00440148" w:rsidP="00855F11">
      <w:pPr>
        <w:numPr>
          <w:ilvl w:val="0"/>
          <w:numId w:val="18"/>
        </w:numPr>
        <w:jc w:val="both"/>
        <w:rPr>
          <w:rFonts w:ascii="Open Sans" w:hAnsi="Open Sans" w:cs="Open Sans"/>
          <w:u w:val="single"/>
          <w:lang w:val="en-GB"/>
        </w:rPr>
      </w:pPr>
      <w:r w:rsidRPr="002E3B2A">
        <w:rPr>
          <w:rFonts w:ascii="Open Sans" w:hAnsi="Open Sans" w:cs="Open Sans"/>
          <w:u w:val="single"/>
          <w:lang w:val="en-GB"/>
        </w:rPr>
        <w:t>Main theme/Topic</w:t>
      </w:r>
    </w:p>
    <w:p w14:paraId="26A5842C"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Structured thematic dialogues across all five EUSAIR pillars to support coherent and informed youth participation in EUSAIR processes.</w:t>
      </w:r>
    </w:p>
    <w:p w14:paraId="36CC5AA9" w14:textId="77777777" w:rsidR="00440148" w:rsidRPr="002E3B2A" w:rsidRDefault="00440148" w:rsidP="00855F11">
      <w:pPr>
        <w:jc w:val="both"/>
        <w:rPr>
          <w:rFonts w:ascii="Open Sans" w:hAnsi="Open Sans" w:cs="Open Sans"/>
          <w:lang w:val="en-GB"/>
        </w:rPr>
      </w:pPr>
    </w:p>
    <w:p w14:paraId="58BED498" w14:textId="77777777" w:rsidR="00440148" w:rsidRPr="002E3B2A" w:rsidRDefault="00440148" w:rsidP="00855F11">
      <w:pPr>
        <w:numPr>
          <w:ilvl w:val="0"/>
          <w:numId w:val="18"/>
        </w:numPr>
        <w:jc w:val="both"/>
        <w:rPr>
          <w:rFonts w:ascii="Open Sans" w:hAnsi="Open Sans" w:cs="Open Sans"/>
          <w:u w:val="single"/>
          <w:lang w:val="en-GB"/>
        </w:rPr>
      </w:pPr>
      <w:r w:rsidRPr="002E3B2A">
        <w:rPr>
          <w:rFonts w:ascii="Open Sans" w:hAnsi="Open Sans" w:cs="Open Sans"/>
          <w:u w:val="single"/>
          <w:lang w:val="en-GB"/>
        </w:rPr>
        <w:t>Goals and objectives</w:t>
      </w:r>
    </w:p>
    <w:p w14:paraId="7D36628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Overall goal:</w:t>
      </w:r>
    </w:p>
    <w:p w14:paraId="2A6DFAFB" w14:textId="77777777" w:rsidR="00440148" w:rsidRPr="002E3B2A" w:rsidRDefault="00440148" w:rsidP="00855F11">
      <w:pPr>
        <w:numPr>
          <w:ilvl w:val="0"/>
          <w:numId w:val="19"/>
        </w:numPr>
        <w:jc w:val="both"/>
        <w:rPr>
          <w:rFonts w:ascii="Open Sans" w:hAnsi="Open Sans" w:cs="Open Sans"/>
          <w:lang w:val="en-GB"/>
        </w:rPr>
      </w:pPr>
      <w:r w:rsidRPr="002E3B2A">
        <w:rPr>
          <w:rFonts w:ascii="Open Sans" w:hAnsi="Open Sans" w:cs="Open Sans"/>
          <w:lang w:val="en-GB"/>
        </w:rPr>
        <w:t>To enhance the relevance, coherence, and applicability of youth contributions to EUSAIR policy discussions.</w:t>
      </w:r>
    </w:p>
    <w:p w14:paraId="58423C6F"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Specific objectives:</w:t>
      </w:r>
    </w:p>
    <w:p w14:paraId="00155295" w14:textId="77777777" w:rsidR="00440148" w:rsidRPr="002E3B2A" w:rsidRDefault="00440148" w:rsidP="00855F11">
      <w:pPr>
        <w:numPr>
          <w:ilvl w:val="0"/>
          <w:numId w:val="20"/>
        </w:numPr>
        <w:jc w:val="both"/>
        <w:rPr>
          <w:rFonts w:ascii="Open Sans" w:hAnsi="Open Sans" w:cs="Open Sans"/>
          <w:lang w:val="en-GB"/>
        </w:rPr>
      </w:pPr>
      <w:r w:rsidRPr="002E3B2A">
        <w:rPr>
          <w:rFonts w:ascii="Open Sans" w:hAnsi="Open Sans" w:cs="Open Sans"/>
          <w:lang w:val="en-GB"/>
        </w:rPr>
        <w:t>To provide EYC members with timely thematic briefings linked to ongoing and upcoming EUSAIR Pillar-specific developments.</w:t>
      </w:r>
    </w:p>
    <w:p w14:paraId="4D0DD2F4" w14:textId="77777777" w:rsidR="00440148" w:rsidRPr="002E3B2A" w:rsidRDefault="00440148" w:rsidP="00855F11">
      <w:pPr>
        <w:numPr>
          <w:ilvl w:val="0"/>
          <w:numId w:val="20"/>
        </w:numPr>
        <w:jc w:val="both"/>
        <w:rPr>
          <w:rFonts w:ascii="Open Sans" w:hAnsi="Open Sans" w:cs="Open Sans"/>
          <w:lang w:val="en-GB"/>
        </w:rPr>
      </w:pPr>
      <w:r w:rsidRPr="002E3B2A">
        <w:rPr>
          <w:rFonts w:ascii="Open Sans" w:hAnsi="Open Sans" w:cs="Open Sans"/>
          <w:lang w:val="en-GB"/>
        </w:rPr>
        <w:t>To structure existing informal knowledge exchanges between EYC TSG members and EUSAIR experts.</w:t>
      </w:r>
    </w:p>
    <w:p w14:paraId="2662B6A8" w14:textId="686A9F67" w:rsidR="00440148" w:rsidRPr="002E3B2A" w:rsidRDefault="00440148" w:rsidP="00855F11">
      <w:pPr>
        <w:numPr>
          <w:ilvl w:val="0"/>
          <w:numId w:val="20"/>
        </w:numPr>
        <w:jc w:val="both"/>
        <w:rPr>
          <w:rFonts w:ascii="Open Sans" w:hAnsi="Open Sans" w:cs="Open Sans"/>
          <w:lang w:val="en-GB"/>
        </w:rPr>
      </w:pPr>
      <w:r w:rsidRPr="002E3B2A">
        <w:rPr>
          <w:rFonts w:ascii="Open Sans" w:hAnsi="Open Sans" w:cs="Open Sans"/>
          <w:lang w:val="en-GB"/>
        </w:rPr>
        <w:t xml:space="preserve">To support institutional memory within the EYC amid periodic membership </w:t>
      </w:r>
      <w:r w:rsidR="00D92184" w:rsidRPr="002E3B2A">
        <w:rPr>
          <w:rFonts w:ascii="Open Sans" w:hAnsi="Open Sans" w:cs="Open Sans"/>
          <w:lang w:val="en-GB"/>
        </w:rPr>
        <w:t>turnovers</w:t>
      </w:r>
      <w:r w:rsidRPr="002E3B2A">
        <w:rPr>
          <w:rFonts w:ascii="Open Sans" w:hAnsi="Open Sans" w:cs="Open Sans"/>
          <w:lang w:val="en-GB"/>
        </w:rPr>
        <w:t>.</w:t>
      </w:r>
    </w:p>
    <w:p w14:paraId="34060E3E" w14:textId="77777777" w:rsidR="00440148" w:rsidRPr="002E3B2A" w:rsidRDefault="00440148" w:rsidP="00855F11">
      <w:pPr>
        <w:numPr>
          <w:ilvl w:val="0"/>
          <w:numId w:val="20"/>
        </w:numPr>
        <w:jc w:val="both"/>
        <w:rPr>
          <w:rFonts w:ascii="Open Sans" w:hAnsi="Open Sans" w:cs="Open Sans"/>
          <w:lang w:val="en-GB"/>
        </w:rPr>
      </w:pPr>
      <w:r w:rsidRPr="002E3B2A">
        <w:rPr>
          <w:rFonts w:ascii="Open Sans" w:hAnsi="Open Sans" w:cs="Open Sans"/>
          <w:lang w:val="en-GB"/>
        </w:rPr>
        <w:t>To strengthen dialogue between youth representatives, TSG actors, and Pillar Coordinators.</w:t>
      </w:r>
    </w:p>
    <w:p w14:paraId="675D37BD" w14:textId="77777777" w:rsidR="00440148" w:rsidRPr="002E3B2A" w:rsidRDefault="00440148" w:rsidP="00855F11">
      <w:pPr>
        <w:jc w:val="both"/>
        <w:rPr>
          <w:rFonts w:ascii="Open Sans" w:hAnsi="Open Sans" w:cs="Open Sans"/>
          <w:lang w:val="en-GB"/>
        </w:rPr>
      </w:pPr>
    </w:p>
    <w:p w14:paraId="33D01078" w14:textId="5094455B" w:rsidR="00440148" w:rsidRPr="002E3B2A" w:rsidRDefault="00440148" w:rsidP="00855F11">
      <w:pPr>
        <w:numPr>
          <w:ilvl w:val="0"/>
          <w:numId w:val="18"/>
        </w:numPr>
        <w:jc w:val="both"/>
        <w:rPr>
          <w:rFonts w:ascii="Open Sans" w:hAnsi="Open Sans" w:cs="Open Sans"/>
          <w:u w:val="single"/>
          <w:lang w:val="en-GB"/>
        </w:rPr>
      </w:pPr>
      <w:r w:rsidRPr="002E3B2A">
        <w:rPr>
          <w:rFonts w:ascii="Open Sans" w:hAnsi="Open Sans" w:cs="Open Sans"/>
          <w:u w:val="single"/>
          <w:lang w:val="en-GB"/>
        </w:rPr>
        <w:t>Why does this matter for Youth in the EUSAIR region?</w:t>
      </w:r>
    </w:p>
    <w:p w14:paraId="5014AD73" w14:textId="5C2D7154"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EUSIR Youth Council members represent diverse youth perspectives across a wide range of policy areas, embracing differences in background and experience. This initiative aspires to develop a more levelled playing field </w:t>
      </w:r>
      <w:r w:rsidR="00D92184" w:rsidRPr="002E3B2A">
        <w:rPr>
          <w:rFonts w:ascii="Open Sans" w:hAnsi="Open Sans" w:cs="Open Sans"/>
          <w:lang w:val="en-GB"/>
        </w:rPr>
        <w:t>regarding</w:t>
      </w:r>
      <w:r w:rsidRPr="002E3B2A">
        <w:rPr>
          <w:rFonts w:ascii="Open Sans" w:hAnsi="Open Sans" w:cs="Open Sans"/>
          <w:lang w:val="en-GB"/>
        </w:rPr>
        <w:t xml:space="preserve"> their access to contextual information relevant to concrete EUSAIR discussions, enabling all members to contribute meaningfully and confidently. It supports fair participation, continuity across mandates, and clearer youth positions within the Thematic Steering Groups. By improving the quality and clarity of youth input, the initiative also enhances the credibility and impact of youth representation in EUSAIR decision-making. This ultimately advances both young people's trust on the EUSAIR governing structures, </w:t>
      </w:r>
      <w:r w:rsidR="00E83C8E" w:rsidRPr="002E3B2A">
        <w:rPr>
          <w:rFonts w:ascii="Open Sans" w:hAnsi="Open Sans" w:cs="Open Sans"/>
          <w:lang w:val="en-GB"/>
        </w:rPr>
        <w:t>as well as</w:t>
      </w:r>
      <w:r w:rsidRPr="002E3B2A">
        <w:rPr>
          <w:rFonts w:ascii="Open Sans" w:hAnsi="Open Sans" w:cs="Open Sans"/>
          <w:lang w:val="en-GB"/>
        </w:rPr>
        <w:t xml:space="preserve"> the </w:t>
      </w:r>
      <w:r w:rsidR="00DC7965" w:rsidRPr="002E3B2A">
        <w:rPr>
          <w:rFonts w:ascii="Open Sans" w:hAnsi="Open Sans" w:cs="Open Sans"/>
          <w:lang w:val="en-GB"/>
        </w:rPr>
        <w:t>latter</w:t>
      </w:r>
      <w:r w:rsidRPr="002E3B2A">
        <w:rPr>
          <w:rFonts w:ascii="Open Sans" w:hAnsi="Open Sans" w:cs="Open Sans"/>
          <w:lang w:val="en-GB"/>
        </w:rPr>
        <w:t xml:space="preserve"> </w:t>
      </w:r>
      <w:r w:rsidR="00D92184" w:rsidRPr="002E3B2A">
        <w:rPr>
          <w:rFonts w:ascii="Open Sans" w:hAnsi="Open Sans" w:cs="Open Sans"/>
          <w:lang w:val="en-GB"/>
        </w:rPr>
        <w:t>on ground</w:t>
      </w:r>
      <w:r w:rsidRPr="002E3B2A">
        <w:rPr>
          <w:rFonts w:ascii="Open Sans" w:hAnsi="Open Sans" w:cs="Open Sans"/>
          <w:lang w:val="en-GB"/>
        </w:rPr>
        <w:t xml:space="preserve"> effectiveness.</w:t>
      </w:r>
    </w:p>
    <w:p w14:paraId="444EF729" w14:textId="77777777" w:rsidR="00440148" w:rsidRPr="002E3B2A" w:rsidRDefault="00440148" w:rsidP="00855F11">
      <w:pPr>
        <w:jc w:val="both"/>
        <w:rPr>
          <w:rFonts w:ascii="Open Sans" w:hAnsi="Open Sans" w:cs="Open Sans"/>
          <w:lang w:val="en-GB"/>
        </w:rPr>
      </w:pPr>
    </w:p>
    <w:p w14:paraId="246CA654" w14:textId="77777777" w:rsidR="00440148" w:rsidRPr="002E3B2A" w:rsidRDefault="00440148" w:rsidP="00855F11">
      <w:pPr>
        <w:numPr>
          <w:ilvl w:val="0"/>
          <w:numId w:val="18"/>
        </w:numPr>
        <w:jc w:val="both"/>
        <w:rPr>
          <w:rFonts w:ascii="Open Sans" w:hAnsi="Open Sans" w:cs="Open Sans"/>
          <w:u w:val="single"/>
          <w:lang w:val="en-GB"/>
        </w:rPr>
      </w:pPr>
      <w:r w:rsidRPr="002E3B2A">
        <w:rPr>
          <w:rFonts w:ascii="Open Sans" w:hAnsi="Open Sans" w:cs="Open Sans"/>
          <w:u w:val="single"/>
          <w:lang w:val="en-GB"/>
        </w:rPr>
        <w:t>Description of the initiative</w:t>
      </w:r>
    </w:p>
    <w:p w14:paraId="62590BCD" w14:textId="6F542BCD"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The initiative establishes a light, voluntary, and needs-based framework to structure thematic briefings between EUSAIR Youth Council members at the TSG level, and the respective EUSAIR actors across all five pillars. These </w:t>
      </w:r>
      <w:r w:rsidR="00E83C8E" w:rsidRPr="002E3B2A">
        <w:rPr>
          <w:rFonts w:ascii="Open Sans" w:hAnsi="Open Sans" w:cs="Open Sans"/>
          <w:lang w:val="en-GB"/>
        </w:rPr>
        <w:t>60–90-minute</w:t>
      </w:r>
      <w:r w:rsidRPr="002E3B2A">
        <w:rPr>
          <w:rFonts w:ascii="Open Sans" w:hAnsi="Open Sans" w:cs="Open Sans"/>
          <w:lang w:val="en-GB"/>
        </w:rPr>
        <w:t xml:space="preserve"> sessions can generally take place online, making use of already established EYC platforms of communication. Following a demand by EYC member/s, these briefings are organised only when relevant to concrete EUSAIR processes (e.g. upcoming TSG meetings, consultations, strategic updates) and in coordination with the Facility Point and Pillar Coordinators. Sessions are delivered by existing Pillar Coordinators, TSG representatives, or Facility Point pool of experts, and focus on contextual clarification, policy orientation, and exchange rather than training. Each dialogue is concise, targeted, and optimised to the appropriate level of policy and technical background of the participants. Short written follow-up summaries, prepared by the young participants, will capture the key meeting points, thus supporting continuity and institutional memory within the EYC, particularly in view of membership turnover. The initiative pays particular attention not to create any new mandates, structures, or obligations, rather consolidates interactions that already take place informally as part of EUSAIR governance.</w:t>
      </w:r>
    </w:p>
    <w:p w14:paraId="0D2697E9" w14:textId="77777777" w:rsidR="00440148" w:rsidRPr="002E3B2A" w:rsidRDefault="00440148" w:rsidP="00855F11">
      <w:pPr>
        <w:jc w:val="both"/>
        <w:rPr>
          <w:rFonts w:ascii="Open Sans" w:hAnsi="Open Sans" w:cs="Open Sans"/>
          <w:lang w:val="en-GB"/>
        </w:rPr>
      </w:pPr>
    </w:p>
    <w:p w14:paraId="585A46CD" w14:textId="4796D045" w:rsidR="00440148" w:rsidRPr="002E3B2A" w:rsidRDefault="00440148" w:rsidP="00855F11">
      <w:pPr>
        <w:numPr>
          <w:ilvl w:val="0"/>
          <w:numId w:val="18"/>
        </w:numPr>
        <w:jc w:val="both"/>
        <w:rPr>
          <w:rFonts w:ascii="Open Sans" w:hAnsi="Open Sans" w:cs="Open Sans"/>
          <w:u w:val="single"/>
          <w:lang w:val="en-GB"/>
        </w:rPr>
      </w:pPr>
      <w:r w:rsidRPr="002E3B2A">
        <w:rPr>
          <w:rFonts w:ascii="Open Sans" w:hAnsi="Open Sans" w:cs="Open Sans"/>
          <w:u w:val="single"/>
          <w:lang w:val="en-GB"/>
        </w:rPr>
        <w:t>Working group</w:t>
      </w:r>
    </w:p>
    <w:p w14:paraId="1A5AF9F2"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 xml:space="preserve">Size: </w:t>
      </w:r>
    </w:p>
    <w:p w14:paraId="2F3379BA"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Working Groups: 6 EYC members (each TSG Group Leaders) + 1 Facility Point Contact Person</w:t>
      </w:r>
    </w:p>
    <w:p w14:paraId="64D1B2FA"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Roles:</w:t>
      </w:r>
    </w:p>
    <w:p w14:paraId="5BCC1BED"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TSG Group Leaders:</w:t>
      </w:r>
    </w:p>
    <w:p w14:paraId="40583DA5" w14:textId="77777777" w:rsidR="00440148" w:rsidRPr="002E3B2A" w:rsidRDefault="00440148" w:rsidP="00855F11">
      <w:pPr>
        <w:numPr>
          <w:ilvl w:val="0"/>
          <w:numId w:val="22"/>
        </w:numPr>
        <w:jc w:val="both"/>
        <w:rPr>
          <w:rFonts w:ascii="Open Sans" w:hAnsi="Open Sans" w:cs="Open Sans"/>
          <w:lang w:val="en-GB"/>
        </w:rPr>
      </w:pPr>
      <w:r w:rsidRPr="002E3B2A">
        <w:rPr>
          <w:rFonts w:ascii="Open Sans" w:hAnsi="Open Sans" w:cs="Open Sans"/>
          <w:lang w:val="en-GB"/>
        </w:rPr>
        <w:t>Identify thematic needs within their respective TSG in consultation with its members</w:t>
      </w:r>
    </w:p>
    <w:p w14:paraId="1441C806" w14:textId="77777777" w:rsidR="00440148" w:rsidRPr="002E3B2A" w:rsidRDefault="00440148" w:rsidP="00855F11">
      <w:pPr>
        <w:numPr>
          <w:ilvl w:val="0"/>
          <w:numId w:val="22"/>
        </w:numPr>
        <w:jc w:val="both"/>
        <w:rPr>
          <w:rFonts w:ascii="Open Sans" w:hAnsi="Open Sans" w:cs="Open Sans"/>
          <w:lang w:val="en-GB"/>
        </w:rPr>
      </w:pPr>
      <w:r w:rsidRPr="002E3B2A">
        <w:rPr>
          <w:rFonts w:ascii="Open Sans" w:hAnsi="Open Sans" w:cs="Open Sans"/>
          <w:lang w:val="en-GB"/>
        </w:rPr>
        <w:t>Coordinate with Pillar Coordinators and Facility Point</w:t>
      </w:r>
    </w:p>
    <w:p w14:paraId="3AA342EE" w14:textId="77777777" w:rsidR="00440148" w:rsidRPr="002E3B2A" w:rsidRDefault="00440148" w:rsidP="00855F11">
      <w:pPr>
        <w:numPr>
          <w:ilvl w:val="0"/>
          <w:numId w:val="22"/>
        </w:numPr>
        <w:jc w:val="both"/>
        <w:rPr>
          <w:rFonts w:ascii="Open Sans" w:hAnsi="Open Sans" w:cs="Open Sans"/>
          <w:lang w:val="en-GB"/>
        </w:rPr>
      </w:pPr>
      <w:r w:rsidRPr="002E3B2A">
        <w:rPr>
          <w:rFonts w:ascii="Open Sans" w:hAnsi="Open Sans" w:cs="Open Sans"/>
          <w:lang w:val="en-GB"/>
        </w:rPr>
        <w:t>Organise and moderate the Briefing sessions</w:t>
      </w:r>
    </w:p>
    <w:p w14:paraId="244B7982" w14:textId="77777777" w:rsidR="00440148" w:rsidRPr="002E3B2A" w:rsidRDefault="00440148" w:rsidP="00855F11">
      <w:pPr>
        <w:numPr>
          <w:ilvl w:val="0"/>
          <w:numId w:val="22"/>
        </w:numPr>
        <w:jc w:val="both"/>
        <w:rPr>
          <w:rFonts w:ascii="Open Sans" w:hAnsi="Open Sans" w:cs="Open Sans"/>
          <w:lang w:val="en-GB"/>
        </w:rPr>
      </w:pPr>
      <w:r w:rsidRPr="002E3B2A">
        <w:rPr>
          <w:rFonts w:ascii="Open Sans" w:hAnsi="Open Sans" w:cs="Open Sans"/>
          <w:lang w:val="en-GB"/>
        </w:rPr>
        <w:t>Summarise key takeaways with input from the other young participants</w:t>
      </w:r>
    </w:p>
    <w:p w14:paraId="7E8129EB" w14:textId="77777777" w:rsidR="00440148" w:rsidRPr="002E3B2A" w:rsidRDefault="00440148" w:rsidP="00855F11">
      <w:pPr>
        <w:jc w:val="both"/>
        <w:rPr>
          <w:rFonts w:ascii="Open Sans" w:hAnsi="Open Sans" w:cs="Open Sans"/>
          <w:lang w:val="en-GB"/>
        </w:rPr>
      </w:pPr>
    </w:p>
    <w:p w14:paraId="3C321754"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Facility Point Contact Person</w:t>
      </w:r>
    </w:p>
    <w:p w14:paraId="68B5CE33" w14:textId="77777777" w:rsidR="00440148" w:rsidRPr="002E3B2A" w:rsidRDefault="00440148" w:rsidP="00855F11">
      <w:pPr>
        <w:numPr>
          <w:ilvl w:val="0"/>
          <w:numId w:val="23"/>
        </w:numPr>
        <w:jc w:val="both"/>
        <w:rPr>
          <w:rFonts w:ascii="Open Sans" w:hAnsi="Open Sans" w:cs="Open Sans"/>
          <w:lang w:val="en-GB"/>
        </w:rPr>
      </w:pPr>
      <w:r w:rsidRPr="002E3B2A">
        <w:rPr>
          <w:rFonts w:ascii="Open Sans" w:hAnsi="Open Sans" w:cs="Open Sans"/>
          <w:lang w:val="en-GB"/>
        </w:rPr>
        <w:t>Ensuring coherence of Brief8ng themes with EUSAIR Pillar priorities</w:t>
      </w:r>
    </w:p>
    <w:p w14:paraId="21B46ED1" w14:textId="77777777" w:rsidR="00440148" w:rsidRPr="002E3B2A" w:rsidRDefault="00440148" w:rsidP="00855F11">
      <w:pPr>
        <w:numPr>
          <w:ilvl w:val="0"/>
          <w:numId w:val="23"/>
        </w:numPr>
        <w:jc w:val="both"/>
        <w:rPr>
          <w:rFonts w:ascii="Open Sans" w:hAnsi="Open Sans" w:cs="Open Sans"/>
          <w:lang w:val="en-GB"/>
        </w:rPr>
      </w:pPr>
      <w:r w:rsidRPr="002E3B2A">
        <w:rPr>
          <w:rFonts w:ascii="Open Sans" w:hAnsi="Open Sans" w:cs="Open Sans"/>
          <w:lang w:val="en-GB"/>
        </w:rPr>
        <w:t>Assist in identifying the suitable Brief8ng Expert, and facilitating communication</w:t>
      </w:r>
    </w:p>
    <w:p w14:paraId="220C1E2C" w14:textId="77777777" w:rsidR="00440148" w:rsidRPr="002E3B2A" w:rsidRDefault="00440148" w:rsidP="00855F11">
      <w:pPr>
        <w:numPr>
          <w:ilvl w:val="0"/>
          <w:numId w:val="23"/>
        </w:numPr>
        <w:jc w:val="both"/>
        <w:rPr>
          <w:rFonts w:ascii="Open Sans" w:hAnsi="Open Sans" w:cs="Open Sans"/>
          <w:lang w:val="en-GB"/>
        </w:rPr>
      </w:pPr>
      <w:r w:rsidRPr="002E3B2A">
        <w:rPr>
          <w:rFonts w:ascii="Open Sans" w:hAnsi="Open Sans" w:cs="Open Sans"/>
          <w:lang w:val="en-GB"/>
        </w:rPr>
        <w:t>Providing the necessary technical tools for organizing the briefings</w:t>
      </w:r>
    </w:p>
    <w:p w14:paraId="45EE3415" w14:textId="77777777" w:rsidR="00440148" w:rsidRPr="002E3B2A" w:rsidRDefault="00440148" w:rsidP="00855F11">
      <w:pPr>
        <w:numPr>
          <w:ilvl w:val="0"/>
          <w:numId w:val="23"/>
        </w:numPr>
        <w:jc w:val="both"/>
        <w:rPr>
          <w:rFonts w:ascii="Open Sans" w:hAnsi="Open Sans" w:cs="Open Sans"/>
          <w:lang w:val="en-GB"/>
        </w:rPr>
      </w:pPr>
      <w:r w:rsidRPr="002E3B2A">
        <w:rPr>
          <w:rFonts w:ascii="Open Sans" w:hAnsi="Open Sans" w:cs="Open Sans"/>
          <w:lang w:val="en-GB"/>
        </w:rPr>
        <w:t>Planning of small-scale budgetary support, if needs arise.</w:t>
      </w:r>
    </w:p>
    <w:p w14:paraId="5E50E903" w14:textId="77777777" w:rsidR="00440148" w:rsidRPr="002E3B2A" w:rsidRDefault="00440148" w:rsidP="00855F11">
      <w:pPr>
        <w:jc w:val="both"/>
        <w:rPr>
          <w:rFonts w:ascii="Open Sans" w:hAnsi="Open Sans" w:cs="Open Sans"/>
          <w:u w:val="single"/>
          <w:lang w:val="en-GB"/>
        </w:rPr>
      </w:pPr>
    </w:p>
    <w:p w14:paraId="166A0241" w14:textId="7BAACA30" w:rsidR="00440148" w:rsidRPr="002E3B2A" w:rsidRDefault="00440148" w:rsidP="00855F11">
      <w:pPr>
        <w:numPr>
          <w:ilvl w:val="0"/>
          <w:numId w:val="18"/>
        </w:numPr>
        <w:jc w:val="both"/>
        <w:rPr>
          <w:rFonts w:ascii="Open Sans" w:hAnsi="Open Sans" w:cs="Open Sans"/>
          <w:u w:val="single"/>
          <w:lang w:val="en-GB"/>
        </w:rPr>
      </w:pPr>
      <w:r w:rsidRPr="002E3B2A">
        <w:rPr>
          <w:rFonts w:ascii="Open Sans" w:hAnsi="Open Sans" w:cs="Open Sans"/>
          <w:u w:val="single"/>
          <w:lang w:val="en-GB"/>
        </w:rPr>
        <w:t xml:space="preserve">Resources </w:t>
      </w:r>
    </w:p>
    <w:p w14:paraId="7BE52A43"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Financing: Resources needed:</w:t>
      </w:r>
    </w:p>
    <w:tbl>
      <w:tblPr>
        <w:tblStyle w:val="TableGrid"/>
        <w:tblW w:w="0" w:type="auto"/>
        <w:tblLook w:val="04A0" w:firstRow="1" w:lastRow="0" w:firstColumn="1" w:lastColumn="0" w:noHBand="0" w:noVBand="1"/>
      </w:tblPr>
      <w:tblGrid>
        <w:gridCol w:w="3209"/>
        <w:gridCol w:w="3209"/>
        <w:gridCol w:w="3210"/>
      </w:tblGrid>
      <w:tr w:rsidR="00414D90" w:rsidRPr="002E3B2A" w14:paraId="02C03736" w14:textId="77777777" w:rsidTr="00414D90">
        <w:tc>
          <w:tcPr>
            <w:tcW w:w="3209" w:type="dxa"/>
          </w:tcPr>
          <w:p w14:paraId="71EEA11A" w14:textId="0CC6F568" w:rsidR="00414D90" w:rsidRPr="002E3B2A" w:rsidRDefault="00414D90" w:rsidP="00855F11">
            <w:pPr>
              <w:jc w:val="both"/>
              <w:rPr>
                <w:rFonts w:ascii="Open Sans" w:hAnsi="Open Sans" w:cs="Open Sans"/>
                <w:b/>
                <w:bCs/>
                <w:lang w:val="en-GB"/>
              </w:rPr>
            </w:pPr>
            <w:r w:rsidRPr="002E3B2A">
              <w:rPr>
                <w:rFonts w:ascii="Open Sans" w:hAnsi="Open Sans" w:cs="Open Sans"/>
                <w:b/>
                <w:bCs/>
                <w:lang w:val="en-GB"/>
              </w:rPr>
              <w:t>Resources</w:t>
            </w:r>
          </w:p>
        </w:tc>
        <w:tc>
          <w:tcPr>
            <w:tcW w:w="3209" w:type="dxa"/>
          </w:tcPr>
          <w:p w14:paraId="6AA7680A" w14:textId="4D0F1D8B" w:rsidR="00414D90" w:rsidRPr="002E3B2A" w:rsidRDefault="00414D90" w:rsidP="00855F11">
            <w:pPr>
              <w:jc w:val="both"/>
              <w:rPr>
                <w:rFonts w:ascii="Open Sans" w:hAnsi="Open Sans" w:cs="Open Sans"/>
                <w:b/>
                <w:bCs/>
                <w:lang w:val="en-GB"/>
              </w:rPr>
            </w:pPr>
            <w:r w:rsidRPr="002E3B2A">
              <w:rPr>
                <w:rFonts w:ascii="Open Sans" w:hAnsi="Open Sans" w:cs="Open Sans"/>
                <w:b/>
                <w:bCs/>
                <w:lang w:val="en-GB"/>
              </w:rPr>
              <w:t xml:space="preserve">Internal/External </w:t>
            </w:r>
          </w:p>
        </w:tc>
        <w:tc>
          <w:tcPr>
            <w:tcW w:w="3210" w:type="dxa"/>
          </w:tcPr>
          <w:p w14:paraId="334F42BE" w14:textId="54A6D922" w:rsidR="00414D90" w:rsidRPr="002E3B2A" w:rsidRDefault="00414D90" w:rsidP="00855F11">
            <w:pPr>
              <w:jc w:val="both"/>
              <w:rPr>
                <w:rFonts w:ascii="Open Sans" w:hAnsi="Open Sans" w:cs="Open Sans"/>
                <w:b/>
                <w:bCs/>
                <w:lang w:val="en-GB"/>
              </w:rPr>
            </w:pPr>
            <w:r w:rsidRPr="002E3B2A">
              <w:rPr>
                <w:rFonts w:ascii="Open Sans" w:hAnsi="Open Sans" w:cs="Open Sans"/>
                <w:b/>
                <w:bCs/>
                <w:lang w:val="en-GB"/>
              </w:rPr>
              <w:t>Added monetary cost (€)</w:t>
            </w:r>
          </w:p>
        </w:tc>
      </w:tr>
      <w:tr w:rsidR="00414D90" w:rsidRPr="002E3B2A" w14:paraId="083F50C9" w14:textId="77777777" w:rsidTr="00414D90">
        <w:tc>
          <w:tcPr>
            <w:tcW w:w="3209" w:type="dxa"/>
          </w:tcPr>
          <w:p w14:paraId="2312D156" w14:textId="1EDA30DB" w:rsidR="00414D90" w:rsidRPr="002E3B2A" w:rsidRDefault="00414D90" w:rsidP="00855F11">
            <w:pPr>
              <w:jc w:val="both"/>
              <w:rPr>
                <w:rFonts w:ascii="Open Sans" w:hAnsi="Open Sans" w:cs="Open Sans"/>
                <w:lang w:val="en-GB"/>
              </w:rPr>
            </w:pPr>
            <w:r w:rsidRPr="002E3B2A">
              <w:rPr>
                <w:rFonts w:ascii="Open Sans" w:hAnsi="Open Sans" w:cs="Open Sans"/>
                <w:lang w:val="en-GB"/>
              </w:rPr>
              <w:t>Time input from existing EUSAIR experts and coordinators</w:t>
            </w:r>
          </w:p>
        </w:tc>
        <w:tc>
          <w:tcPr>
            <w:tcW w:w="3209" w:type="dxa"/>
          </w:tcPr>
          <w:p w14:paraId="23F584FF" w14:textId="046C5B54" w:rsidR="00414D90" w:rsidRPr="002E3B2A" w:rsidRDefault="00414D90" w:rsidP="00855F11">
            <w:pPr>
              <w:jc w:val="both"/>
              <w:rPr>
                <w:rFonts w:ascii="Open Sans" w:hAnsi="Open Sans" w:cs="Open Sans"/>
                <w:lang w:val="en-GB"/>
              </w:rPr>
            </w:pPr>
            <w:r w:rsidRPr="002E3B2A">
              <w:rPr>
                <w:rFonts w:ascii="Open Sans" w:hAnsi="Open Sans" w:cs="Open Sans"/>
                <w:lang w:val="en-GB"/>
              </w:rPr>
              <w:t xml:space="preserve">Internal </w:t>
            </w:r>
          </w:p>
        </w:tc>
        <w:tc>
          <w:tcPr>
            <w:tcW w:w="3210" w:type="dxa"/>
          </w:tcPr>
          <w:p w14:paraId="1CFBF053" w14:textId="78368F1E" w:rsidR="00414D90" w:rsidRPr="002E3B2A" w:rsidRDefault="00414D90" w:rsidP="00855F11">
            <w:pPr>
              <w:jc w:val="both"/>
              <w:rPr>
                <w:rFonts w:ascii="Open Sans" w:hAnsi="Open Sans" w:cs="Open Sans"/>
                <w:lang w:val="en-GB"/>
              </w:rPr>
            </w:pPr>
            <w:r w:rsidRPr="002E3B2A">
              <w:rPr>
                <w:rFonts w:ascii="Open Sans" w:hAnsi="Open Sans" w:cs="Open Sans"/>
                <w:lang w:val="en-GB"/>
              </w:rPr>
              <w:t>/</w:t>
            </w:r>
          </w:p>
        </w:tc>
      </w:tr>
      <w:tr w:rsidR="00414D90" w:rsidRPr="002E3B2A" w14:paraId="376D71C1" w14:textId="77777777" w:rsidTr="00414D90">
        <w:tc>
          <w:tcPr>
            <w:tcW w:w="3209" w:type="dxa"/>
          </w:tcPr>
          <w:p w14:paraId="000ADE14" w14:textId="470929E6" w:rsidR="00414D90" w:rsidRPr="002E3B2A" w:rsidRDefault="00414D90" w:rsidP="00855F11">
            <w:pPr>
              <w:jc w:val="both"/>
              <w:rPr>
                <w:rFonts w:ascii="Open Sans" w:hAnsi="Open Sans" w:cs="Open Sans"/>
                <w:lang w:val="en-GB"/>
              </w:rPr>
            </w:pPr>
            <w:r w:rsidRPr="002E3B2A">
              <w:rPr>
                <w:rFonts w:ascii="Open Sans" w:hAnsi="Open Sans" w:cs="Open Sans"/>
                <w:lang w:val="en-GB"/>
              </w:rPr>
              <w:t>Online meeting tools already in use</w:t>
            </w:r>
          </w:p>
        </w:tc>
        <w:tc>
          <w:tcPr>
            <w:tcW w:w="3209" w:type="dxa"/>
          </w:tcPr>
          <w:p w14:paraId="3BF65B70" w14:textId="64AB27E3" w:rsidR="00414D90" w:rsidRPr="002E3B2A" w:rsidRDefault="00414D90" w:rsidP="00855F11">
            <w:pPr>
              <w:jc w:val="both"/>
              <w:rPr>
                <w:rFonts w:ascii="Open Sans" w:hAnsi="Open Sans" w:cs="Open Sans"/>
                <w:lang w:val="en-GB"/>
              </w:rPr>
            </w:pPr>
            <w:r w:rsidRPr="002E3B2A">
              <w:rPr>
                <w:rFonts w:ascii="Open Sans" w:hAnsi="Open Sans" w:cs="Open Sans"/>
                <w:lang w:val="en-GB"/>
              </w:rPr>
              <w:t>Internal</w:t>
            </w:r>
          </w:p>
        </w:tc>
        <w:tc>
          <w:tcPr>
            <w:tcW w:w="3210" w:type="dxa"/>
          </w:tcPr>
          <w:p w14:paraId="751EBE0A" w14:textId="10572990" w:rsidR="00414D90" w:rsidRPr="002E3B2A" w:rsidRDefault="00414D90" w:rsidP="00855F11">
            <w:pPr>
              <w:jc w:val="both"/>
              <w:rPr>
                <w:rFonts w:ascii="Open Sans" w:hAnsi="Open Sans" w:cs="Open Sans"/>
                <w:lang w:val="en-GB"/>
              </w:rPr>
            </w:pPr>
            <w:r w:rsidRPr="002E3B2A">
              <w:rPr>
                <w:rFonts w:ascii="Open Sans" w:hAnsi="Open Sans" w:cs="Open Sans"/>
                <w:lang w:val="en-GB"/>
              </w:rPr>
              <w:t>/</w:t>
            </w:r>
          </w:p>
        </w:tc>
      </w:tr>
      <w:tr w:rsidR="00414D90" w:rsidRPr="002E3B2A" w14:paraId="3A484576" w14:textId="77777777" w:rsidTr="00414D90">
        <w:tc>
          <w:tcPr>
            <w:tcW w:w="3209" w:type="dxa"/>
          </w:tcPr>
          <w:p w14:paraId="7CB1D725" w14:textId="43B1C126" w:rsidR="00414D90" w:rsidRPr="002E3B2A" w:rsidRDefault="00414D90" w:rsidP="00855F11">
            <w:pPr>
              <w:jc w:val="both"/>
              <w:rPr>
                <w:rFonts w:ascii="Open Sans" w:hAnsi="Open Sans" w:cs="Open Sans"/>
                <w:lang w:val="en-GB"/>
              </w:rPr>
            </w:pPr>
            <w:r w:rsidRPr="002E3B2A">
              <w:rPr>
                <w:rFonts w:ascii="Open Sans" w:hAnsi="Open Sans" w:cs="Open Sans"/>
                <w:lang w:val="en-GB"/>
              </w:rPr>
              <w:t xml:space="preserve">Internal coordination and light documentation by EYC members </w:t>
            </w:r>
          </w:p>
        </w:tc>
        <w:tc>
          <w:tcPr>
            <w:tcW w:w="3209" w:type="dxa"/>
          </w:tcPr>
          <w:p w14:paraId="4D97A512" w14:textId="1526191E" w:rsidR="00414D90" w:rsidRPr="002E3B2A" w:rsidRDefault="00414D90" w:rsidP="00855F11">
            <w:pPr>
              <w:jc w:val="both"/>
              <w:rPr>
                <w:rFonts w:ascii="Open Sans" w:hAnsi="Open Sans" w:cs="Open Sans"/>
                <w:lang w:val="en-GB"/>
              </w:rPr>
            </w:pPr>
            <w:r w:rsidRPr="002E3B2A">
              <w:rPr>
                <w:rFonts w:ascii="Open Sans" w:hAnsi="Open Sans" w:cs="Open Sans"/>
                <w:lang w:val="en-GB"/>
              </w:rPr>
              <w:t>Internal</w:t>
            </w:r>
          </w:p>
        </w:tc>
        <w:tc>
          <w:tcPr>
            <w:tcW w:w="3210" w:type="dxa"/>
          </w:tcPr>
          <w:p w14:paraId="4DA47C7A" w14:textId="7AE23195" w:rsidR="00414D90" w:rsidRPr="002E3B2A" w:rsidRDefault="00414D90" w:rsidP="00855F11">
            <w:pPr>
              <w:jc w:val="both"/>
              <w:rPr>
                <w:rFonts w:ascii="Open Sans" w:hAnsi="Open Sans" w:cs="Open Sans"/>
                <w:lang w:val="en-GB"/>
              </w:rPr>
            </w:pPr>
            <w:r w:rsidRPr="002E3B2A">
              <w:rPr>
                <w:rFonts w:ascii="Open Sans" w:hAnsi="Open Sans" w:cs="Open Sans"/>
                <w:lang w:val="en-GB"/>
              </w:rPr>
              <w:t>/</w:t>
            </w:r>
          </w:p>
        </w:tc>
      </w:tr>
    </w:tbl>
    <w:p w14:paraId="28198F44" w14:textId="77777777" w:rsidR="00414D90" w:rsidRPr="002E3B2A" w:rsidRDefault="00414D90" w:rsidP="00855F11">
      <w:pPr>
        <w:jc w:val="both"/>
        <w:rPr>
          <w:rFonts w:ascii="Open Sans" w:hAnsi="Open Sans" w:cs="Open Sans"/>
          <w:lang w:val="en-GB"/>
        </w:rPr>
      </w:pPr>
    </w:p>
    <w:p w14:paraId="7EB0099B" w14:textId="77777777" w:rsidR="00440148" w:rsidRPr="002E3B2A" w:rsidRDefault="00440148" w:rsidP="00855F11">
      <w:pPr>
        <w:numPr>
          <w:ilvl w:val="0"/>
          <w:numId w:val="18"/>
        </w:numPr>
        <w:jc w:val="both"/>
        <w:rPr>
          <w:rFonts w:ascii="Open Sans" w:hAnsi="Open Sans" w:cs="Open Sans"/>
          <w:u w:val="single"/>
          <w:lang w:val="en-GB"/>
        </w:rPr>
      </w:pPr>
      <w:r w:rsidRPr="002E3B2A">
        <w:rPr>
          <w:rFonts w:ascii="Open Sans" w:hAnsi="Open Sans" w:cs="Open Sans"/>
          <w:u w:val="single"/>
          <w:lang w:val="en-GB"/>
        </w:rPr>
        <w:t>Timeline</w:t>
      </w:r>
    </w:p>
    <w:p w14:paraId="426D825C" w14:textId="77777777" w:rsidR="00440148" w:rsidRPr="002E3B2A" w:rsidRDefault="00440148" w:rsidP="00855F11">
      <w:pPr>
        <w:jc w:val="both"/>
        <w:rPr>
          <w:rFonts w:ascii="Open Sans" w:hAnsi="Open Sans" w:cs="Open Sans"/>
          <w:b/>
          <w:bCs/>
          <w:u w:val="single"/>
          <w:lang w:val="en-GB"/>
        </w:rPr>
      </w:pPr>
    </w:p>
    <w:tbl>
      <w:tblPr>
        <w:tblW w:w="96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3825"/>
        <w:gridCol w:w="4125"/>
      </w:tblGrid>
      <w:tr w:rsidR="00440148" w:rsidRPr="002E3B2A" w14:paraId="631365DF" w14:textId="77777777" w:rsidTr="00440148">
        <w:tc>
          <w:tcPr>
            <w:tcW w:w="1695" w:type="dxa"/>
            <w:tcBorders>
              <w:top w:val="single" w:sz="4" w:space="0" w:color="000000"/>
              <w:left w:val="single" w:sz="4" w:space="0" w:color="000000"/>
              <w:bottom w:val="single" w:sz="4" w:space="0" w:color="000000"/>
              <w:right w:val="single" w:sz="4" w:space="0" w:color="000000"/>
            </w:tcBorders>
            <w:hideMark/>
          </w:tcPr>
          <w:p w14:paraId="7E2ED16B" w14:textId="77777777" w:rsidR="00440148" w:rsidRPr="002E3B2A" w:rsidRDefault="00440148" w:rsidP="00855F11">
            <w:pPr>
              <w:jc w:val="both"/>
              <w:rPr>
                <w:rFonts w:ascii="Open Sans" w:hAnsi="Open Sans" w:cs="Open Sans"/>
                <w:b/>
                <w:bCs/>
                <w:lang w:val="en-GB"/>
              </w:rPr>
            </w:pPr>
            <w:r w:rsidRPr="002E3B2A">
              <w:rPr>
                <w:rFonts w:ascii="Open Sans" w:hAnsi="Open Sans" w:cs="Open Sans"/>
                <w:b/>
                <w:bCs/>
                <w:lang w:val="en-GB"/>
              </w:rPr>
              <w:t>Month</w:t>
            </w:r>
          </w:p>
        </w:tc>
        <w:tc>
          <w:tcPr>
            <w:tcW w:w="3825" w:type="dxa"/>
            <w:tcBorders>
              <w:top w:val="single" w:sz="4" w:space="0" w:color="000000"/>
              <w:left w:val="single" w:sz="4" w:space="0" w:color="000000"/>
              <w:bottom w:val="single" w:sz="4" w:space="0" w:color="000000"/>
              <w:right w:val="single" w:sz="4" w:space="0" w:color="000000"/>
            </w:tcBorders>
            <w:hideMark/>
          </w:tcPr>
          <w:p w14:paraId="6524F971" w14:textId="77777777" w:rsidR="00440148" w:rsidRPr="002E3B2A" w:rsidRDefault="00440148" w:rsidP="00855F11">
            <w:pPr>
              <w:jc w:val="both"/>
              <w:rPr>
                <w:rFonts w:ascii="Open Sans" w:hAnsi="Open Sans" w:cs="Open Sans"/>
                <w:b/>
                <w:bCs/>
                <w:lang w:val="en-GB"/>
              </w:rPr>
            </w:pPr>
            <w:r w:rsidRPr="002E3B2A">
              <w:rPr>
                <w:rFonts w:ascii="Open Sans" w:hAnsi="Open Sans" w:cs="Open Sans"/>
                <w:b/>
                <w:bCs/>
                <w:lang w:val="en-GB"/>
              </w:rPr>
              <w:t>Activity</w:t>
            </w:r>
          </w:p>
        </w:tc>
        <w:tc>
          <w:tcPr>
            <w:tcW w:w="4125" w:type="dxa"/>
            <w:tcBorders>
              <w:top w:val="single" w:sz="4" w:space="0" w:color="000000"/>
              <w:left w:val="single" w:sz="4" w:space="0" w:color="000000"/>
              <w:bottom w:val="single" w:sz="4" w:space="0" w:color="000000"/>
              <w:right w:val="single" w:sz="4" w:space="0" w:color="000000"/>
            </w:tcBorders>
            <w:hideMark/>
          </w:tcPr>
          <w:p w14:paraId="568262C1" w14:textId="77777777" w:rsidR="00440148" w:rsidRPr="002E3B2A" w:rsidRDefault="00440148" w:rsidP="00855F11">
            <w:pPr>
              <w:jc w:val="both"/>
              <w:rPr>
                <w:rFonts w:ascii="Open Sans" w:hAnsi="Open Sans" w:cs="Open Sans"/>
                <w:b/>
                <w:bCs/>
                <w:lang w:val="en-GB"/>
              </w:rPr>
            </w:pPr>
            <w:r w:rsidRPr="002E3B2A">
              <w:rPr>
                <w:rFonts w:ascii="Open Sans" w:hAnsi="Open Sans" w:cs="Open Sans"/>
                <w:b/>
                <w:bCs/>
                <w:lang w:val="en-GB"/>
              </w:rPr>
              <w:t xml:space="preserve">Responsible </w:t>
            </w:r>
          </w:p>
        </w:tc>
      </w:tr>
      <w:tr w:rsidR="00440148" w:rsidRPr="002E3B2A" w14:paraId="5BDEB304" w14:textId="77777777" w:rsidTr="00440148">
        <w:tc>
          <w:tcPr>
            <w:tcW w:w="1695" w:type="dxa"/>
            <w:tcBorders>
              <w:top w:val="single" w:sz="4" w:space="0" w:color="000000"/>
              <w:left w:val="single" w:sz="4" w:space="0" w:color="000000"/>
              <w:bottom w:val="single" w:sz="4" w:space="0" w:color="000000"/>
              <w:right w:val="single" w:sz="4" w:space="0" w:color="000000"/>
            </w:tcBorders>
            <w:hideMark/>
          </w:tcPr>
          <w:p w14:paraId="7A37FB18"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Month 1-2</w:t>
            </w:r>
          </w:p>
        </w:tc>
        <w:tc>
          <w:tcPr>
            <w:tcW w:w="3825" w:type="dxa"/>
            <w:tcBorders>
              <w:top w:val="single" w:sz="4" w:space="0" w:color="000000"/>
              <w:left w:val="single" w:sz="4" w:space="0" w:color="000000"/>
              <w:bottom w:val="single" w:sz="4" w:space="0" w:color="000000"/>
              <w:right w:val="single" w:sz="4" w:space="0" w:color="000000"/>
            </w:tcBorders>
            <w:hideMark/>
          </w:tcPr>
          <w:p w14:paraId="50A8B4D0"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Establish the Working Group and agree on a framework.</w:t>
            </w:r>
          </w:p>
          <w:p w14:paraId="732D7B62"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Identify 2 priority themes per TSG.</w:t>
            </w:r>
          </w:p>
          <w:p w14:paraId="32E3470E"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Draft of Calendar for pilot Thematic Briefings.</w:t>
            </w:r>
          </w:p>
        </w:tc>
        <w:tc>
          <w:tcPr>
            <w:tcW w:w="4125" w:type="dxa"/>
            <w:tcBorders>
              <w:top w:val="single" w:sz="4" w:space="0" w:color="000000"/>
              <w:left w:val="single" w:sz="4" w:space="0" w:color="000000"/>
              <w:bottom w:val="single" w:sz="4" w:space="0" w:color="000000"/>
              <w:right w:val="single" w:sz="4" w:space="0" w:color="000000"/>
            </w:tcBorders>
            <w:hideMark/>
          </w:tcPr>
          <w:p w14:paraId="54299FA7"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EYC TSG Leaders and Facility Point Contact Person</w:t>
            </w:r>
          </w:p>
        </w:tc>
      </w:tr>
      <w:tr w:rsidR="00440148" w:rsidRPr="002E3B2A" w14:paraId="722F3F36" w14:textId="77777777" w:rsidTr="00440148">
        <w:tc>
          <w:tcPr>
            <w:tcW w:w="1695" w:type="dxa"/>
            <w:tcBorders>
              <w:top w:val="single" w:sz="4" w:space="0" w:color="000000"/>
              <w:left w:val="single" w:sz="4" w:space="0" w:color="000000"/>
              <w:bottom w:val="single" w:sz="4" w:space="0" w:color="000000"/>
              <w:right w:val="single" w:sz="4" w:space="0" w:color="000000"/>
            </w:tcBorders>
            <w:hideMark/>
          </w:tcPr>
          <w:p w14:paraId="09868922"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Month 3-5</w:t>
            </w:r>
          </w:p>
        </w:tc>
        <w:tc>
          <w:tcPr>
            <w:tcW w:w="3825" w:type="dxa"/>
            <w:tcBorders>
              <w:top w:val="single" w:sz="4" w:space="0" w:color="000000"/>
              <w:left w:val="single" w:sz="4" w:space="0" w:color="000000"/>
              <w:bottom w:val="single" w:sz="4" w:space="0" w:color="000000"/>
              <w:right w:val="single" w:sz="4" w:space="0" w:color="000000"/>
            </w:tcBorders>
            <w:hideMark/>
          </w:tcPr>
          <w:p w14:paraId="09478751"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Organise pilot Thematic Briefing (1 per TSG).</w:t>
            </w:r>
          </w:p>
        </w:tc>
        <w:tc>
          <w:tcPr>
            <w:tcW w:w="4125" w:type="dxa"/>
            <w:tcBorders>
              <w:top w:val="single" w:sz="4" w:space="0" w:color="000000"/>
              <w:left w:val="single" w:sz="4" w:space="0" w:color="000000"/>
              <w:bottom w:val="single" w:sz="4" w:space="0" w:color="000000"/>
              <w:right w:val="single" w:sz="4" w:space="0" w:color="000000"/>
            </w:tcBorders>
            <w:hideMark/>
          </w:tcPr>
          <w:p w14:paraId="181ED71D"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Working Group and TSG Experts. Facilitated by the Facility Point Contact Person.</w:t>
            </w:r>
          </w:p>
        </w:tc>
      </w:tr>
      <w:tr w:rsidR="00440148" w:rsidRPr="002E3B2A" w14:paraId="469B8339" w14:textId="77777777" w:rsidTr="00440148">
        <w:tc>
          <w:tcPr>
            <w:tcW w:w="1695" w:type="dxa"/>
            <w:tcBorders>
              <w:top w:val="single" w:sz="4" w:space="0" w:color="000000"/>
              <w:left w:val="single" w:sz="4" w:space="0" w:color="000000"/>
              <w:bottom w:val="single" w:sz="4" w:space="0" w:color="000000"/>
              <w:right w:val="single" w:sz="4" w:space="0" w:color="000000"/>
            </w:tcBorders>
            <w:hideMark/>
          </w:tcPr>
          <w:p w14:paraId="1998E5FE"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Ongoing</w:t>
            </w:r>
          </w:p>
        </w:tc>
        <w:tc>
          <w:tcPr>
            <w:tcW w:w="3825" w:type="dxa"/>
            <w:tcBorders>
              <w:top w:val="single" w:sz="4" w:space="0" w:color="000000"/>
              <w:left w:val="single" w:sz="4" w:space="0" w:color="000000"/>
              <w:bottom w:val="single" w:sz="4" w:space="0" w:color="000000"/>
              <w:right w:val="single" w:sz="4" w:space="0" w:color="000000"/>
            </w:tcBorders>
            <w:hideMark/>
          </w:tcPr>
          <w:p w14:paraId="19BBFFFE"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Ad hoc Briefings linked to EUSAIR processes</w:t>
            </w:r>
          </w:p>
        </w:tc>
        <w:tc>
          <w:tcPr>
            <w:tcW w:w="4125" w:type="dxa"/>
            <w:tcBorders>
              <w:top w:val="single" w:sz="4" w:space="0" w:color="000000"/>
              <w:left w:val="single" w:sz="4" w:space="0" w:color="000000"/>
              <w:bottom w:val="single" w:sz="4" w:space="0" w:color="000000"/>
              <w:right w:val="single" w:sz="4" w:space="0" w:color="000000"/>
            </w:tcBorders>
            <w:hideMark/>
          </w:tcPr>
          <w:p w14:paraId="5C586806"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Working group and TSG Experts. Facilitated by the Faculty Point Contact Person.</w:t>
            </w:r>
          </w:p>
        </w:tc>
      </w:tr>
      <w:tr w:rsidR="00440148" w:rsidRPr="002E3B2A" w14:paraId="2BF2862A" w14:textId="77777777" w:rsidTr="00440148">
        <w:tc>
          <w:tcPr>
            <w:tcW w:w="1695" w:type="dxa"/>
            <w:tcBorders>
              <w:top w:val="single" w:sz="4" w:space="0" w:color="000000"/>
              <w:left w:val="single" w:sz="4" w:space="0" w:color="000000"/>
              <w:bottom w:val="single" w:sz="4" w:space="0" w:color="000000"/>
              <w:right w:val="single" w:sz="4" w:space="0" w:color="000000"/>
            </w:tcBorders>
            <w:hideMark/>
          </w:tcPr>
          <w:p w14:paraId="570601C4"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End of year</w:t>
            </w:r>
          </w:p>
        </w:tc>
        <w:tc>
          <w:tcPr>
            <w:tcW w:w="3825" w:type="dxa"/>
            <w:tcBorders>
              <w:top w:val="single" w:sz="4" w:space="0" w:color="000000"/>
              <w:left w:val="single" w:sz="4" w:space="0" w:color="000000"/>
              <w:bottom w:val="single" w:sz="4" w:space="0" w:color="000000"/>
              <w:right w:val="single" w:sz="4" w:space="0" w:color="000000"/>
            </w:tcBorders>
            <w:hideMark/>
          </w:tcPr>
          <w:p w14:paraId="1C7E90CD"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Light review &amp; consolidation of outputs</w:t>
            </w:r>
          </w:p>
        </w:tc>
        <w:tc>
          <w:tcPr>
            <w:tcW w:w="4125" w:type="dxa"/>
            <w:tcBorders>
              <w:top w:val="single" w:sz="4" w:space="0" w:color="000000"/>
              <w:left w:val="single" w:sz="4" w:space="0" w:color="000000"/>
              <w:bottom w:val="single" w:sz="4" w:space="0" w:color="000000"/>
              <w:right w:val="single" w:sz="4" w:space="0" w:color="000000"/>
            </w:tcBorders>
            <w:hideMark/>
          </w:tcPr>
          <w:p w14:paraId="3E85BEB9" w14:textId="77777777" w:rsidR="00440148" w:rsidRPr="002E3B2A" w:rsidRDefault="00440148" w:rsidP="00855F11">
            <w:pPr>
              <w:jc w:val="both"/>
              <w:rPr>
                <w:rFonts w:ascii="Open Sans" w:hAnsi="Open Sans" w:cs="Open Sans"/>
                <w:lang w:val="en-GB"/>
              </w:rPr>
            </w:pPr>
            <w:r w:rsidRPr="002E3B2A">
              <w:rPr>
                <w:rFonts w:ascii="Open Sans" w:hAnsi="Open Sans" w:cs="Open Sans"/>
                <w:lang w:val="en-GB"/>
              </w:rPr>
              <w:t>EYC and Facility Point</w:t>
            </w:r>
          </w:p>
        </w:tc>
      </w:tr>
      <w:bookmarkEnd w:id="31"/>
    </w:tbl>
    <w:p w14:paraId="29F25705" w14:textId="77777777" w:rsidR="00454A1D" w:rsidRPr="002E3B2A" w:rsidRDefault="00454A1D" w:rsidP="00855F11">
      <w:pPr>
        <w:jc w:val="both"/>
        <w:rPr>
          <w:rFonts w:ascii="Open Sans" w:hAnsi="Open Sans" w:cs="Open Sans"/>
        </w:rPr>
      </w:pPr>
    </w:p>
    <w:p w14:paraId="26A230D2" w14:textId="5AFEDE08" w:rsidR="00211ABE" w:rsidRPr="002E3B2A" w:rsidRDefault="00454A1D" w:rsidP="00855F11">
      <w:pPr>
        <w:jc w:val="both"/>
        <w:rPr>
          <w:rFonts w:ascii="Open Sans" w:hAnsi="Open Sans" w:cs="Open Sans"/>
        </w:rPr>
      </w:pPr>
      <w:r w:rsidRPr="002E3B2A">
        <w:rPr>
          <w:rFonts w:ascii="Open Sans" w:hAnsi="Open Sans" w:cs="Open Sans"/>
        </w:rPr>
        <w:br w:type="page"/>
      </w:r>
    </w:p>
    <w:p w14:paraId="421A70E5" w14:textId="7A5BEC1D" w:rsidR="003B28FD" w:rsidRPr="00162706" w:rsidRDefault="003B28FD" w:rsidP="00855F11">
      <w:pPr>
        <w:jc w:val="both"/>
        <w:rPr>
          <w:rFonts w:ascii="Open Sans" w:hAnsi="Open Sans" w:cs="Open Sans"/>
          <w:color w:val="4E5762"/>
          <w:sz w:val="28"/>
          <w:szCs w:val="38"/>
        </w:rPr>
        <w:sectPr w:rsidR="003B28FD" w:rsidRPr="00162706" w:rsidSect="000F6391">
          <w:footerReference w:type="default" r:id="rId17"/>
          <w:pgSz w:w="11906" w:h="16838"/>
          <w:pgMar w:top="1134" w:right="1134" w:bottom="1134" w:left="1134" w:header="709" w:footer="709" w:gutter="0"/>
          <w:pgNumType w:start="1"/>
          <w:cols w:space="708"/>
          <w:docGrid w:linePitch="360"/>
        </w:sectPr>
      </w:pPr>
    </w:p>
    <w:p w14:paraId="475B5E33" w14:textId="77777777" w:rsidR="00EE15C0" w:rsidRDefault="00EE15C0" w:rsidP="00174850">
      <w:pPr>
        <w:spacing w:line="276" w:lineRule="auto"/>
        <w:rPr>
          <w:noProof/>
          <w:lang w:val="en-GB"/>
        </w:rPr>
      </w:pPr>
    </w:p>
    <w:p w14:paraId="763C7173" w14:textId="77777777" w:rsidR="00016F54" w:rsidRDefault="00016F54" w:rsidP="00016F54">
      <w:pPr>
        <w:spacing w:line="276" w:lineRule="auto"/>
        <w:rPr>
          <w:noProof/>
          <w:lang w:val="en-GB"/>
        </w:rPr>
      </w:pPr>
    </w:p>
    <w:p w14:paraId="07D93248" w14:textId="77777777" w:rsidR="00016F54" w:rsidRDefault="00016F54" w:rsidP="00016F54">
      <w:pPr>
        <w:spacing w:line="276" w:lineRule="auto"/>
      </w:pPr>
      <w:r w:rsidRPr="002E5B6E">
        <w:rPr>
          <w:noProof/>
          <w:lang w:val="en-GB"/>
        </w:rPr>
        <w:drawing>
          <wp:inline distT="0" distB="0" distL="0" distR="0" wp14:anchorId="41FDD311" wp14:editId="4196F7CF">
            <wp:extent cx="1908659" cy="1501254"/>
            <wp:effectExtent l="0" t="0" r="0" b="3810"/>
            <wp:docPr id="1690502861" name="Slika 1" descr="Slika, ki vsebuje besede pisava, grafika, besedilo, grafičn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66382" name="Slika 1" descr="Slika, ki vsebuje besede pisava, grafika, besedilo, grafično oblikovanje&#10;&#10;Vsebina, ustvarjena z umetno inteligenco, morda ni pravilna."/>
                    <pic:cNvPicPr/>
                  </pic:nvPicPr>
                  <pic:blipFill>
                    <a:blip r:embed="rId8"/>
                    <a:stretch>
                      <a:fillRect/>
                    </a:stretch>
                  </pic:blipFill>
                  <pic:spPr>
                    <a:xfrm>
                      <a:off x="0" y="0"/>
                      <a:ext cx="1930903" cy="1518750"/>
                    </a:xfrm>
                    <a:prstGeom prst="rect">
                      <a:avLst/>
                    </a:prstGeom>
                  </pic:spPr>
                </pic:pic>
              </a:graphicData>
            </a:graphic>
          </wp:inline>
        </w:drawing>
      </w:r>
    </w:p>
    <w:p w14:paraId="326A9E0B" w14:textId="77777777" w:rsidR="00016F54" w:rsidRDefault="00016F54" w:rsidP="00016F54">
      <w:pPr>
        <w:spacing w:line="276" w:lineRule="auto"/>
      </w:pPr>
      <w:r w:rsidRPr="002E5B6E">
        <w:rPr>
          <w:noProof/>
          <w:lang w:val="en-GB"/>
        </w:rPr>
        <w:drawing>
          <wp:inline distT="0" distB="0" distL="0" distR="0" wp14:anchorId="57ADA8B9" wp14:editId="3C2EA9F5">
            <wp:extent cx="1287010" cy="1704975"/>
            <wp:effectExtent l="0" t="0" r="8890" b="0"/>
            <wp:docPr id="753414481" name="Slika 2" descr="Slika, ki vsebuje besede grafika, grafično oblikovanje, besedil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03969" name="Slika 2" descr="Slika, ki vsebuje besede grafika, grafično oblikovanje, besedilo, pisava&#10;&#10;Vsebina, ustvarjena z umetno inteligenco, morda ni pravil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235"/>
                    <a:stretch/>
                  </pic:blipFill>
                  <pic:spPr bwMode="auto">
                    <a:xfrm>
                      <a:off x="0" y="0"/>
                      <a:ext cx="1373192" cy="1819146"/>
                    </a:xfrm>
                    <a:prstGeom prst="rect">
                      <a:avLst/>
                    </a:prstGeom>
                    <a:noFill/>
                    <a:ln>
                      <a:noFill/>
                    </a:ln>
                    <a:extLst>
                      <a:ext uri="{53640926-AAD7-44D8-BBD7-CCE9431645EC}">
                        <a14:shadowObscured xmlns:a14="http://schemas.microsoft.com/office/drawing/2010/main"/>
                      </a:ext>
                    </a:extLst>
                  </pic:spPr>
                </pic:pic>
              </a:graphicData>
            </a:graphic>
          </wp:inline>
        </w:drawing>
      </w:r>
    </w:p>
    <w:p w14:paraId="3F3DD414" w14:textId="77777777" w:rsidR="00016F54" w:rsidRDefault="00016F54" w:rsidP="00016F54">
      <w:pPr>
        <w:spacing w:line="276" w:lineRule="auto"/>
      </w:pPr>
      <w:r w:rsidRPr="002E5B6E">
        <w:rPr>
          <w:noProof/>
          <w:lang w:val="en-GB"/>
        </w:rPr>
        <w:drawing>
          <wp:inline distT="0" distB="0" distL="0" distR="0" wp14:anchorId="653AF34B" wp14:editId="2194758A">
            <wp:extent cx="2479707" cy="1179195"/>
            <wp:effectExtent l="0" t="0" r="0" b="1905"/>
            <wp:docPr id="913277471" name="Slika 1" descr="Slika, ki vsebuje besede besedilo, posnetek zaslona, pisava,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5290" name="Slika 1" descr="Slika, ki vsebuje besede besedilo, posnetek zaslona, pisava, električno modra&#10;&#10;Vsebina, ustvarjena z umetno inteligenco, morda ni pravilna."/>
                    <pic:cNvPicPr/>
                  </pic:nvPicPr>
                  <pic:blipFill rotWithShape="1">
                    <a:blip r:embed="rId10"/>
                    <a:srcRect t="26222"/>
                    <a:stretch/>
                  </pic:blipFill>
                  <pic:spPr bwMode="auto">
                    <a:xfrm>
                      <a:off x="0" y="0"/>
                      <a:ext cx="2500529" cy="1189097"/>
                    </a:xfrm>
                    <a:prstGeom prst="rect">
                      <a:avLst/>
                    </a:prstGeom>
                    <a:ln>
                      <a:noFill/>
                    </a:ln>
                    <a:extLst>
                      <a:ext uri="{53640926-AAD7-44D8-BBD7-CCE9431645EC}">
                        <a14:shadowObscured xmlns:a14="http://schemas.microsoft.com/office/drawing/2010/main"/>
                      </a:ext>
                    </a:extLst>
                  </pic:spPr>
                </pic:pic>
              </a:graphicData>
            </a:graphic>
          </wp:inline>
        </w:drawing>
      </w:r>
    </w:p>
    <w:p w14:paraId="00C7F230" w14:textId="77777777" w:rsidR="00174850" w:rsidRDefault="00174850" w:rsidP="00174850"/>
    <w:p w14:paraId="11A2D56F" w14:textId="77777777" w:rsidR="00174850" w:rsidRPr="009A4488" w:rsidRDefault="00174850" w:rsidP="00174850">
      <w:pPr>
        <w:rPr>
          <w:rFonts w:ascii="Open Sans" w:hAnsi="Open Sans" w:cs="Open Sans"/>
        </w:rPr>
      </w:pPr>
    </w:p>
    <w:p w14:paraId="2EE2CD6E" w14:textId="77777777" w:rsidR="00174850" w:rsidRPr="002E3B2A" w:rsidRDefault="00174850" w:rsidP="00174850">
      <w:pPr>
        <w:rPr>
          <w:rFonts w:ascii="Open Sans" w:hAnsi="Open Sans" w:cs="Open Sans"/>
          <w:color w:val="4E5762"/>
          <w:sz w:val="28"/>
          <w:szCs w:val="28"/>
          <w:lang w:val="en-GB"/>
        </w:rPr>
      </w:pPr>
      <w:hyperlink r:id="rId18" w:history="1">
        <w:r w:rsidRPr="002E3B2A">
          <w:rPr>
            <w:rStyle w:val="Hyperlink"/>
            <w:rFonts w:ascii="Open Sans" w:hAnsi="Open Sans" w:cs="Open Sans"/>
            <w:color w:val="4E5762"/>
            <w:sz w:val="28"/>
            <w:szCs w:val="28"/>
            <w:u w:val="none"/>
            <w:lang w:val="en-GB"/>
          </w:rPr>
          <w:t>www.adriatic-ionian.eu</w:t>
        </w:r>
      </w:hyperlink>
    </w:p>
    <w:sdt>
      <w:sdtPr>
        <w:rPr>
          <w:rFonts w:ascii="Open Sans" w:hAnsi="Open Sans" w:cs="Open Sans"/>
          <w:color w:val="4E5762"/>
          <w:sz w:val="28"/>
          <w:szCs w:val="28"/>
          <w:lang w:val="en-GB"/>
        </w:rPr>
        <w:id w:val="-849101480"/>
        <w:placeholder>
          <w:docPart w:val="DefaultPlaceholder_-1854013440"/>
        </w:placeholder>
        <w:temporary/>
      </w:sdtPr>
      <w:sdtEndPr/>
      <w:sdtContent>
        <w:p w14:paraId="290B029F" w14:textId="37AC3519" w:rsidR="00174850" w:rsidRPr="002E3B2A" w:rsidRDefault="00174850" w:rsidP="00EE15C0">
          <w:pPr>
            <w:rPr>
              <w:rFonts w:ascii="Open Sans" w:hAnsi="Open Sans" w:cs="Open Sans"/>
              <w:color w:val="4E5762"/>
              <w:sz w:val="28"/>
              <w:szCs w:val="28"/>
              <w:lang w:val="en-GB"/>
            </w:rPr>
          </w:pPr>
          <w:r w:rsidRPr="002E3B2A">
            <w:rPr>
              <w:rFonts w:ascii="Open Sans" w:hAnsi="Open Sans" w:cs="Open Sans"/>
              <w:color w:val="4E5762"/>
              <w:sz w:val="28"/>
              <w:szCs w:val="28"/>
              <w:lang w:val="en-GB"/>
            </w:rPr>
            <w:t>Author's contact</w:t>
          </w:r>
        </w:p>
      </w:sdtContent>
    </w:sdt>
    <w:p w14:paraId="26706727" w14:textId="77777777" w:rsidR="00174850" w:rsidRPr="002E3B2A" w:rsidRDefault="00174850" w:rsidP="00174850">
      <w:pPr>
        <w:spacing w:line="276" w:lineRule="auto"/>
        <w:rPr>
          <w:rFonts w:ascii="Open Sans" w:hAnsi="Open Sans" w:cs="Open Sans"/>
          <w:lang w:val="en-GB"/>
        </w:rPr>
      </w:pPr>
    </w:p>
    <w:p w14:paraId="41321165" w14:textId="77777777" w:rsidR="00174850" w:rsidRPr="002E3B2A" w:rsidRDefault="00174850" w:rsidP="00174850">
      <w:pPr>
        <w:rPr>
          <w:rFonts w:ascii="Open Sans" w:hAnsi="Open Sans" w:cs="Open Sans"/>
          <w:lang w:val="en-GB"/>
        </w:rPr>
      </w:pPr>
    </w:p>
    <w:p w14:paraId="38D21B72" w14:textId="77777777" w:rsidR="00174850" w:rsidRPr="002E3B2A" w:rsidRDefault="00174850" w:rsidP="00174850">
      <w:pPr>
        <w:spacing w:line="360" w:lineRule="auto"/>
        <w:jc w:val="center"/>
        <w:rPr>
          <w:rFonts w:ascii="Open Sans" w:hAnsi="Open Sans" w:cs="Open Sans"/>
          <w:b/>
          <w:bCs/>
          <w:color w:val="4E5762"/>
          <w:sz w:val="28"/>
          <w:szCs w:val="28"/>
          <w:lang w:val="en-GB"/>
        </w:rPr>
      </w:pPr>
      <w:r w:rsidRPr="002E3B2A">
        <w:rPr>
          <w:rFonts w:ascii="Open Sans" w:hAnsi="Open Sans" w:cs="Open Sans"/>
          <w:b/>
          <w:bCs/>
          <w:color w:val="4E5762"/>
          <w:sz w:val="28"/>
          <w:szCs w:val="28"/>
          <w:lang w:val="en-GB"/>
        </w:rPr>
        <w:t>For a Prosperous and Integrated Adriatic and Ionian Region</w:t>
      </w:r>
    </w:p>
    <w:p w14:paraId="6F73B064" w14:textId="77777777" w:rsidR="00174850" w:rsidRPr="002E3B2A" w:rsidRDefault="00174850" w:rsidP="00174850">
      <w:pPr>
        <w:spacing w:after="120" w:line="240" w:lineRule="auto"/>
        <w:jc w:val="center"/>
        <w:rPr>
          <w:rFonts w:ascii="Open Sans" w:hAnsi="Open Sans" w:cs="Open Sans"/>
          <w:color w:val="4E5762"/>
          <w:sz w:val="13"/>
          <w:szCs w:val="13"/>
          <w:lang w:val="en-GB"/>
        </w:rPr>
      </w:pPr>
      <w:r w:rsidRPr="002E3B2A">
        <w:rPr>
          <w:rFonts w:ascii="Open Sans" w:hAnsi="Open Sans" w:cs="Open Sans"/>
          <w:color w:val="4E5762"/>
          <w:sz w:val="13"/>
          <w:szCs w:val="13"/>
          <w:lang w:val="en-GB"/>
        </w:rPr>
        <w:t>Strategic project EUSAIR FACILITY POINT is co-founded by the European Union through the Interreg IPA ADRION Programme 2021-2027.</w:t>
      </w:r>
    </w:p>
    <w:p w14:paraId="2547E256" w14:textId="530F2138" w:rsidR="00174850" w:rsidRPr="002E3B2A" w:rsidRDefault="00174850" w:rsidP="00174850">
      <w:pPr>
        <w:jc w:val="center"/>
        <w:rPr>
          <w:rFonts w:ascii="Open Sans" w:hAnsi="Open Sans" w:cs="Open Sans"/>
          <w:color w:val="4E5762"/>
          <w:sz w:val="13"/>
          <w:szCs w:val="13"/>
          <w:lang w:val="en-GB"/>
        </w:rPr>
      </w:pPr>
      <w:r w:rsidRPr="002E3B2A">
        <w:rPr>
          <w:rFonts w:ascii="Open Sans" w:hAnsi="Open Sans" w:cs="Open Sans"/>
          <w:color w:val="4E5762"/>
          <w:sz w:val="13"/>
          <w:szCs w:val="13"/>
          <w:lang w:val="en-GB"/>
        </w:rPr>
        <w:t>This has been produced with the financial as</w:t>
      </w:r>
      <w:r w:rsidR="00AC108E" w:rsidRPr="002E3B2A">
        <w:rPr>
          <w:rFonts w:ascii="Open Sans" w:hAnsi="Open Sans" w:cs="Open Sans"/>
          <w:color w:val="4E5762"/>
          <w:sz w:val="13"/>
          <w:szCs w:val="13"/>
          <w:lang w:val="en-GB"/>
        </w:rPr>
        <w:t>s</w:t>
      </w:r>
      <w:r w:rsidRPr="002E3B2A">
        <w:rPr>
          <w:rFonts w:ascii="Open Sans" w:hAnsi="Open Sans" w:cs="Open Sans"/>
          <w:color w:val="4E5762"/>
          <w:sz w:val="13"/>
          <w:szCs w:val="13"/>
          <w:lang w:val="en-GB"/>
        </w:rPr>
        <w:t xml:space="preserve">istance of the European Union. The content of the document is the sole responsibility of the </w:t>
      </w:r>
      <w:sdt>
        <w:sdtPr>
          <w:rPr>
            <w:rFonts w:ascii="Open Sans" w:hAnsi="Open Sans" w:cs="Open Sans"/>
            <w:color w:val="4E5762"/>
            <w:sz w:val="13"/>
            <w:szCs w:val="13"/>
            <w:lang w:val="en-GB"/>
          </w:rPr>
          <w:alias w:val="INSERT NAME"/>
          <w:tag w:val="INSERT NAME"/>
          <w:id w:val="-542910979"/>
          <w:placeholder>
            <w:docPart w:val="DefaultPlaceholder_-1854013440"/>
          </w:placeholder>
          <w:temporary/>
        </w:sdtPr>
        <w:sdtEndPr/>
        <w:sdtContent>
          <w:r w:rsidR="00AC108E" w:rsidRPr="002E3B2A">
            <w:rPr>
              <w:rFonts w:ascii="Open Sans" w:hAnsi="Open Sans" w:cs="Open Sans"/>
              <w:color w:val="4E5762"/>
              <w:sz w:val="13"/>
              <w:szCs w:val="13"/>
              <w:lang w:val="en-GB"/>
            </w:rPr>
            <w:t>INSERT BENEFICIARY'S NAME/NAME</w:t>
          </w:r>
          <w:r w:rsidRPr="002E3B2A">
            <w:rPr>
              <w:rFonts w:ascii="Open Sans" w:hAnsi="Open Sans" w:cs="Open Sans"/>
              <w:color w:val="4E5762"/>
              <w:sz w:val="13"/>
              <w:szCs w:val="13"/>
              <w:lang w:val="en-GB"/>
            </w:rPr>
            <w:t xml:space="preserve"> </w:t>
          </w:r>
          <w:r w:rsidR="00AC108E" w:rsidRPr="002E3B2A">
            <w:rPr>
              <w:rFonts w:ascii="Open Sans" w:hAnsi="Open Sans" w:cs="Open Sans"/>
              <w:color w:val="4E5762"/>
              <w:sz w:val="13"/>
              <w:szCs w:val="13"/>
              <w:lang w:val="en-GB"/>
            </w:rPr>
            <w:t>OF</w:t>
          </w:r>
          <w:r w:rsidRPr="002E3B2A">
            <w:rPr>
              <w:rFonts w:ascii="Open Sans" w:hAnsi="Open Sans" w:cs="Open Sans"/>
              <w:color w:val="4E5762"/>
              <w:sz w:val="13"/>
              <w:szCs w:val="13"/>
              <w:lang w:val="en-GB"/>
            </w:rPr>
            <w:t xml:space="preserve"> PP/LP</w:t>
          </w:r>
        </w:sdtContent>
      </w:sdt>
      <w:r w:rsidRPr="002E3B2A">
        <w:rPr>
          <w:rFonts w:ascii="Open Sans" w:hAnsi="Open Sans" w:cs="Open Sans"/>
          <w:color w:val="4E5762"/>
          <w:sz w:val="13"/>
          <w:szCs w:val="13"/>
          <w:lang w:val="en-GB"/>
        </w:rPr>
        <w:t xml:space="preserve"> and can under no circumstances be regarded as reflecting the position of the European Union  and/or IPA ADRION </w:t>
      </w:r>
      <w:r w:rsidR="00BD6729" w:rsidRPr="002E3B2A">
        <w:rPr>
          <w:rFonts w:ascii="Open Sans" w:hAnsi="Open Sans" w:cs="Open Sans"/>
          <w:color w:val="4E5762"/>
          <w:sz w:val="13"/>
          <w:szCs w:val="13"/>
          <w:lang w:val="en-GB"/>
        </w:rPr>
        <w:t>P</w:t>
      </w:r>
      <w:r w:rsidRPr="002E3B2A">
        <w:rPr>
          <w:rFonts w:ascii="Open Sans" w:hAnsi="Open Sans" w:cs="Open Sans"/>
          <w:color w:val="4E5762"/>
          <w:sz w:val="13"/>
          <w:szCs w:val="13"/>
          <w:lang w:val="en-GB"/>
        </w:rPr>
        <w:t>rogramme authorities.</w:t>
      </w:r>
    </w:p>
    <w:sectPr w:rsidR="00174850" w:rsidRPr="002E3B2A" w:rsidSect="00FC5F3A">
      <w:head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8BE4" w14:textId="77777777" w:rsidR="00647B19" w:rsidRDefault="00647B19" w:rsidP="00174850">
      <w:pPr>
        <w:spacing w:after="0" w:line="240" w:lineRule="auto"/>
      </w:pPr>
      <w:r>
        <w:separator/>
      </w:r>
    </w:p>
  </w:endnote>
  <w:endnote w:type="continuationSeparator" w:id="0">
    <w:p w14:paraId="009E56B2" w14:textId="77777777" w:rsidR="00647B19" w:rsidRDefault="00647B19" w:rsidP="0017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305A" w14:textId="60BFF605" w:rsidR="005C0D08" w:rsidRDefault="005C0D08">
    <w:pPr>
      <w:pStyle w:val="Footer"/>
      <w:jc w:val="right"/>
    </w:pPr>
  </w:p>
  <w:p w14:paraId="0FE0E7A0" w14:textId="77777777" w:rsidR="005C0D08" w:rsidRDefault="005C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BD90" w14:textId="512B1208" w:rsidR="004C6D78" w:rsidRDefault="004C6D78">
    <w:pPr>
      <w:pStyle w:val="Footer"/>
      <w:jc w:val="right"/>
    </w:pPr>
  </w:p>
  <w:p w14:paraId="51752EC1" w14:textId="77777777" w:rsidR="004C6D78" w:rsidRDefault="004C6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9443"/>
      <w:docPartObj>
        <w:docPartGallery w:val="Page Numbers (Bottom of Page)"/>
        <w:docPartUnique/>
      </w:docPartObj>
    </w:sdtPr>
    <w:sdtEndPr/>
    <w:sdtContent>
      <w:p w14:paraId="0DA2C6EF" w14:textId="7CD49E3A" w:rsidR="000F6391" w:rsidRDefault="000F6391">
        <w:pPr>
          <w:pStyle w:val="Footer"/>
          <w:jc w:val="right"/>
        </w:pPr>
        <w:r>
          <w:fldChar w:fldCharType="begin"/>
        </w:r>
        <w:r>
          <w:instrText>PAGE   \* MERGEFORMAT</w:instrText>
        </w:r>
        <w:r>
          <w:fldChar w:fldCharType="separate"/>
        </w:r>
        <w:r>
          <w:t>2</w:t>
        </w:r>
        <w:r>
          <w:fldChar w:fldCharType="end"/>
        </w:r>
      </w:p>
    </w:sdtContent>
  </w:sdt>
  <w:p w14:paraId="1A8923A4" w14:textId="77777777" w:rsidR="004C6D78" w:rsidRDefault="004C6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6DBE" w14:textId="77777777" w:rsidR="00647B19" w:rsidRDefault="00647B19" w:rsidP="00174850">
      <w:pPr>
        <w:spacing w:after="0" w:line="240" w:lineRule="auto"/>
      </w:pPr>
      <w:r>
        <w:separator/>
      </w:r>
    </w:p>
  </w:footnote>
  <w:footnote w:type="continuationSeparator" w:id="0">
    <w:p w14:paraId="3C9846AE" w14:textId="77777777" w:rsidR="00647B19" w:rsidRDefault="00647B19" w:rsidP="0017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763A" w14:textId="72039603" w:rsidR="00174850" w:rsidRDefault="002E3B2A">
    <w:pPr>
      <w:pStyle w:val="Header"/>
    </w:pPr>
    <w:r>
      <w:rPr>
        <w:noProof/>
      </w:rPr>
      <w:pict w14:anchorId="0E9EF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2985" o:spid="_x0000_s1026" type="#_x0000_t75" style="position:absolute;margin-left:0;margin-top:0;width:595.2pt;height:841.9pt;z-index:-251657216;mso-position-horizontal:center;mso-position-horizontal-relative:margin;mso-position-vertical:center;mso-position-vertical-relative:margin" o:allowincell="f">
          <v:imagedata r:id="rId1" o:title="ozadj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9F7A" w14:textId="3896F1DC" w:rsidR="00174850" w:rsidRDefault="002E3B2A">
    <w:pPr>
      <w:pStyle w:val="Header"/>
    </w:pPr>
    <w:r>
      <w:rPr>
        <w:noProof/>
      </w:rPr>
      <w:pict w14:anchorId="11C94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2984" o:spid="_x0000_s1025" type="#_x0000_t75" style="position:absolute;margin-left:0;margin-top:0;width:595.2pt;height:841.9pt;z-index:-251658240;mso-position-horizontal:center;mso-position-horizontal-relative:margin;mso-position-vertical:center;mso-position-vertical-relative:margin" o:allowincell="f">
          <v:imagedata r:id="rId1" o:title="ozadj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3438" w14:textId="77777777" w:rsidR="00174850" w:rsidRDefault="002E3B2A">
    <w:pPr>
      <w:pStyle w:val="Header"/>
    </w:pPr>
    <w:r>
      <w:rPr>
        <w:noProof/>
      </w:rPr>
      <w:pict w14:anchorId="21EDB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2986" o:spid="_x0000_s1028" type="#_x0000_t75" style="position:absolute;margin-left:0;margin-top:0;width:595.2pt;height:841.9pt;z-index:-251654144;mso-position-horizontal:center;mso-position-horizontal-relative:margin;mso-position-vertical:center;mso-position-vertical-relative:margin" o:allowincell="f">
          <v:imagedata r:id="rId1" o:title="ozadj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F438F7"/>
    <w:multiLevelType w:val="multilevel"/>
    <w:tmpl w:val="3ECC9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4A07"/>
    <w:multiLevelType w:val="multilevel"/>
    <w:tmpl w:val="79A4F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A1B5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53C1F"/>
    <w:multiLevelType w:val="multilevel"/>
    <w:tmpl w:val="4E0CA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1FC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DDD6DB1"/>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E2065A4"/>
    <w:multiLevelType w:val="multilevel"/>
    <w:tmpl w:val="069E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43672"/>
    <w:multiLevelType w:val="hybridMultilevel"/>
    <w:tmpl w:val="D7929322"/>
    <w:lvl w:ilvl="0" w:tplc="04090009">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7F7750B"/>
    <w:multiLevelType w:val="multilevel"/>
    <w:tmpl w:val="13D8969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614E0"/>
    <w:multiLevelType w:val="multilevel"/>
    <w:tmpl w:val="31700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A2CE5"/>
    <w:multiLevelType w:val="hybridMultilevel"/>
    <w:tmpl w:val="29483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EE13F2"/>
    <w:multiLevelType w:val="multilevel"/>
    <w:tmpl w:val="DF12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E6B82"/>
    <w:multiLevelType w:val="hybridMultilevel"/>
    <w:tmpl w:val="369E941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7432A"/>
    <w:multiLevelType w:val="multilevel"/>
    <w:tmpl w:val="A8C4C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85AB1"/>
    <w:multiLevelType w:val="hybridMultilevel"/>
    <w:tmpl w:val="49F488D4"/>
    <w:lvl w:ilvl="0" w:tplc="2648E01C">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D0245B"/>
    <w:multiLevelType w:val="hybridMultilevel"/>
    <w:tmpl w:val="7E5C1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D7C26"/>
    <w:multiLevelType w:val="multilevel"/>
    <w:tmpl w:val="2DEE8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773ED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5B1586C"/>
    <w:multiLevelType w:val="hybridMultilevel"/>
    <w:tmpl w:val="066CB7E0"/>
    <w:lvl w:ilvl="0" w:tplc="0424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74D2A41"/>
    <w:multiLevelType w:val="hybridMultilevel"/>
    <w:tmpl w:val="7E5C1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7B3B6D"/>
    <w:multiLevelType w:val="multilevel"/>
    <w:tmpl w:val="13D8969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D3181"/>
    <w:multiLevelType w:val="multilevel"/>
    <w:tmpl w:val="13D8969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415A6"/>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60FB4388"/>
    <w:multiLevelType w:val="multilevel"/>
    <w:tmpl w:val="13A86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B93EF6"/>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766E35BC"/>
    <w:multiLevelType w:val="multilevel"/>
    <w:tmpl w:val="4962A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D6EEF"/>
    <w:multiLevelType w:val="hybridMultilevel"/>
    <w:tmpl w:val="7E5C1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166D68"/>
    <w:multiLevelType w:val="hybridMultilevel"/>
    <w:tmpl w:val="F440F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15683B"/>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780300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144319">
    <w:abstractNumId w:val="4"/>
  </w:num>
  <w:num w:numId="3" w16cid:durableId="528032672">
    <w:abstractNumId w:val="26"/>
  </w:num>
  <w:num w:numId="4" w16cid:durableId="1517496474">
    <w:abstractNumId w:val="28"/>
  </w:num>
  <w:num w:numId="5" w16cid:durableId="20032679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042892">
    <w:abstractNumId w:val="7"/>
  </w:num>
  <w:num w:numId="7" w16cid:durableId="1057775479">
    <w:abstractNumId w:val="14"/>
  </w:num>
  <w:num w:numId="8" w16cid:durableId="1187449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031563">
    <w:abstractNumId w:val="1"/>
  </w:num>
  <w:num w:numId="10" w16cid:durableId="524364386">
    <w:abstractNumId w:val="12"/>
  </w:num>
  <w:num w:numId="11" w16cid:durableId="341132061">
    <w:abstractNumId w:val="21"/>
    <w:lvlOverride w:ilvl="0">
      <w:startOverride w:val="1"/>
    </w:lvlOverride>
    <w:lvlOverride w:ilvl="1"/>
    <w:lvlOverride w:ilvl="2"/>
    <w:lvlOverride w:ilvl="3"/>
    <w:lvlOverride w:ilvl="4"/>
    <w:lvlOverride w:ilvl="5"/>
    <w:lvlOverride w:ilvl="6"/>
    <w:lvlOverride w:ilvl="7"/>
    <w:lvlOverride w:ilvl="8"/>
  </w:num>
  <w:num w:numId="12" w16cid:durableId="685905981">
    <w:abstractNumId w:val="22"/>
    <w:lvlOverride w:ilvl="0">
      <w:startOverride w:val="1"/>
    </w:lvlOverride>
    <w:lvlOverride w:ilvl="1"/>
    <w:lvlOverride w:ilvl="2"/>
    <w:lvlOverride w:ilvl="3"/>
    <w:lvlOverride w:ilvl="4"/>
    <w:lvlOverride w:ilvl="5"/>
    <w:lvlOverride w:ilvl="6"/>
    <w:lvlOverride w:ilvl="7"/>
    <w:lvlOverride w:ilvl="8"/>
  </w:num>
  <w:num w:numId="13" w16cid:durableId="1632976759">
    <w:abstractNumId w:val="9"/>
    <w:lvlOverride w:ilvl="0">
      <w:startOverride w:val="1"/>
    </w:lvlOverride>
    <w:lvlOverride w:ilvl="1"/>
    <w:lvlOverride w:ilvl="2"/>
    <w:lvlOverride w:ilvl="3"/>
    <w:lvlOverride w:ilvl="4"/>
    <w:lvlOverride w:ilvl="5"/>
    <w:lvlOverride w:ilvl="6"/>
    <w:lvlOverride w:ilvl="7"/>
    <w:lvlOverride w:ilvl="8"/>
  </w:num>
  <w:num w:numId="14" w16cid:durableId="569922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725991">
    <w:abstractNumId w:val="2"/>
  </w:num>
  <w:num w:numId="16" w16cid:durableId="1519849952">
    <w:abstractNumId w:val="15"/>
  </w:num>
  <w:num w:numId="17" w16cid:durableId="315963970">
    <w:abstractNumId w:val="10"/>
  </w:num>
  <w:num w:numId="18" w16cid:durableId="104496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615018">
    <w:abstractNumId w:val="29"/>
  </w:num>
  <w:num w:numId="20" w16cid:durableId="871721405">
    <w:abstractNumId w:val="6"/>
  </w:num>
  <w:num w:numId="21" w16cid:durableId="387458524">
    <w:abstractNumId w:val="5"/>
  </w:num>
  <w:num w:numId="22" w16cid:durableId="824400488">
    <w:abstractNumId w:val="23"/>
  </w:num>
  <w:num w:numId="23" w16cid:durableId="1920551510">
    <w:abstractNumId w:val="25"/>
  </w:num>
  <w:num w:numId="24" w16cid:durableId="551430947">
    <w:abstractNumId w:val="18"/>
  </w:num>
  <w:num w:numId="25" w16cid:durableId="1260606647">
    <w:abstractNumId w:val="20"/>
  </w:num>
  <w:num w:numId="26" w16cid:durableId="662970230">
    <w:abstractNumId w:val="13"/>
  </w:num>
  <w:num w:numId="27" w16cid:durableId="188422852">
    <w:abstractNumId w:val="11"/>
  </w:num>
  <w:num w:numId="28" w16cid:durableId="1672642371">
    <w:abstractNumId w:val="16"/>
  </w:num>
  <w:num w:numId="29" w16cid:durableId="209195439">
    <w:abstractNumId w:val="27"/>
  </w:num>
  <w:num w:numId="30" w16cid:durableId="1648437535">
    <w:abstractNumId w:val="3"/>
  </w:num>
  <w:num w:numId="31" w16cid:durableId="1239822012">
    <w:abstractNumId w:val="8"/>
  </w:num>
  <w:num w:numId="32" w16cid:durableId="449976880">
    <w:abstractNumId w:val="15"/>
  </w:num>
  <w:num w:numId="33" w16cid:durableId="1947806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3A"/>
    <w:rsid w:val="00010170"/>
    <w:rsid w:val="0001221E"/>
    <w:rsid w:val="00016F54"/>
    <w:rsid w:val="00035C7F"/>
    <w:rsid w:val="000733DC"/>
    <w:rsid w:val="0007561F"/>
    <w:rsid w:val="00076E3A"/>
    <w:rsid w:val="000B740A"/>
    <w:rsid w:val="000C6D49"/>
    <w:rsid w:val="000F1090"/>
    <w:rsid w:val="000F1F03"/>
    <w:rsid w:val="000F6391"/>
    <w:rsid w:val="00111265"/>
    <w:rsid w:val="00136BBE"/>
    <w:rsid w:val="0015691E"/>
    <w:rsid w:val="00162706"/>
    <w:rsid w:val="00174850"/>
    <w:rsid w:val="00174EF7"/>
    <w:rsid w:val="00190E87"/>
    <w:rsid w:val="001A0DCB"/>
    <w:rsid w:val="001A61AC"/>
    <w:rsid w:val="001B5A43"/>
    <w:rsid w:val="001B7A53"/>
    <w:rsid w:val="001D0A4F"/>
    <w:rsid w:val="001D1B30"/>
    <w:rsid w:val="001D3904"/>
    <w:rsid w:val="001D4FF8"/>
    <w:rsid w:val="001F075F"/>
    <w:rsid w:val="002034C9"/>
    <w:rsid w:val="00206EA8"/>
    <w:rsid w:val="00211ABE"/>
    <w:rsid w:val="00225179"/>
    <w:rsid w:val="002315A4"/>
    <w:rsid w:val="0024676E"/>
    <w:rsid w:val="002468A2"/>
    <w:rsid w:val="00252B80"/>
    <w:rsid w:val="00253D3D"/>
    <w:rsid w:val="0026176C"/>
    <w:rsid w:val="002644FC"/>
    <w:rsid w:val="00267EC2"/>
    <w:rsid w:val="00273015"/>
    <w:rsid w:val="002C1A4C"/>
    <w:rsid w:val="002E3B2A"/>
    <w:rsid w:val="002E4B6A"/>
    <w:rsid w:val="002F2302"/>
    <w:rsid w:val="002F55F0"/>
    <w:rsid w:val="003176D1"/>
    <w:rsid w:val="00364F60"/>
    <w:rsid w:val="00372E79"/>
    <w:rsid w:val="00397037"/>
    <w:rsid w:val="003B27EB"/>
    <w:rsid w:val="003B28FD"/>
    <w:rsid w:val="003B3F78"/>
    <w:rsid w:val="003B5FB9"/>
    <w:rsid w:val="003C101F"/>
    <w:rsid w:val="00402D84"/>
    <w:rsid w:val="00410E68"/>
    <w:rsid w:val="00414D90"/>
    <w:rsid w:val="00415677"/>
    <w:rsid w:val="00431E64"/>
    <w:rsid w:val="00433AC4"/>
    <w:rsid w:val="00440148"/>
    <w:rsid w:val="00454A1D"/>
    <w:rsid w:val="004671A3"/>
    <w:rsid w:val="004928BB"/>
    <w:rsid w:val="004A240B"/>
    <w:rsid w:val="004C6D78"/>
    <w:rsid w:val="004E0501"/>
    <w:rsid w:val="004E06E7"/>
    <w:rsid w:val="00513268"/>
    <w:rsid w:val="00513FA7"/>
    <w:rsid w:val="00522B8A"/>
    <w:rsid w:val="00523B35"/>
    <w:rsid w:val="00532509"/>
    <w:rsid w:val="0053602C"/>
    <w:rsid w:val="00575368"/>
    <w:rsid w:val="005B5172"/>
    <w:rsid w:val="005B6627"/>
    <w:rsid w:val="005B6EEA"/>
    <w:rsid w:val="005B7BC3"/>
    <w:rsid w:val="005C0D08"/>
    <w:rsid w:val="005D1E29"/>
    <w:rsid w:val="005F56A2"/>
    <w:rsid w:val="005F7C50"/>
    <w:rsid w:val="006048CF"/>
    <w:rsid w:val="00621AF6"/>
    <w:rsid w:val="00647B19"/>
    <w:rsid w:val="0068431B"/>
    <w:rsid w:val="006A06FA"/>
    <w:rsid w:val="006A2098"/>
    <w:rsid w:val="006A285A"/>
    <w:rsid w:val="006A6459"/>
    <w:rsid w:val="006B146B"/>
    <w:rsid w:val="006E1EF9"/>
    <w:rsid w:val="006E56FC"/>
    <w:rsid w:val="006F3AAE"/>
    <w:rsid w:val="006F6E49"/>
    <w:rsid w:val="00711835"/>
    <w:rsid w:val="00713453"/>
    <w:rsid w:val="00731B6C"/>
    <w:rsid w:val="00735A05"/>
    <w:rsid w:val="00737378"/>
    <w:rsid w:val="00742B71"/>
    <w:rsid w:val="00786F96"/>
    <w:rsid w:val="007A39BE"/>
    <w:rsid w:val="007A57B8"/>
    <w:rsid w:val="007C65D7"/>
    <w:rsid w:val="00841108"/>
    <w:rsid w:val="00855A5C"/>
    <w:rsid w:val="00855F11"/>
    <w:rsid w:val="00863A05"/>
    <w:rsid w:val="00895F31"/>
    <w:rsid w:val="008B198B"/>
    <w:rsid w:val="008C0C90"/>
    <w:rsid w:val="008C258D"/>
    <w:rsid w:val="00900716"/>
    <w:rsid w:val="009122C2"/>
    <w:rsid w:val="0095360C"/>
    <w:rsid w:val="00971E65"/>
    <w:rsid w:val="00987223"/>
    <w:rsid w:val="009B042F"/>
    <w:rsid w:val="009B6D8B"/>
    <w:rsid w:val="00A049FA"/>
    <w:rsid w:val="00A07193"/>
    <w:rsid w:val="00A213D6"/>
    <w:rsid w:val="00A23CFE"/>
    <w:rsid w:val="00A43F59"/>
    <w:rsid w:val="00A71FA0"/>
    <w:rsid w:val="00A721AD"/>
    <w:rsid w:val="00A74233"/>
    <w:rsid w:val="00A75103"/>
    <w:rsid w:val="00A751F2"/>
    <w:rsid w:val="00AC108E"/>
    <w:rsid w:val="00AC6279"/>
    <w:rsid w:val="00AC74B3"/>
    <w:rsid w:val="00AD59FB"/>
    <w:rsid w:val="00AD76D9"/>
    <w:rsid w:val="00B00402"/>
    <w:rsid w:val="00B419CE"/>
    <w:rsid w:val="00B71077"/>
    <w:rsid w:val="00BC45B5"/>
    <w:rsid w:val="00BD6729"/>
    <w:rsid w:val="00BE0272"/>
    <w:rsid w:val="00BF355B"/>
    <w:rsid w:val="00BF3791"/>
    <w:rsid w:val="00C20304"/>
    <w:rsid w:val="00C30679"/>
    <w:rsid w:val="00C3223D"/>
    <w:rsid w:val="00C43C79"/>
    <w:rsid w:val="00C62C9A"/>
    <w:rsid w:val="00C8414F"/>
    <w:rsid w:val="00CA2C8B"/>
    <w:rsid w:val="00CA5E22"/>
    <w:rsid w:val="00CC383F"/>
    <w:rsid w:val="00CD54ED"/>
    <w:rsid w:val="00CF275C"/>
    <w:rsid w:val="00D261A8"/>
    <w:rsid w:val="00D620B0"/>
    <w:rsid w:val="00D7400E"/>
    <w:rsid w:val="00D746FD"/>
    <w:rsid w:val="00D92184"/>
    <w:rsid w:val="00DA3A53"/>
    <w:rsid w:val="00DB6C21"/>
    <w:rsid w:val="00DC1737"/>
    <w:rsid w:val="00DC7965"/>
    <w:rsid w:val="00DD021F"/>
    <w:rsid w:val="00E20E19"/>
    <w:rsid w:val="00E83C8E"/>
    <w:rsid w:val="00EC580D"/>
    <w:rsid w:val="00ED2665"/>
    <w:rsid w:val="00EE15C0"/>
    <w:rsid w:val="00F23D50"/>
    <w:rsid w:val="00F24651"/>
    <w:rsid w:val="00F322EE"/>
    <w:rsid w:val="00F726AB"/>
    <w:rsid w:val="00FA08BF"/>
    <w:rsid w:val="00FB0FA9"/>
    <w:rsid w:val="00FC5F3A"/>
    <w:rsid w:val="00FD6318"/>
    <w:rsid w:val="00FE5193"/>
    <w:rsid w:val="00FF70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C471"/>
  <w15:chartTrackingRefBased/>
  <w15:docId w15:val="{A4BA4632-4F49-44D2-A8AA-BB3537F4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AF6"/>
    <w:pPr>
      <w:keepNext/>
      <w:keepLines/>
      <w:spacing w:before="240" w:after="0"/>
      <w:outlineLvl w:val="0"/>
    </w:pPr>
    <w:rPr>
      <w:rFonts w:ascii="Open Sans" w:eastAsiaTheme="majorEastAsia" w:hAnsi="Open Sans" w:cstheme="majorBidi"/>
      <w:b/>
      <w:color w:val="262626" w:themeColor="text1" w:themeTint="D9"/>
      <w:sz w:val="24"/>
      <w:szCs w:val="32"/>
    </w:rPr>
  </w:style>
  <w:style w:type="paragraph" w:styleId="Heading2">
    <w:name w:val="heading 2"/>
    <w:basedOn w:val="Normal"/>
    <w:next w:val="Normal"/>
    <w:link w:val="Heading2Char"/>
    <w:uiPriority w:val="9"/>
    <w:unhideWhenUsed/>
    <w:qFormat/>
    <w:rsid w:val="003176D1"/>
    <w:pPr>
      <w:keepNext/>
      <w:keepLines/>
      <w:spacing w:before="40" w:after="0"/>
      <w:outlineLvl w:val="1"/>
    </w:pPr>
    <w:rPr>
      <w:rFonts w:eastAsiaTheme="majorEastAsia" w:cstheme="majorBidi"/>
      <w:b/>
      <w:color w:val="262626" w:themeColor="text1" w:themeTint="D9"/>
      <w:szCs w:val="26"/>
    </w:rPr>
  </w:style>
  <w:style w:type="paragraph" w:styleId="Heading3">
    <w:name w:val="heading 3"/>
    <w:basedOn w:val="Normal"/>
    <w:next w:val="Normal"/>
    <w:link w:val="Heading3Char"/>
    <w:uiPriority w:val="9"/>
    <w:semiHidden/>
    <w:unhideWhenUsed/>
    <w:qFormat/>
    <w:rsid w:val="006B1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850"/>
    <w:rPr>
      <w:color w:val="0563C1" w:themeColor="hyperlink"/>
      <w:u w:val="single"/>
    </w:rPr>
  </w:style>
  <w:style w:type="paragraph" w:styleId="Header">
    <w:name w:val="header"/>
    <w:basedOn w:val="Normal"/>
    <w:link w:val="HeaderChar"/>
    <w:uiPriority w:val="99"/>
    <w:unhideWhenUsed/>
    <w:rsid w:val="001748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4850"/>
  </w:style>
  <w:style w:type="paragraph" w:styleId="Footer">
    <w:name w:val="footer"/>
    <w:basedOn w:val="Normal"/>
    <w:link w:val="FooterChar"/>
    <w:uiPriority w:val="99"/>
    <w:unhideWhenUsed/>
    <w:rsid w:val="001748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850"/>
  </w:style>
  <w:style w:type="character" w:styleId="PlaceholderText">
    <w:name w:val="Placeholder Text"/>
    <w:basedOn w:val="DefaultParagraphFont"/>
    <w:uiPriority w:val="99"/>
    <w:semiHidden/>
    <w:rsid w:val="00BD6729"/>
    <w:rPr>
      <w:color w:val="666666"/>
    </w:rPr>
  </w:style>
  <w:style w:type="paragraph" w:styleId="NormalWeb">
    <w:name w:val="Normal (Web)"/>
    <w:basedOn w:val="Normal"/>
    <w:uiPriority w:val="99"/>
    <w:unhideWhenUsed/>
    <w:rsid w:val="00AC108E"/>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Naslovpoglavji">
    <w:name w:val="Naslov poglavji"/>
    <w:basedOn w:val="Normal"/>
    <w:link w:val="NaslovpoglavjiZnak"/>
    <w:qFormat/>
    <w:rsid w:val="00895F31"/>
    <w:pPr>
      <w:spacing w:line="276" w:lineRule="auto"/>
    </w:pPr>
    <w:rPr>
      <w:rFonts w:ascii="Open Sans" w:hAnsi="Open Sans" w:cs="Open Sans"/>
      <w:color w:val="4E5762"/>
      <w:sz w:val="28"/>
      <w:szCs w:val="38"/>
    </w:rPr>
  </w:style>
  <w:style w:type="character" w:customStyle="1" w:styleId="NaslovpoglavjiZnak">
    <w:name w:val="Naslov poglavji Znak"/>
    <w:basedOn w:val="DefaultParagraphFont"/>
    <w:link w:val="Naslovpoglavji"/>
    <w:rsid w:val="00895F31"/>
    <w:rPr>
      <w:rFonts w:ascii="Open Sans" w:hAnsi="Open Sans" w:cs="Open Sans"/>
      <w:color w:val="4E5762"/>
      <w:sz w:val="28"/>
      <w:szCs w:val="38"/>
    </w:rPr>
  </w:style>
  <w:style w:type="character" w:customStyle="1" w:styleId="Heading1Char">
    <w:name w:val="Heading 1 Char"/>
    <w:basedOn w:val="DefaultParagraphFont"/>
    <w:link w:val="Heading1"/>
    <w:uiPriority w:val="9"/>
    <w:rsid w:val="00621AF6"/>
    <w:rPr>
      <w:rFonts w:ascii="Open Sans" w:eastAsiaTheme="majorEastAsia" w:hAnsi="Open Sans" w:cstheme="majorBidi"/>
      <w:b/>
      <w:color w:val="262626" w:themeColor="text1" w:themeTint="D9"/>
      <w:sz w:val="24"/>
      <w:szCs w:val="32"/>
    </w:rPr>
  </w:style>
  <w:style w:type="paragraph" w:styleId="TOCHeading">
    <w:name w:val="TOC Heading"/>
    <w:basedOn w:val="Heading1"/>
    <w:next w:val="Normal"/>
    <w:uiPriority w:val="39"/>
    <w:unhideWhenUsed/>
    <w:qFormat/>
    <w:rsid w:val="006B146B"/>
    <w:pPr>
      <w:outlineLvl w:val="9"/>
    </w:pPr>
    <w:rPr>
      <w:kern w:val="0"/>
      <w:lang w:val="en-GB" w:eastAsia="en-GB"/>
      <w14:ligatures w14:val="none"/>
    </w:rPr>
  </w:style>
  <w:style w:type="paragraph" w:styleId="TOC1">
    <w:name w:val="toc 1"/>
    <w:basedOn w:val="Normal"/>
    <w:next w:val="Normal"/>
    <w:autoRedefine/>
    <w:uiPriority w:val="39"/>
    <w:unhideWhenUsed/>
    <w:rsid w:val="006B146B"/>
    <w:pPr>
      <w:spacing w:after="100"/>
    </w:pPr>
  </w:style>
  <w:style w:type="character" w:customStyle="1" w:styleId="Heading2Char">
    <w:name w:val="Heading 2 Char"/>
    <w:basedOn w:val="DefaultParagraphFont"/>
    <w:link w:val="Heading2"/>
    <w:uiPriority w:val="9"/>
    <w:rsid w:val="003176D1"/>
    <w:rPr>
      <w:rFonts w:eastAsiaTheme="majorEastAsia" w:cstheme="majorBidi"/>
      <w:b/>
      <w:color w:val="262626" w:themeColor="text1" w:themeTint="D9"/>
      <w:szCs w:val="26"/>
    </w:rPr>
  </w:style>
  <w:style w:type="character" w:customStyle="1" w:styleId="Heading3Char">
    <w:name w:val="Heading 3 Char"/>
    <w:basedOn w:val="DefaultParagraphFont"/>
    <w:link w:val="Heading3"/>
    <w:uiPriority w:val="9"/>
    <w:semiHidden/>
    <w:rsid w:val="006B146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4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148"/>
    <w:pPr>
      <w:ind w:left="720"/>
      <w:contextualSpacing/>
    </w:pPr>
  </w:style>
  <w:style w:type="paragraph" w:customStyle="1" w:styleId="Podnaslov1">
    <w:name w:val="Podnaslov 1"/>
    <w:basedOn w:val="Normal"/>
    <w:link w:val="Podnaslov1Znak"/>
    <w:qFormat/>
    <w:rsid w:val="002F2302"/>
    <w:rPr>
      <w:b/>
      <w:bCs/>
      <w:color w:val="000000" w:themeColor="text1"/>
    </w:rPr>
  </w:style>
  <w:style w:type="character" w:customStyle="1" w:styleId="Podnaslov1Znak">
    <w:name w:val="Podnaslov 1 Znak"/>
    <w:basedOn w:val="DefaultParagraphFont"/>
    <w:link w:val="Podnaslov1"/>
    <w:rsid w:val="002F2302"/>
    <w:rPr>
      <w:b/>
      <w:bCs/>
      <w:color w:val="000000" w:themeColor="text1"/>
    </w:rPr>
  </w:style>
  <w:style w:type="paragraph" w:styleId="TOC2">
    <w:name w:val="toc 2"/>
    <w:basedOn w:val="Normal"/>
    <w:next w:val="Normal"/>
    <w:autoRedefine/>
    <w:uiPriority w:val="39"/>
    <w:unhideWhenUsed/>
    <w:rsid w:val="002F2302"/>
    <w:pPr>
      <w:spacing w:after="100"/>
      <w:ind w:left="220"/>
    </w:pPr>
  </w:style>
  <w:style w:type="paragraph" w:styleId="TOC3">
    <w:name w:val="toc 3"/>
    <w:basedOn w:val="Normal"/>
    <w:next w:val="Normal"/>
    <w:autoRedefine/>
    <w:uiPriority w:val="39"/>
    <w:unhideWhenUsed/>
    <w:rsid w:val="00AC6279"/>
    <w:pPr>
      <w:spacing w:after="100"/>
      <w:ind w:left="440"/>
    </w:pPr>
    <w:rPr>
      <w:rFonts w:eastAsiaTheme="minorEastAsia"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830">
      <w:bodyDiv w:val="1"/>
      <w:marLeft w:val="0"/>
      <w:marRight w:val="0"/>
      <w:marTop w:val="0"/>
      <w:marBottom w:val="0"/>
      <w:divBdr>
        <w:top w:val="none" w:sz="0" w:space="0" w:color="auto"/>
        <w:left w:val="none" w:sz="0" w:space="0" w:color="auto"/>
        <w:bottom w:val="none" w:sz="0" w:space="0" w:color="auto"/>
        <w:right w:val="none" w:sz="0" w:space="0" w:color="auto"/>
      </w:divBdr>
    </w:div>
    <w:div w:id="36441099">
      <w:bodyDiv w:val="1"/>
      <w:marLeft w:val="0"/>
      <w:marRight w:val="0"/>
      <w:marTop w:val="0"/>
      <w:marBottom w:val="0"/>
      <w:divBdr>
        <w:top w:val="none" w:sz="0" w:space="0" w:color="auto"/>
        <w:left w:val="none" w:sz="0" w:space="0" w:color="auto"/>
        <w:bottom w:val="none" w:sz="0" w:space="0" w:color="auto"/>
        <w:right w:val="none" w:sz="0" w:space="0" w:color="auto"/>
      </w:divBdr>
    </w:div>
    <w:div w:id="53891846">
      <w:bodyDiv w:val="1"/>
      <w:marLeft w:val="0"/>
      <w:marRight w:val="0"/>
      <w:marTop w:val="0"/>
      <w:marBottom w:val="0"/>
      <w:divBdr>
        <w:top w:val="none" w:sz="0" w:space="0" w:color="auto"/>
        <w:left w:val="none" w:sz="0" w:space="0" w:color="auto"/>
        <w:bottom w:val="none" w:sz="0" w:space="0" w:color="auto"/>
        <w:right w:val="none" w:sz="0" w:space="0" w:color="auto"/>
      </w:divBdr>
    </w:div>
    <w:div w:id="91324277">
      <w:bodyDiv w:val="1"/>
      <w:marLeft w:val="0"/>
      <w:marRight w:val="0"/>
      <w:marTop w:val="0"/>
      <w:marBottom w:val="0"/>
      <w:divBdr>
        <w:top w:val="none" w:sz="0" w:space="0" w:color="auto"/>
        <w:left w:val="none" w:sz="0" w:space="0" w:color="auto"/>
        <w:bottom w:val="none" w:sz="0" w:space="0" w:color="auto"/>
        <w:right w:val="none" w:sz="0" w:space="0" w:color="auto"/>
      </w:divBdr>
    </w:div>
    <w:div w:id="128519818">
      <w:bodyDiv w:val="1"/>
      <w:marLeft w:val="0"/>
      <w:marRight w:val="0"/>
      <w:marTop w:val="0"/>
      <w:marBottom w:val="0"/>
      <w:divBdr>
        <w:top w:val="none" w:sz="0" w:space="0" w:color="auto"/>
        <w:left w:val="none" w:sz="0" w:space="0" w:color="auto"/>
        <w:bottom w:val="none" w:sz="0" w:space="0" w:color="auto"/>
        <w:right w:val="none" w:sz="0" w:space="0" w:color="auto"/>
      </w:divBdr>
    </w:div>
    <w:div w:id="159927638">
      <w:bodyDiv w:val="1"/>
      <w:marLeft w:val="0"/>
      <w:marRight w:val="0"/>
      <w:marTop w:val="0"/>
      <w:marBottom w:val="0"/>
      <w:divBdr>
        <w:top w:val="none" w:sz="0" w:space="0" w:color="auto"/>
        <w:left w:val="none" w:sz="0" w:space="0" w:color="auto"/>
        <w:bottom w:val="none" w:sz="0" w:space="0" w:color="auto"/>
        <w:right w:val="none" w:sz="0" w:space="0" w:color="auto"/>
      </w:divBdr>
    </w:div>
    <w:div w:id="178740828">
      <w:bodyDiv w:val="1"/>
      <w:marLeft w:val="0"/>
      <w:marRight w:val="0"/>
      <w:marTop w:val="0"/>
      <w:marBottom w:val="0"/>
      <w:divBdr>
        <w:top w:val="none" w:sz="0" w:space="0" w:color="auto"/>
        <w:left w:val="none" w:sz="0" w:space="0" w:color="auto"/>
        <w:bottom w:val="none" w:sz="0" w:space="0" w:color="auto"/>
        <w:right w:val="none" w:sz="0" w:space="0" w:color="auto"/>
      </w:divBdr>
    </w:div>
    <w:div w:id="220674484">
      <w:bodyDiv w:val="1"/>
      <w:marLeft w:val="0"/>
      <w:marRight w:val="0"/>
      <w:marTop w:val="0"/>
      <w:marBottom w:val="0"/>
      <w:divBdr>
        <w:top w:val="none" w:sz="0" w:space="0" w:color="auto"/>
        <w:left w:val="none" w:sz="0" w:space="0" w:color="auto"/>
        <w:bottom w:val="none" w:sz="0" w:space="0" w:color="auto"/>
        <w:right w:val="none" w:sz="0" w:space="0" w:color="auto"/>
      </w:divBdr>
      <w:divsChild>
        <w:div w:id="210965542">
          <w:marLeft w:val="371"/>
          <w:marRight w:val="371"/>
          <w:marTop w:val="150"/>
          <w:marBottom w:val="150"/>
          <w:divBdr>
            <w:top w:val="none" w:sz="0" w:space="0" w:color="auto"/>
            <w:left w:val="none" w:sz="0" w:space="0" w:color="auto"/>
            <w:bottom w:val="none" w:sz="0" w:space="0" w:color="auto"/>
            <w:right w:val="none" w:sz="0" w:space="0" w:color="auto"/>
          </w:divBdr>
        </w:div>
      </w:divsChild>
    </w:div>
    <w:div w:id="231353073">
      <w:bodyDiv w:val="1"/>
      <w:marLeft w:val="0"/>
      <w:marRight w:val="0"/>
      <w:marTop w:val="0"/>
      <w:marBottom w:val="0"/>
      <w:divBdr>
        <w:top w:val="none" w:sz="0" w:space="0" w:color="auto"/>
        <w:left w:val="none" w:sz="0" w:space="0" w:color="auto"/>
        <w:bottom w:val="none" w:sz="0" w:space="0" w:color="auto"/>
        <w:right w:val="none" w:sz="0" w:space="0" w:color="auto"/>
      </w:divBdr>
    </w:div>
    <w:div w:id="280499701">
      <w:bodyDiv w:val="1"/>
      <w:marLeft w:val="0"/>
      <w:marRight w:val="0"/>
      <w:marTop w:val="0"/>
      <w:marBottom w:val="0"/>
      <w:divBdr>
        <w:top w:val="none" w:sz="0" w:space="0" w:color="auto"/>
        <w:left w:val="none" w:sz="0" w:space="0" w:color="auto"/>
        <w:bottom w:val="none" w:sz="0" w:space="0" w:color="auto"/>
        <w:right w:val="none" w:sz="0" w:space="0" w:color="auto"/>
      </w:divBdr>
    </w:div>
    <w:div w:id="388462026">
      <w:bodyDiv w:val="1"/>
      <w:marLeft w:val="0"/>
      <w:marRight w:val="0"/>
      <w:marTop w:val="0"/>
      <w:marBottom w:val="0"/>
      <w:divBdr>
        <w:top w:val="none" w:sz="0" w:space="0" w:color="auto"/>
        <w:left w:val="none" w:sz="0" w:space="0" w:color="auto"/>
        <w:bottom w:val="none" w:sz="0" w:space="0" w:color="auto"/>
        <w:right w:val="none" w:sz="0" w:space="0" w:color="auto"/>
      </w:divBdr>
    </w:div>
    <w:div w:id="431245255">
      <w:bodyDiv w:val="1"/>
      <w:marLeft w:val="0"/>
      <w:marRight w:val="0"/>
      <w:marTop w:val="0"/>
      <w:marBottom w:val="0"/>
      <w:divBdr>
        <w:top w:val="none" w:sz="0" w:space="0" w:color="auto"/>
        <w:left w:val="none" w:sz="0" w:space="0" w:color="auto"/>
        <w:bottom w:val="none" w:sz="0" w:space="0" w:color="auto"/>
        <w:right w:val="none" w:sz="0" w:space="0" w:color="auto"/>
      </w:divBdr>
    </w:div>
    <w:div w:id="483279410">
      <w:bodyDiv w:val="1"/>
      <w:marLeft w:val="0"/>
      <w:marRight w:val="0"/>
      <w:marTop w:val="0"/>
      <w:marBottom w:val="0"/>
      <w:divBdr>
        <w:top w:val="none" w:sz="0" w:space="0" w:color="auto"/>
        <w:left w:val="none" w:sz="0" w:space="0" w:color="auto"/>
        <w:bottom w:val="none" w:sz="0" w:space="0" w:color="auto"/>
        <w:right w:val="none" w:sz="0" w:space="0" w:color="auto"/>
      </w:divBdr>
    </w:div>
    <w:div w:id="636839320">
      <w:bodyDiv w:val="1"/>
      <w:marLeft w:val="0"/>
      <w:marRight w:val="0"/>
      <w:marTop w:val="0"/>
      <w:marBottom w:val="0"/>
      <w:divBdr>
        <w:top w:val="none" w:sz="0" w:space="0" w:color="auto"/>
        <w:left w:val="none" w:sz="0" w:space="0" w:color="auto"/>
        <w:bottom w:val="none" w:sz="0" w:space="0" w:color="auto"/>
        <w:right w:val="none" w:sz="0" w:space="0" w:color="auto"/>
      </w:divBdr>
    </w:div>
    <w:div w:id="638144846">
      <w:bodyDiv w:val="1"/>
      <w:marLeft w:val="0"/>
      <w:marRight w:val="0"/>
      <w:marTop w:val="0"/>
      <w:marBottom w:val="0"/>
      <w:divBdr>
        <w:top w:val="none" w:sz="0" w:space="0" w:color="auto"/>
        <w:left w:val="none" w:sz="0" w:space="0" w:color="auto"/>
        <w:bottom w:val="none" w:sz="0" w:space="0" w:color="auto"/>
        <w:right w:val="none" w:sz="0" w:space="0" w:color="auto"/>
      </w:divBdr>
    </w:div>
    <w:div w:id="655259535">
      <w:bodyDiv w:val="1"/>
      <w:marLeft w:val="0"/>
      <w:marRight w:val="0"/>
      <w:marTop w:val="0"/>
      <w:marBottom w:val="0"/>
      <w:divBdr>
        <w:top w:val="none" w:sz="0" w:space="0" w:color="auto"/>
        <w:left w:val="none" w:sz="0" w:space="0" w:color="auto"/>
        <w:bottom w:val="none" w:sz="0" w:space="0" w:color="auto"/>
        <w:right w:val="none" w:sz="0" w:space="0" w:color="auto"/>
      </w:divBdr>
    </w:div>
    <w:div w:id="689990010">
      <w:bodyDiv w:val="1"/>
      <w:marLeft w:val="0"/>
      <w:marRight w:val="0"/>
      <w:marTop w:val="0"/>
      <w:marBottom w:val="0"/>
      <w:divBdr>
        <w:top w:val="none" w:sz="0" w:space="0" w:color="auto"/>
        <w:left w:val="none" w:sz="0" w:space="0" w:color="auto"/>
        <w:bottom w:val="none" w:sz="0" w:space="0" w:color="auto"/>
        <w:right w:val="none" w:sz="0" w:space="0" w:color="auto"/>
      </w:divBdr>
    </w:div>
    <w:div w:id="728459829">
      <w:bodyDiv w:val="1"/>
      <w:marLeft w:val="0"/>
      <w:marRight w:val="0"/>
      <w:marTop w:val="0"/>
      <w:marBottom w:val="0"/>
      <w:divBdr>
        <w:top w:val="none" w:sz="0" w:space="0" w:color="auto"/>
        <w:left w:val="none" w:sz="0" w:space="0" w:color="auto"/>
        <w:bottom w:val="none" w:sz="0" w:space="0" w:color="auto"/>
        <w:right w:val="none" w:sz="0" w:space="0" w:color="auto"/>
      </w:divBdr>
    </w:div>
    <w:div w:id="811216186">
      <w:bodyDiv w:val="1"/>
      <w:marLeft w:val="0"/>
      <w:marRight w:val="0"/>
      <w:marTop w:val="0"/>
      <w:marBottom w:val="0"/>
      <w:divBdr>
        <w:top w:val="none" w:sz="0" w:space="0" w:color="auto"/>
        <w:left w:val="none" w:sz="0" w:space="0" w:color="auto"/>
        <w:bottom w:val="none" w:sz="0" w:space="0" w:color="auto"/>
        <w:right w:val="none" w:sz="0" w:space="0" w:color="auto"/>
      </w:divBdr>
    </w:div>
    <w:div w:id="840466106">
      <w:bodyDiv w:val="1"/>
      <w:marLeft w:val="0"/>
      <w:marRight w:val="0"/>
      <w:marTop w:val="0"/>
      <w:marBottom w:val="0"/>
      <w:divBdr>
        <w:top w:val="none" w:sz="0" w:space="0" w:color="auto"/>
        <w:left w:val="none" w:sz="0" w:space="0" w:color="auto"/>
        <w:bottom w:val="none" w:sz="0" w:space="0" w:color="auto"/>
        <w:right w:val="none" w:sz="0" w:space="0" w:color="auto"/>
      </w:divBdr>
    </w:div>
    <w:div w:id="887834591">
      <w:bodyDiv w:val="1"/>
      <w:marLeft w:val="0"/>
      <w:marRight w:val="0"/>
      <w:marTop w:val="0"/>
      <w:marBottom w:val="0"/>
      <w:divBdr>
        <w:top w:val="none" w:sz="0" w:space="0" w:color="auto"/>
        <w:left w:val="none" w:sz="0" w:space="0" w:color="auto"/>
        <w:bottom w:val="none" w:sz="0" w:space="0" w:color="auto"/>
        <w:right w:val="none" w:sz="0" w:space="0" w:color="auto"/>
      </w:divBdr>
    </w:div>
    <w:div w:id="1095707518">
      <w:bodyDiv w:val="1"/>
      <w:marLeft w:val="0"/>
      <w:marRight w:val="0"/>
      <w:marTop w:val="0"/>
      <w:marBottom w:val="0"/>
      <w:divBdr>
        <w:top w:val="none" w:sz="0" w:space="0" w:color="auto"/>
        <w:left w:val="none" w:sz="0" w:space="0" w:color="auto"/>
        <w:bottom w:val="none" w:sz="0" w:space="0" w:color="auto"/>
        <w:right w:val="none" w:sz="0" w:space="0" w:color="auto"/>
      </w:divBdr>
    </w:div>
    <w:div w:id="1180395278">
      <w:bodyDiv w:val="1"/>
      <w:marLeft w:val="0"/>
      <w:marRight w:val="0"/>
      <w:marTop w:val="0"/>
      <w:marBottom w:val="0"/>
      <w:divBdr>
        <w:top w:val="none" w:sz="0" w:space="0" w:color="auto"/>
        <w:left w:val="none" w:sz="0" w:space="0" w:color="auto"/>
        <w:bottom w:val="none" w:sz="0" w:space="0" w:color="auto"/>
        <w:right w:val="none" w:sz="0" w:space="0" w:color="auto"/>
      </w:divBdr>
    </w:div>
    <w:div w:id="1259827903">
      <w:bodyDiv w:val="1"/>
      <w:marLeft w:val="0"/>
      <w:marRight w:val="0"/>
      <w:marTop w:val="0"/>
      <w:marBottom w:val="0"/>
      <w:divBdr>
        <w:top w:val="none" w:sz="0" w:space="0" w:color="auto"/>
        <w:left w:val="none" w:sz="0" w:space="0" w:color="auto"/>
        <w:bottom w:val="none" w:sz="0" w:space="0" w:color="auto"/>
        <w:right w:val="none" w:sz="0" w:space="0" w:color="auto"/>
      </w:divBdr>
    </w:div>
    <w:div w:id="1433814255">
      <w:bodyDiv w:val="1"/>
      <w:marLeft w:val="0"/>
      <w:marRight w:val="0"/>
      <w:marTop w:val="0"/>
      <w:marBottom w:val="0"/>
      <w:divBdr>
        <w:top w:val="none" w:sz="0" w:space="0" w:color="auto"/>
        <w:left w:val="none" w:sz="0" w:space="0" w:color="auto"/>
        <w:bottom w:val="none" w:sz="0" w:space="0" w:color="auto"/>
        <w:right w:val="none" w:sz="0" w:space="0" w:color="auto"/>
      </w:divBdr>
      <w:divsChild>
        <w:div w:id="1443843373">
          <w:marLeft w:val="371"/>
          <w:marRight w:val="371"/>
          <w:marTop w:val="150"/>
          <w:marBottom w:val="150"/>
          <w:divBdr>
            <w:top w:val="none" w:sz="0" w:space="0" w:color="auto"/>
            <w:left w:val="none" w:sz="0" w:space="0" w:color="auto"/>
            <w:bottom w:val="none" w:sz="0" w:space="0" w:color="auto"/>
            <w:right w:val="none" w:sz="0" w:space="0" w:color="auto"/>
          </w:divBdr>
        </w:div>
      </w:divsChild>
    </w:div>
    <w:div w:id="1480003068">
      <w:bodyDiv w:val="1"/>
      <w:marLeft w:val="0"/>
      <w:marRight w:val="0"/>
      <w:marTop w:val="0"/>
      <w:marBottom w:val="0"/>
      <w:divBdr>
        <w:top w:val="none" w:sz="0" w:space="0" w:color="auto"/>
        <w:left w:val="none" w:sz="0" w:space="0" w:color="auto"/>
        <w:bottom w:val="none" w:sz="0" w:space="0" w:color="auto"/>
        <w:right w:val="none" w:sz="0" w:space="0" w:color="auto"/>
      </w:divBdr>
    </w:div>
    <w:div w:id="1600869023">
      <w:bodyDiv w:val="1"/>
      <w:marLeft w:val="0"/>
      <w:marRight w:val="0"/>
      <w:marTop w:val="0"/>
      <w:marBottom w:val="0"/>
      <w:divBdr>
        <w:top w:val="none" w:sz="0" w:space="0" w:color="auto"/>
        <w:left w:val="none" w:sz="0" w:space="0" w:color="auto"/>
        <w:bottom w:val="none" w:sz="0" w:space="0" w:color="auto"/>
        <w:right w:val="none" w:sz="0" w:space="0" w:color="auto"/>
      </w:divBdr>
    </w:div>
    <w:div w:id="1720788575">
      <w:bodyDiv w:val="1"/>
      <w:marLeft w:val="0"/>
      <w:marRight w:val="0"/>
      <w:marTop w:val="0"/>
      <w:marBottom w:val="0"/>
      <w:divBdr>
        <w:top w:val="none" w:sz="0" w:space="0" w:color="auto"/>
        <w:left w:val="none" w:sz="0" w:space="0" w:color="auto"/>
        <w:bottom w:val="none" w:sz="0" w:space="0" w:color="auto"/>
        <w:right w:val="none" w:sz="0" w:space="0" w:color="auto"/>
      </w:divBdr>
    </w:div>
    <w:div w:id="1771271199">
      <w:bodyDiv w:val="1"/>
      <w:marLeft w:val="0"/>
      <w:marRight w:val="0"/>
      <w:marTop w:val="0"/>
      <w:marBottom w:val="0"/>
      <w:divBdr>
        <w:top w:val="none" w:sz="0" w:space="0" w:color="auto"/>
        <w:left w:val="none" w:sz="0" w:space="0" w:color="auto"/>
        <w:bottom w:val="none" w:sz="0" w:space="0" w:color="auto"/>
        <w:right w:val="none" w:sz="0" w:space="0" w:color="auto"/>
      </w:divBdr>
    </w:div>
    <w:div w:id="1911571868">
      <w:bodyDiv w:val="1"/>
      <w:marLeft w:val="0"/>
      <w:marRight w:val="0"/>
      <w:marTop w:val="0"/>
      <w:marBottom w:val="0"/>
      <w:divBdr>
        <w:top w:val="none" w:sz="0" w:space="0" w:color="auto"/>
        <w:left w:val="none" w:sz="0" w:space="0" w:color="auto"/>
        <w:bottom w:val="none" w:sz="0" w:space="0" w:color="auto"/>
        <w:right w:val="none" w:sz="0" w:space="0" w:color="auto"/>
      </w:divBdr>
    </w:div>
    <w:div w:id="1955596984">
      <w:bodyDiv w:val="1"/>
      <w:marLeft w:val="0"/>
      <w:marRight w:val="0"/>
      <w:marTop w:val="0"/>
      <w:marBottom w:val="0"/>
      <w:divBdr>
        <w:top w:val="none" w:sz="0" w:space="0" w:color="auto"/>
        <w:left w:val="none" w:sz="0" w:space="0" w:color="auto"/>
        <w:bottom w:val="none" w:sz="0" w:space="0" w:color="auto"/>
        <w:right w:val="none" w:sz="0" w:space="0" w:color="auto"/>
      </w:divBdr>
      <w:divsChild>
        <w:div w:id="290329087">
          <w:marLeft w:val="371"/>
          <w:marRight w:val="371"/>
          <w:marTop w:val="150"/>
          <w:marBottom w:val="150"/>
          <w:divBdr>
            <w:top w:val="none" w:sz="0" w:space="0" w:color="auto"/>
            <w:left w:val="none" w:sz="0" w:space="0" w:color="auto"/>
            <w:bottom w:val="none" w:sz="0" w:space="0" w:color="auto"/>
            <w:right w:val="none" w:sz="0" w:space="0" w:color="auto"/>
          </w:divBdr>
        </w:div>
      </w:divsChild>
    </w:div>
    <w:div w:id="20335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adriatic-ionian.e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D0DB2547-2D9E-433B-9DDF-AA2451A6B8B1}"/>
      </w:docPartPr>
      <w:docPartBody>
        <w:p w:rsidR="00300810" w:rsidRDefault="00FB2B5F">
          <w:r w:rsidRPr="001D5913">
            <w:rPr>
              <w:rStyle w:val="PlaceholderText"/>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5F"/>
    <w:rsid w:val="00057300"/>
    <w:rsid w:val="000F7897"/>
    <w:rsid w:val="001B7A53"/>
    <w:rsid w:val="001D4FF8"/>
    <w:rsid w:val="00252B80"/>
    <w:rsid w:val="00273015"/>
    <w:rsid w:val="002C1A4C"/>
    <w:rsid w:val="00300810"/>
    <w:rsid w:val="00340FA1"/>
    <w:rsid w:val="0042483A"/>
    <w:rsid w:val="004A315B"/>
    <w:rsid w:val="00513FA7"/>
    <w:rsid w:val="005F56A2"/>
    <w:rsid w:val="007A57B8"/>
    <w:rsid w:val="00820D7F"/>
    <w:rsid w:val="009C6B08"/>
    <w:rsid w:val="00A43F59"/>
    <w:rsid w:val="00BE0272"/>
    <w:rsid w:val="00BF3791"/>
    <w:rsid w:val="00C8414F"/>
    <w:rsid w:val="00CB2D71"/>
    <w:rsid w:val="00D70246"/>
    <w:rsid w:val="00DA3A53"/>
    <w:rsid w:val="00DD021F"/>
    <w:rsid w:val="00F077D2"/>
    <w:rsid w:val="00FB2B5F"/>
    <w:rsid w:val="00FF70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89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622FB-8F1F-4DDE-80F3-F8BDF6C6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5972</Words>
  <Characters>34041</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anderle</dc:creator>
  <cp:keywords/>
  <dc:description/>
  <cp:lastModifiedBy>FP LP</cp:lastModifiedBy>
  <cp:revision>3</cp:revision>
  <dcterms:created xsi:type="dcterms:W3CDTF">2026-02-06T15:20:00Z</dcterms:created>
  <dcterms:modified xsi:type="dcterms:W3CDTF">2026-02-06T15:24:00Z</dcterms:modified>
</cp:coreProperties>
</file>