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0B44" w:rsidRPr="00D10FEB" w:rsidRDefault="000A0B44" w:rsidP="000A0B44">
      <w:pPr>
        <w:rPr>
          <w:rFonts w:ascii="Arial Narrow" w:hAnsi="Arial Narrow"/>
          <w:b/>
          <w:bCs/>
          <w:color w:val="0070C0"/>
          <w:sz w:val="44"/>
          <w:szCs w:val="44"/>
          <w:lang w:val="en-GB"/>
        </w:rPr>
      </w:pPr>
    </w:p>
    <w:p w:rsidR="000A0B44" w:rsidRPr="00D10FEB" w:rsidRDefault="000A0B44" w:rsidP="000A0B44">
      <w:pPr>
        <w:rPr>
          <w:rFonts w:ascii="Arial Narrow" w:hAnsi="Arial Narrow"/>
          <w:b/>
          <w:bCs/>
          <w:color w:val="0070C0"/>
          <w:sz w:val="44"/>
          <w:szCs w:val="44"/>
          <w:lang w:val="en-GB"/>
        </w:rPr>
      </w:pPr>
    </w:p>
    <w:p w:rsidR="000A0B44" w:rsidRPr="00D10FEB" w:rsidRDefault="000A0B44" w:rsidP="000A0B44">
      <w:pPr>
        <w:rPr>
          <w:rFonts w:ascii="Arial Narrow" w:hAnsi="Arial Narrow"/>
          <w:b/>
          <w:bCs/>
          <w:color w:val="0070C0"/>
          <w:sz w:val="44"/>
          <w:szCs w:val="44"/>
          <w:lang w:val="en-GB"/>
        </w:rPr>
      </w:pPr>
    </w:p>
    <w:p w:rsidR="000A0B44" w:rsidRPr="00D10FEB" w:rsidRDefault="000A0B44" w:rsidP="000A0B44">
      <w:pPr>
        <w:rPr>
          <w:rFonts w:ascii="Arial Narrow" w:hAnsi="Arial Narrow"/>
          <w:b/>
          <w:bCs/>
          <w:color w:val="0070C0"/>
          <w:sz w:val="44"/>
          <w:szCs w:val="44"/>
          <w:lang w:val="en-GB"/>
        </w:rPr>
      </w:pPr>
    </w:p>
    <w:p w:rsidR="000A0B44" w:rsidRPr="00D10FEB" w:rsidRDefault="000A0B44" w:rsidP="000A0B44">
      <w:pPr>
        <w:rPr>
          <w:rFonts w:ascii="Arial Narrow" w:hAnsi="Arial Narrow"/>
          <w:b/>
          <w:bCs/>
          <w:color w:val="0070C0"/>
          <w:sz w:val="44"/>
          <w:szCs w:val="44"/>
          <w:lang w:val="en-GB"/>
        </w:rPr>
      </w:pPr>
    </w:p>
    <w:p w:rsidR="000A0B44" w:rsidRPr="00D10FEB" w:rsidRDefault="000A0B44" w:rsidP="000A0B44">
      <w:pPr>
        <w:rPr>
          <w:rFonts w:ascii="Arial Narrow" w:hAnsi="Arial Narrow"/>
          <w:b/>
          <w:bCs/>
          <w:color w:val="0070C0"/>
          <w:sz w:val="44"/>
          <w:szCs w:val="44"/>
          <w:lang w:val="en-GB"/>
        </w:rPr>
      </w:pPr>
    </w:p>
    <w:p w:rsidR="00841FFC" w:rsidRPr="00D10FEB" w:rsidRDefault="00841FFC" w:rsidP="000A0B44">
      <w:pPr>
        <w:rPr>
          <w:rFonts w:ascii="Arial Narrow" w:hAnsi="Arial Narrow"/>
          <w:b/>
          <w:bCs/>
          <w:color w:val="0070C0"/>
          <w:sz w:val="44"/>
          <w:szCs w:val="44"/>
          <w:lang w:val="en-GB"/>
        </w:rPr>
      </w:pPr>
    </w:p>
    <w:p w:rsidR="002E0FA0" w:rsidRPr="00D10FEB" w:rsidRDefault="002E0FA0" w:rsidP="000A0B44">
      <w:pPr>
        <w:rPr>
          <w:rFonts w:ascii="Arial Narrow" w:hAnsi="Arial Narrow"/>
          <w:b/>
          <w:bCs/>
          <w:color w:val="0070C0"/>
          <w:sz w:val="44"/>
          <w:szCs w:val="44"/>
          <w:lang w:val="en-GB"/>
        </w:rPr>
      </w:pPr>
      <w:r w:rsidRPr="00D10FEB">
        <w:rPr>
          <w:rFonts w:ascii="Arial Narrow" w:hAnsi="Arial Narrow"/>
          <w:b/>
          <w:bCs/>
          <w:color w:val="0070C0"/>
          <w:sz w:val="44"/>
          <w:szCs w:val="44"/>
          <w:lang w:val="en-GB"/>
        </w:rPr>
        <w:t>EUSAIR Alignment Update 2025–2027: IPA III Programmes and Reform Agendas</w:t>
      </w:r>
    </w:p>
    <w:p w:rsidR="007E39F8" w:rsidRPr="00D10FEB" w:rsidRDefault="007E39F8" w:rsidP="000A0B44">
      <w:pPr>
        <w:rPr>
          <w:rFonts w:ascii="Arial Narrow" w:hAnsi="Arial Narrow"/>
          <w:b/>
          <w:bCs/>
          <w:color w:val="0070C0"/>
          <w:sz w:val="44"/>
          <w:szCs w:val="44"/>
          <w:lang w:val="en-GB"/>
        </w:rPr>
      </w:pPr>
    </w:p>
    <w:p w:rsidR="003E503C" w:rsidRPr="00D10FEB" w:rsidRDefault="002E0FA0" w:rsidP="000A0B44">
      <w:pPr>
        <w:rPr>
          <w:rFonts w:ascii="Arial Narrow" w:hAnsi="Arial Narrow"/>
          <w:b/>
          <w:bCs/>
          <w:color w:val="0070C0"/>
          <w:sz w:val="44"/>
          <w:szCs w:val="44"/>
          <w:lang w:val="en-GB"/>
        </w:rPr>
      </w:pPr>
      <w:r w:rsidRPr="00D10FEB">
        <w:rPr>
          <w:rFonts w:ascii="Arial Narrow" w:hAnsi="Arial Narrow"/>
          <w:b/>
          <w:bCs/>
          <w:color w:val="0070C0"/>
          <w:sz w:val="44"/>
          <w:szCs w:val="44"/>
          <w:lang w:val="en-GB"/>
        </w:rPr>
        <w:t xml:space="preserve">Companion </w:t>
      </w:r>
      <w:proofErr w:type="gramStart"/>
      <w:r w:rsidRPr="00D10FEB">
        <w:rPr>
          <w:rFonts w:ascii="Arial Narrow" w:hAnsi="Arial Narrow"/>
          <w:b/>
          <w:bCs/>
          <w:color w:val="0070C0"/>
          <w:sz w:val="44"/>
          <w:szCs w:val="44"/>
          <w:lang w:val="en-GB"/>
        </w:rPr>
        <w:t>note</w:t>
      </w:r>
      <w:proofErr w:type="gramEnd"/>
      <w:r w:rsidRPr="00D10FEB">
        <w:rPr>
          <w:rFonts w:ascii="Arial Narrow" w:hAnsi="Arial Narrow"/>
          <w:b/>
          <w:bCs/>
          <w:color w:val="0070C0"/>
          <w:sz w:val="44"/>
          <w:szCs w:val="44"/>
          <w:lang w:val="en-GB"/>
        </w:rPr>
        <w:t xml:space="preserve"> to STEP D.5.1.2 (TSGs) and STEP D.5.4.1 (NIPACs &amp; DG </w:t>
      </w:r>
      <w:proofErr w:type="gramStart"/>
      <w:r w:rsidRPr="00D10FEB">
        <w:rPr>
          <w:rFonts w:ascii="Arial Narrow" w:hAnsi="Arial Narrow"/>
          <w:b/>
          <w:bCs/>
          <w:color w:val="0070C0"/>
          <w:sz w:val="44"/>
          <w:szCs w:val="44"/>
          <w:lang w:val="en-GB"/>
        </w:rPr>
        <w:t>NEAR</w:t>
      </w:r>
      <w:proofErr w:type="gramEnd"/>
      <w:r w:rsidRPr="00D10FEB">
        <w:rPr>
          <w:rFonts w:ascii="Arial Narrow" w:hAnsi="Arial Narrow"/>
          <w:b/>
          <w:bCs/>
          <w:color w:val="0070C0"/>
          <w:sz w:val="44"/>
          <w:szCs w:val="44"/>
          <w:lang w:val="en-GB"/>
        </w:rPr>
        <w:t>)</w:t>
      </w:r>
    </w:p>
    <w:p w:rsidR="003E503C" w:rsidRPr="00D10FEB" w:rsidRDefault="003E503C">
      <w:pPr>
        <w:rPr>
          <w:lang w:val="en-GB"/>
        </w:rPr>
      </w:pPr>
      <w:r w:rsidRPr="00D10FEB">
        <w:rPr>
          <w:lang w:val="en-GB"/>
        </w:rPr>
        <w:br w:type="page"/>
      </w:r>
    </w:p>
    <w:sdt>
      <w:sdtPr>
        <w:rPr>
          <w:rFonts w:ascii="Arial Narrow" w:eastAsiaTheme="minorHAnsi" w:hAnsi="Arial Narrow" w:cstheme="minorBidi"/>
          <w:b w:val="0"/>
          <w:bCs w:val="0"/>
          <w:color w:val="auto"/>
          <w:kern w:val="2"/>
          <w:sz w:val="24"/>
          <w:szCs w:val="24"/>
          <w:lang w:val="en-GB" w:eastAsia="en-US"/>
          <w14:ligatures w14:val="standardContextual"/>
        </w:rPr>
        <w:id w:val="1216388335"/>
        <w:docPartObj>
          <w:docPartGallery w:val="Table of Contents"/>
          <w:docPartUnique/>
        </w:docPartObj>
      </w:sdtPr>
      <w:sdtEndPr>
        <w:rPr>
          <w:rFonts w:eastAsia="Times New Roman" w:cs="Times New Roman"/>
          <w:noProof/>
          <w:kern w:val="0"/>
          <w:lang w:eastAsia="en-GB"/>
          <w14:ligatures w14:val="none"/>
        </w:rPr>
      </w:sdtEndPr>
      <w:sdtContent>
        <w:p w:rsidR="003E503C" w:rsidRPr="00D10FEB" w:rsidRDefault="003E503C" w:rsidP="00A43FFD">
          <w:pPr>
            <w:pStyle w:val="TOCHeading"/>
            <w:rPr>
              <w:rFonts w:ascii="Arial Narrow" w:hAnsi="Arial Narrow"/>
              <w:lang w:val="en-GB"/>
            </w:rPr>
          </w:pPr>
          <w:r w:rsidRPr="00D10FEB">
            <w:rPr>
              <w:rFonts w:ascii="Arial Narrow" w:hAnsi="Arial Narrow"/>
              <w:lang w:val="en-GB"/>
            </w:rPr>
            <w:t>Table of Contents</w:t>
          </w:r>
        </w:p>
        <w:p w:rsidR="00616720" w:rsidRDefault="003E503C">
          <w:pPr>
            <w:pStyle w:val="TOC1"/>
            <w:tabs>
              <w:tab w:val="right" w:leader="dot" w:pos="9016"/>
            </w:tabs>
            <w:rPr>
              <w:rFonts w:eastAsiaTheme="minorEastAsia"/>
              <w:b w:val="0"/>
              <w:bCs w:val="0"/>
              <w:i w:val="0"/>
              <w:iCs w:val="0"/>
              <w:noProof/>
              <w:lang w:eastAsia="en-GB"/>
            </w:rPr>
          </w:pPr>
          <w:r w:rsidRPr="00D10FEB">
            <w:rPr>
              <w:rFonts w:ascii="Arial Narrow" w:hAnsi="Arial Narrow"/>
              <w:b w:val="0"/>
              <w:bCs w:val="0"/>
              <w:lang w:val="en-GB"/>
            </w:rPr>
            <w:fldChar w:fldCharType="begin"/>
          </w:r>
          <w:r w:rsidRPr="00D10FEB">
            <w:rPr>
              <w:rFonts w:ascii="Arial Narrow" w:hAnsi="Arial Narrow"/>
              <w:lang w:val="en-GB"/>
            </w:rPr>
            <w:instrText xml:space="preserve"> TOC \o "1-3" \h \z \u </w:instrText>
          </w:r>
          <w:r w:rsidRPr="00D10FEB">
            <w:rPr>
              <w:rFonts w:ascii="Arial Narrow" w:hAnsi="Arial Narrow"/>
              <w:b w:val="0"/>
              <w:bCs w:val="0"/>
              <w:lang w:val="en-GB"/>
            </w:rPr>
            <w:fldChar w:fldCharType="separate"/>
          </w:r>
          <w:hyperlink w:anchor="_Toc221105710" w:history="1">
            <w:r w:rsidR="00616720" w:rsidRPr="00CE5AEA">
              <w:rPr>
                <w:rStyle w:val="Hyperlink"/>
                <w:noProof/>
                <w:lang w:val="en-GB"/>
              </w:rPr>
              <w:t>Introduction</w:t>
            </w:r>
            <w:r w:rsidR="00616720">
              <w:rPr>
                <w:noProof/>
                <w:webHidden/>
              </w:rPr>
              <w:tab/>
            </w:r>
            <w:r w:rsidR="00616720">
              <w:rPr>
                <w:noProof/>
                <w:webHidden/>
              </w:rPr>
              <w:fldChar w:fldCharType="begin"/>
            </w:r>
            <w:r w:rsidR="00616720">
              <w:rPr>
                <w:noProof/>
                <w:webHidden/>
              </w:rPr>
              <w:instrText xml:space="preserve"> PAGEREF _Toc221105710 \h </w:instrText>
            </w:r>
            <w:r w:rsidR="00616720">
              <w:rPr>
                <w:noProof/>
                <w:webHidden/>
              </w:rPr>
            </w:r>
            <w:r w:rsidR="00616720">
              <w:rPr>
                <w:noProof/>
                <w:webHidden/>
              </w:rPr>
              <w:fldChar w:fldCharType="separate"/>
            </w:r>
            <w:r w:rsidR="002865C9">
              <w:rPr>
                <w:noProof/>
                <w:webHidden/>
              </w:rPr>
              <w:t>3</w:t>
            </w:r>
            <w:r w:rsidR="00616720">
              <w:rPr>
                <w:noProof/>
                <w:webHidden/>
              </w:rPr>
              <w:fldChar w:fldCharType="end"/>
            </w:r>
          </w:hyperlink>
        </w:p>
        <w:p w:rsidR="00616720" w:rsidRDefault="00616720">
          <w:pPr>
            <w:pStyle w:val="TOC2"/>
            <w:tabs>
              <w:tab w:val="right" w:leader="dot" w:pos="9016"/>
            </w:tabs>
            <w:rPr>
              <w:rFonts w:eastAsiaTheme="minorEastAsia"/>
              <w:b w:val="0"/>
              <w:bCs w:val="0"/>
              <w:noProof/>
              <w:sz w:val="24"/>
              <w:szCs w:val="24"/>
              <w:lang w:eastAsia="en-GB"/>
            </w:rPr>
          </w:pPr>
          <w:hyperlink w:anchor="_Toc221105711" w:history="1">
            <w:r w:rsidRPr="00CE5AEA">
              <w:rPr>
                <w:rStyle w:val="Hyperlink"/>
                <w:noProof/>
                <w:lang w:val="en-GB"/>
              </w:rPr>
              <w:t>Overall Assessment</w:t>
            </w:r>
            <w:r>
              <w:rPr>
                <w:noProof/>
                <w:webHidden/>
              </w:rPr>
              <w:tab/>
            </w:r>
            <w:r>
              <w:rPr>
                <w:noProof/>
                <w:webHidden/>
              </w:rPr>
              <w:fldChar w:fldCharType="begin"/>
            </w:r>
            <w:r>
              <w:rPr>
                <w:noProof/>
                <w:webHidden/>
              </w:rPr>
              <w:instrText xml:space="preserve"> PAGEREF _Toc221105711 \h </w:instrText>
            </w:r>
            <w:r>
              <w:rPr>
                <w:noProof/>
                <w:webHidden/>
              </w:rPr>
            </w:r>
            <w:r>
              <w:rPr>
                <w:noProof/>
                <w:webHidden/>
              </w:rPr>
              <w:fldChar w:fldCharType="separate"/>
            </w:r>
            <w:r w:rsidR="002865C9">
              <w:rPr>
                <w:noProof/>
                <w:webHidden/>
              </w:rPr>
              <w:t>3</w:t>
            </w:r>
            <w:r>
              <w:rPr>
                <w:noProof/>
                <w:webHidden/>
              </w:rPr>
              <w:fldChar w:fldCharType="end"/>
            </w:r>
          </w:hyperlink>
        </w:p>
        <w:p w:rsidR="00616720" w:rsidRDefault="00616720">
          <w:pPr>
            <w:pStyle w:val="TOC3"/>
            <w:tabs>
              <w:tab w:val="right" w:leader="dot" w:pos="9016"/>
            </w:tabs>
            <w:rPr>
              <w:rFonts w:eastAsiaTheme="minorEastAsia"/>
              <w:noProof/>
              <w:sz w:val="24"/>
              <w:szCs w:val="24"/>
              <w:lang w:eastAsia="en-GB"/>
            </w:rPr>
          </w:pPr>
          <w:hyperlink w:anchor="_Toc221105712" w:history="1">
            <w:r w:rsidRPr="00CE5AEA">
              <w:rPr>
                <w:rStyle w:val="Hyperlink"/>
                <w:rFonts w:ascii="Franklin Gothic Heavy" w:hAnsi="Franklin Gothic Heavy"/>
                <w:noProof/>
                <w:lang w:val="en-GB"/>
              </w:rPr>
              <w:t>IPA III Programming and Thematic Convergence</w:t>
            </w:r>
            <w:r>
              <w:rPr>
                <w:noProof/>
                <w:webHidden/>
              </w:rPr>
              <w:tab/>
            </w:r>
            <w:r>
              <w:rPr>
                <w:noProof/>
                <w:webHidden/>
              </w:rPr>
              <w:fldChar w:fldCharType="begin"/>
            </w:r>
            <w:r>
              <w:rPr>
                <w:noProof/>
                <w:webHidden/>
              </w:rPr>
              <w:instrText xml:space="preserve"> PAGEREF _Toc221105712 \h </w:instrText>
            </w:r>
            <w:r>
              <w:rPr>
                <w:noProof/>
                <w:webHidden/>
              </w:rPr>
            </w:r>
            <w:r>
              <w:rPr>
                <w:noProof/>
                <w:webHidden/>
              </w:rPr>
              <w:fldChar w:fldCharType="separate"/>
            </w:r>
            <w:r w:rsidR="002865C9">
              <w:rPr>
                <w:noProof/>
                <w:webHidden/>
              </w:rPr>
              <w:t>3</w:t>
            </w:r>
            <w:r>
              <w:rPr>
                <w:noProof/>
                <w:webHidden/>
              </w:rPr>
              <w:fldChar w:fldCharType="end"/>
            </w:r>
          </w:hyperlink>
        </w:p>
        <w:p w:rsidR="00616720" w:rsidRDefault="00616720">
          <w:pPr>
            <w:pStyle w:val="TOC3"/>
            <w:tabs>
              <w:tab w:val="right" w:leader="dot" w:pos="9016"/>
            </w:tabs>
            <w:rPr>
              <w:rFonts w:eastAsiaTheme="minorEastAsia"/>
              <w:noProof/>
              <w:sz w:val="24"/>
              <w:szCs w:val="24"/>
              <w:lang w:eastAsia="en-GB"/>
            </w:rPr>
          </w:pPr>
          <w:hyperlink w:anchor="_Toc221105713" w:history="1">
            <w:r w:rsidRPr="00CE5AEA">
              <w:rPr>
                <w:rStyle w:val="Hyperlink"/>
                <w:rFonts w:ascii="Franklin Gothic Heavy" w:hAnsi="Franklin Gothic Heavy"/>
                <w:noProof/>
                <w:lang w:val="en-GB"/>
              </w:rPr>
              <w:t>Reform Agendas and the Absence of Macro-Regional Intent</w:t>
            </w:r>
            <w:r>
              <w:rPr>
                <w:noProof/>
                <w:webHidden/>
              </w:rPr>
              <w:tab/>
            </w:r>
            <w:r>
              <w:rPr>
                <w:noProof/>
                <w:webHidden/>
              </w:rPr>
              <w:fldChar w:fldCharType="begin"/>
            </w:r>
            <w:r>
              <w:rPr>
                <w:noProof/>
                <w:webHidden/>
              </w:rPr>
              <w:instrText xml:space="preserve"> PAGEREF _Toc221105713 \h </w:instrText>
            </w:r>
            <w:r>
              <w:rPr>
                <w:noProof/>
                <w:webHidden/>
              </w:rPr>
            </w:r>
            <w:r>
              <w:rPr>
                <w:noProof/>
                <w:webHidden/>
              </w:rPr>
              <w:fldChar w:fldCharType="separate"/>
            </w:r>
            <w:r w:rsidR="002865C9">
              <w:rPr>
                <w:noProof/>
                <w:webHidden/>
              </w:rPr>
              <w:t>3</w:t>
            </w:r>
            <w:r>
              <w:rPr>
                <w:noProof/>
                <w:webHidden/>
              </w:rPr>
              <w:fldChar w:fldCharType="end"/>
            </w:r>
          </w:hyperlink>
        </w:p>
        <w:p w:rsidR="00616720" w:rsidRDefault="00616720">
          <w:pPr>
            <w:pStyle w:val="TOC3"/>
            <w:tabs>
              <w:tab w:val="right" w:leader="dot" w:pos="9016"/>
            </w:tabs>
            <w:rPr>
              <w:rFonts w:eastAsiaTheme="minorEastAsia"/>
              <w:noProof/>
              <w:sz w:val="24"/>
              <w:szCs w:val="24"/>
              <w:lang w:eastAsia="en-GB"/>
            </w:rPr>
          </w:pPr>
          <w:hyperlink w:anchor="_Toc221105714" w:history="1">
            <w:r w:rsidRPr="00CE5AEA">
              <w:rPr>
                <w:rStyle w:val="Hyperlink"/>
                <w:rFonts w:ascii="Franklin Gothic Heavy" w:hAnsi="Franklin Gothic Heavy"/>
                <w:noProof/>
                <w:lang w:val="en-GB"/>
              </w:rPr>
              <w:t>Structural Weaknesses and Governance Fragmentation</w:t>
            </w:r>
            <w:r>
              <w:rPr>
                <w:noProof/>
                <w:webHidden/>
              </w:rPr>
              <w:tab/>
            </w:r>
            <w:r>
              <w:rPr>
                <w:noProof/>
                <w:webHidden/>
              </w:rPr>
              <w:fldChar w:fldCharType="begin"/>
            </w:r>
            <w:r>
              <w:rPr>
                <w:noProof/>
                <w:webHidden/>
              </w:rPr>
              <w:instrText xml:space="preserve"> PAGEREF _Toc221105714 \h </w:instrText>
            </w:r>
            <w:r>
              <w:rPr>
                <w:noProof/>
                <w:webHidden/>
              </w:rPr>
            </w:r>
            <w:r>
              <w:rPr>
                <w:noProof/>
                <w:webHidden/>
              </w:rPr>
              <w:fldChar w:fldCharType="separate"/>
            </w:r>
            <w:r w:rsidR="002865C9">
              <w:rPr>
                <w:noProof/>
                <w:webHidden/>
              </w:rPr>
              <w:t>4</w:t>
            </w:r>
            <w:r>
              <w:rPr>
                <w:noProof/>
                <w:webHidden/>
              </w:rPr>
              <w:fldChar w:fldCharType="end"/>
            </w:r>
          </w:hyperlink>
        </w:p>
        <w:p w:rsidR="00616720" w:rsidRDefault="00616720">
          <w:pPr>
            <w:pStyle w:val="TOC3"/>
            <w:tabs>
              <w:tab w:val="right" w:leader="dot" w:pos="9016"/>
            </w:tabs>
            <w:rPr>
              <w:rFonts w:eastAsiaTheme="minorEastAsia"/>
              <w:noProof/>
              <w:sz w:val="24"/>
              <w:szCs w:val="24"/>
              <w:lang w:eastAsia="en-GB"/>
            </w:rPr>
          </w:pPr>
          <w:hyperlink w:anchor="_Toc221105715" w:history="1">
            <w:r w:rsidRPr="00CE5AEA">
              <w:rPr>
                <w:rStyle w:val="Hyperlink"/>
                <w:rFonts w:ascii="Franklin Gothic Heavy" w:hAnsi="Franklin Gothic Heavy"/>
                <w:noProof/>
                <w:lang w:val="en-GB"/>
              </w:rPr>
              <w:t>Realistic Possibilities for Embedding Beyond 2027</w:t>
            </w:r>
            <w:r>
              <w:rPr>
                <w:noProof/>
                <w:webHidden/>
              </w:rPr>
              <w:tab/>
            </w:r>
            <w:r>
              <w:rPr>
                <w:noProof/>
                <w:webHidden/>
              </w:rPr>
              <w:fldChar w:fldCharType="begin"/>
            </w:r>
            <w:r>
              <w:rPr>
                <w:noProof/>
                <w:webHidden/>
              </w:rPr>
              <w:instrText xml:space="preserve"> PAGEREF _Toc221105715 \h </w:instrText>
            </w:r>
            <w:r>
              <w:rPr>
                <w:noProof/>
                <w:webHidden/>
              </w:rPr>
            </w:r>
            <w:r>
              <w:rPr>
                <w:noProof/>
                <w:webHidden/>
              </w:rPr>
              <w:fldChar w:fldCharType="separate"/>
            </w:r>
            <w:r w:rsidR="002865C9">
              <w:rPr>
                <w:noProof/>
                <w:webHidden/>
              </w:rPr>
              <w:t>4</w:t>
            </w:r>
            <w:r>
              <w:rPr>
                <w:noProof/>
                <w:webHidden/>
              </w:rPr>
              <w:fldChar w:fldCharType="end"/>
            </w:r>
          </w:hyperlink>
        </w:p>
        <w:p w:rsidR="00616720" w:rsidRDefault="00616720">
          <w:pPr>
            <w:pStyle w:val="TOC3"/>
            <w:tabs>
              <w:tab w:val="right" w:leader="dot" w:pos="9016"/>
            </w:tabs>
            <w:rPr>
              <w:rFonts w:eastAsiaTheme="minorEastAsia"/>
              <w:noProof/>
              <w:sz w:val="24"/>
              <w:szCs w:val="24"/>
              <w:lang w:eastAsia="en-GB"/>
            </w:rPr>
          </w:pPr>
          <w:hyperlink w:anchor="_Toc221105716" w:history="1">
            <w:r w:rsidRPr="00CE5AEA">
              <w:rPr>
                <w:rStyle w:val="Hyperlink"/>
                <w:rFonts w:ascii="Franklin Gothic Heavy" w:hAnsi="Franklin Gothic Heavy"/>
                <w:noProof/>
                <w:lang w:val="en-GB"/>
              </w:rPr>
              <w:t>Strategic Adjustments for Systemic Embedding</w:t>
            </w:r>
            <w:r>
              <w:rPr>
                <w:noProof/>
                <w:webHidden/>
              </w:rPr>
              <w:tab/>
            </w:r>
            <w:r>
              <w:rPr>
                <w:noProof/>
                <w:webHidden/>
              </w:rPr>
              <w:fldChar w:fldCharType="begin"/>
            </w:r>
            <w:r>
              <w:rPr>
                <w:noProof/>
                <w:webHidden/>
              </w:rPr>
              <w:instrText xml:space="preserve"> PAGEREF _Toc221105716 \h </w:instrText>
            </w:r>
            <w:r>
              <w:rPr>
                <w:noProof/>
                <w:webHidden/>
              </w:rPr>
            </w:r>
            <w:r>
              <w:rPr>
                <w:noProof/>
                <w:webHidden/>
              </w:rPr>
              <w:fldChar w:fldCharType="separate"/>
            </w:r>
            <w:r w:rsidR="002865C9">
              <w:rPr>
                <w:noProof/>
                <w:webHidden/>
              </w:rPr>
              <w:t>5</w:t>
            </w:r>
            <w:r>
              <w:rPr>
                <w:noProof/>
                <w:webHidden/>
              </w:rPr>
              <w:fldChar w:fldCharType="end"/>
            </w:r>
          </w:hyperlink>
        </w:p>
        <w:p w:rsidR="00616720" w:rsidRDefault="00616720">
          <w:pPr>
            <w:pStyle w:val="TOC1"/>
            <w:tabs>
              <w:tab w:val="right" w:leader="dot" w:pos="9016"/>
            </w:tabs>
            <w:rPr>
              <w:rFonts w:eastAsiaTheme="minorEastAsia"/>
              <w:b w:val="0"/>
              <w:bCs w:val="0"/>
              <w:i w:val="0"/>
              <w:iCs w:val="0"/>
              <w:noProof/>
              <w:lang w:eastAsia="en-GB"/>
            </w:rPr>
          </w:pPr>
          <w:hyperlink w:anchor="_Toc221105717" w:history="1">
            <w:r w:rsidRPr="00CE5AEA">
              <w:rPr>
                <w:rStyle w:val="Hyperlink"/>
                <w:rFonts w:eastAsia="Times New Roman"/>
                <w:noProof/>
                <w:lang w:val="en-GB"/>
              </w:rPr>
              <w:t>Country Profiles</w:t>
            </w:r>
            <w:r>
              <w:rPr>
                <w:noProof/>
                <w:webHidden/>
              </w:rPr>
              <w:tab/>
            </w:r>
            <w:r>
              <w:rPr>
                <w:noProof/>
                <w:webHidden/>
              </w:rPr>
              <w:fldChar w:fldCharType="begin"/>
            </w:r>
            <w:r>
              <w:rPr>
                <w:noProof/>
                <w:webHidden/>
              </w:rPr>
              <w:instrText xml:space="preserve"> PAGEREF _Toc221105717 \h </w:instrText>
            </w:r>
            <w:r>
              <w:rPr>
                <w:noProof/>
                <w:webHidden/>
              </w:rPr>
            </w:r>
            <w:r>
              <w:rPr>
                <w:noProof/>
                <w:webHidden/>
              </w:rPr>
              <w:fldChar w:fldCharType="separate"/>
            </w:r>
            <w:r w:rsidR="002865C9">
              <w:rPr>
                <w:noProof/>
                <w:webHidden/>
              </w:rPr>
              <w:t>6</w:t>
            </w:r>
            <w:r>
              <w:rPr>
                <w:noProof/>
                <w:webHidden/>
              </w:rPr>
              <w:fldChar w:fldCharType="end"/>
            </w:r>
          </w:hyperlink>
        </w:p>
        <w:p w:rsidR="00616720" w:rsidRDefault="00616720">
          <w:pPr>
            <w:pStyle w:val="TOC2"/>
            <w:tabs>
              <w:tab w:val="right" w:leader="dot" w:pos="9016"/>
            </w:tabs>
            <w:rPr>
              <w:rFonts w:eastAsiaTheme="minorEastAsia"/>
              <w:b w:val="0"/>
              <w:bCs w:val="0"/>
              <w:noProof/>
              <w:sz w:val="24"/>
              <w:szCs w:val="24"/>
              <w:lang w:eastAsia="en-GB"/>
            </w:rPr>
          </w:pPr>
          <w:hyperlink w:anchor="_Toc221105718" w:history="1">
            <w:r w:rsidRPr="00CE5AEA">
              <w:rPr>
                <w:rStyle w:val="Hyperlink"/>
                <w:noProof/>
                <w:lang w:val="en-GB"/>
              </w:rPr>
              <w:t>Albania</w:t>
            </w:r>
            <w:r>
              <w:rPr>
                <w:noProof/>
                <w:webHidden/>
              </w:rPr>
              <w:tab/>
            </w:r>
            <w:r>
              <w:rPr>
                <w:noProof/>
                <w:webHidden/>
              </w:rPr>
              <w:fldChar w:fldCharType="begin"/>
            </w:r>
            <w:r>
              <w:rPr>
                <w:noProof/>
                <w:webHidden/>
              </w:rPr>
              <w:instrText xml:space="preserve"> PAGEREF _Toc221105718 \h </w:instrText>
            </w:r>
            <w:r>
              <w:rPr>
                <w:noProof/>
                <w:webHidden/>
              </w:rPr>
            </w:r>
            <w:r>
              <w:rPr>
                <w:noProof/>
                <w:webHidden/>
              </w:rPr>
              <w:fldChar w:fldCharType="separate"/>
            </w:r>
            <w:r w:rsidR="002865C9">
              <w:rPr>
                <w:noProof/>
                <w:webHidden/>
              </w:rPr>
              <w:t>6</w:t>
            </w:r>
            <w:r>
              <w:rPr>
                <w:noProof/>
                <w:webHidden/>
              </w:rPr>
              <w:fldChar w:fldCharType="end"/>
            </w:r>
          </w:hyperlink>
        </w:p>
        <w:p w:rsidR="00616720" w:rsidRDefault="00616720">
          <w:pPr>
            <w:pStyle w:val="TOC3"/>
            <w:tabs>
              <w:tab w:val="right" w:leader="dot" w:pos="9016"/>
            </w:tabs>
            <w:rPr>
              <w:rFonts w:eastAsiaTheme="minorEastAsia"/>
              <w:noProof/>
              <w:sz w:val="24"/>
              <w:szCs w:val="24"/>
              <w:lang w:eastAsia="en-GB"/>
            </w:rPr>
          </w:pPr>
          <w:hyperlink w:anchor="_Toc221105719" w:history="1">
            <w:r w:rsidRPr="00CE5AEA">
              <w:rPr>
                <w:rStyle w:val="Hyperlink"/>
                <w:rFonts w:ascii="Franklin Gothic Heavy" w:hAnsi="Franklin Gothic Heavy"/>
                <w:b/>
                <w:bCs/>
                <w:noProof/>
                <w:lang w:val="en-GB"/>
              </w:rPr>
              <w:t>IPA 2025 - 2027</w:t>
            </w:r>
            <w:r>
              <w:rPr>
                <w:noProof/>
                <w:webHidden/>
              </w:rPr>
              <w:tab/>
            </w:r>
            <w:r>
              <w:rPr>
                <w:noProof/>
                <w:webHidden/>
              </w:rPr>
              <w:fldChar w:fldCharType="begin"/>
            </w:r>
            <w:r>
              <w:rPr>
                <w:noProof/>
                <w:webHidden/>
              </w:rPr>
              <w:instrText xml:space="preserve"> PAGEREF _Toc221105719 \h </w:instrText>
            </w:r>
            <w:r>
              <w:rPr>
                <w:noProof/>
                <w:webHidden/>
              </w:rPr>
            </w:r>
            <w:r>
              <w:rPr>
                <w:noProof/>
                <w:webHidden/>
              </w:rPr>
              <w:fldChar w:fldCharType="separate"/>
            </w:r>
            <w:r w:rsidR="002865C9">
              <w:rPr>
                <w:noProof/>
                <w:webHidden/>
              </w:rPr>
              <w:t>6</w:t>
            </w:r>
            <w:r>
              <w:rPr>
                <w:noProof/>
                <w:webHidden/>
              </w:rPr>
              <w:fldChar w:fldCharType="end"/>
            </w:r>
          </w:hyperlink>
        </w:p>
        <w:p w:rsidR="00616720" w:rsidRDefault="00616720">
          <w:pPr>
            <w:pStyle w:val="TOC3"/>
            <w:tabs>
              <w:tab w:val="right" w:leader="dot" w:pos="9016"/>
            </w:tabs>
            <w:rPr>
              <w:rFonts w:eastAsiaTheme="minorEastAsia"/>
              <w:noProof/>
              <w:sz w:val="24"/>
              <w:szCs w:val="24"/>
              <w:lang w:eastAsia="en-GB"/>
            </w:rPr>
          </w:pPr>
          <w:hyperlink w:anchor="_Toc221105720" w:history="1">
            <w:r w:rsidRPr="00CE5AEA">
              <w:rPr>
                <w:rStyle w:val="Hyperlink"/>
                <w:rFonts w:ascii="Franklin Gothic Heavy" w:hAnsi="Franklin Gothic Heavy"/>
                <w:b/>
                <w:bCs/>
                <w:noProof/>
                <w:lang w:val="en-GB"/>
              </w:rPr>
              <w:t>Reform Agenda</w:t>
            </w:r>
            <w:r>
              <w:rPr>
                <w:noProof/>
                <w:webHidden/>
              </w:rPr>
              <w:tab/>
            </w:r>
            <w:r>
              <w:rPr>
                <w:noProof/>
                <w:webHidden/>
              </w:rPr>
              <w:fldChar w:fldCharType="begin"/>
            </w:r>
            <w:r>
              <w:rPr>
                <w:noProof/>
                <w:webHidden/>
              </w:rPr>
              <w:instrText xml:space="preserve"> PAGEREF _Toc221105720 \h </w:instrText>
            </w:r>
            <w:r>
              <w:rPr>
                <w:noProof/>
                <w:webHidden/>
              </w:rPr>
            </w:r>
            <w:r>
              <w:rPr>
                <w:noProof/>
                <w:webHidden/>
              </w:rPr>
              <w:fldChar w:fldCharType="separate"/>
            </w:r>
            <w:r w:rsidR="002865C9">
              <w:rPr>
                <w:noProof/>
                <w:webHidden/>
              </w:rPr>
              <w:t>7</w:t>
            </w:r>
            <w:r>
              <w:rPr>
                <w:noProof/>
                <w:webHidden/>
              </w:rPr>
              <w:fldChar w:fldCharType="end"/>
            </w:r>
          </w:hyperlink>
        </w:p>
        <w:p w:rsidR="00616720" w:rsidRDefault="00616720">
          <w:pPr>
            <w:pStyle w:val="TOC2"/>
            <w:tabs>
              <w:tab w:val="right" w:leader="dot" w:pos="9016"/>
            </w:tabs>
            <w:rPr>
              <w:rFonts w:eastAsiaTheme="minorEastAsia"/>
              <w:b w:val="0"/>
              <w:bCs w:val="0"/>
              <w:noProof/>
              <w:sz w:val="24"/>
              <w:szCs w:val="24"/>
              <w:lang w:eastAsia="en-GB"/>
            </w:rPr>
          </w:pPr>
          <w:hyperlink w:anchor="_Toc221105721" w:history="1">
            <w:r w:rsidRPr="00CE5AEA">
              <w:rPr>
                <w:rStyle w:val="Hyperlink"/>
                <w:rFonts w:eastAsia="Times New Roman"/>
                <w:noProof/>
                <w:lang w:val="en-GB" w:eastAsia="en-GB"/>
              </w:rPr>
              <w:t>Bosnia and Herzegovina</w:t>
            </w:r>
            <w:r>
              <w:rPr>
                <w:noProof/>
                <w:webHidden/>
              </w:rPr>
              <w:tab/>
            </w:r>
            <w:r>
              <w:rPr>
                <w:noProof/>
                <w:webHidden/>
              </w:rPr>
              <w:fldChar w:fldCharType="begin"/>
            </w:r>
            <w:r>
              <w:rPr>
                <w:noProof/>
                <w:webHidden/>
              </w:rPr>
              <w:instrText xml:space="preserve"> PAGEREF _Toc221105721 \h </w:instrText>
            </w:r>
            <w:r>
              <w:rPr>
                <w:noProof/>
                <w:webHidden/>
              </w:rPr>
            </w:r>
            <w:r>
              <w:rPr>
                <w:noProof/>
                <w:webHidden/>
              </w:rPr>
              <w:fldChar w:fldCharType="separate"/>
            </w:r>
            <w:r w:rsidR="002865C9">
              <w:rPr>
                <w:noProof/>
                <w:webHidden/>
              </w:rPr>
              <w:t>8</w:t>
            </w:r>
            <w:r>
              <w:rPr>
                <w:noProof/>
                <w:webHidden/>
              </w:rPr>
              <w:fldChar w:fldCharType="end"/>
            </w:r>
          </w:hyperlink>
        </w:p>
        <w:p w:rsidR="00616720" w:rsidRDefault="00616720">
          <w:pPr>
            <w:pStyle w:val="TOC3"/>
            <w:tabs>
              <w:tab w:val="right" w:leader="dot" w:pos="9016"/>
            </w:tabs>
            <w:rPr>
              <w:rFonts w:eastAsiaTheme="minorEastAsia"/>
              <w:noProof/>
              <w:sz w:val="24"/>
              <w:szCs w:val="24"/>
              <w:lang w:eastAsia="en-GB"/>
            </w:rPr>
          </w:pPr>
          <w:hyperlink w:anchor="_Toc221105722" w:history="1">
            <w:r w:rsidRPr="00CE5AEA">
              <w:rPr>
                <w:rStyle w:val="Hyperlink"/>
                <w:rFonts w:ascii="Franklin Gothic Heavy" w:hAnsi="Franklin Gothic Heavy"/>
                <w:b/>
                <w:bCs/>
                <w:noProof/>
                <w:lang w:val="en-GB"/>
              </w:rPr>
              <w:t>IPA 2025 - 2027</w:t>
            </w:r>
            <w:r>
              <w:rPr>
                <w:noProof/>
                <w:webHidden/>
              </w:rPr>
              <w:tab/>
            </w:r>
            <w:r>
              <w:rPr>
                <w:noProof/>
                <w:webHidden/>
              </w:rPr>
              <w:fldChar w:fldCharType="begin"/>
            </w:r>
            <w:r>
              <w:rPr>
                <w:noProof/>
                <w:webHidden/>
              </w:rPr>
              <w:instrText xml:space="preserve"> PAGEREF _Toc221105722 \h </w:instrText>
            </w:r>
            <w:r>
              <w:rPr>
                <w:noProof/>
                <w:webHidden/>
              </w:rPr>
            </w:r>
            <w:r>
              <w:rPr>
                <w:noProof/>
                <w:webHidden/>
              </w:rPr>
              <w:fldChar w:fldCharType="separate"/>
            </w:r>
            <w:r w:rsidR="002865C9">
              <w:rPr>
                <w:noProof/>
                <w:webHidden/>
              </w:rPr>
              <w:t>8</w:t>
            </w:r>
            <w:r>
              <w:rPr>
                <w:noProof/>
                <w:webHidden/>
              </w:rPr>
              <w:fldChar w:fldCharType="end"/>
            </w:r>
          </w:hyperlink>
        </w:p>
        <w:p w:rsidR="00616720" w:rsidRDefault="00616720">
          <w:pPr>
            <w:pStyle w:val="TOC3"/>
            <w:tabs>
              <w:tab w:val="right" w:leader="dot" w:pos="9016"/>
            </w:tabs>
            <w:rPr>
              <w:rFonts w:eastAsiaTheme="minorEastAsia"/>
              <w:noProof/>
              <w:sz w:val="24"/>
              <w:szCs w:val="24"/>
              <w:lang w:eastAsia="en-GB"/>
            </w:rPr>
          </w:pPr>
          <w:hyperlink w:anchor="_Toc221105723" w:history="1">
            <w:r w:rsidRPr="00CE5AEA">
              <w:rPr>
                <w:rStyle w:val="Hyperlink"/>
                <w:rFonts w:ascii="Franklin Gothic Heavy" w:hAnsi="Franklin Gothic Heavy"/>
                <w:b/>
                <w:bCs/>
                <w:noProof/>
                <w:lang w:val="en-GB"/>
              </w:rPr>
              <w:t>Reform Agenda</w:t>
            </w:r>
            <w:r>
              <w:rPr>
                <w:noProof/>
                <w:webHidden/>
              </w:rPr>
              <w:tab/>
            </w:r>
            <w:r>
              <w:rPr>
                <w:noProof/>
                <w:webHidden/>
              </w:rPr>
              <w:fldChar w:fldCharType="begin"/>
            </w:r>
            <w:r>
              <w:rPr>
                <w:noProof/>
                <w:webHidden/>
              </w:rPr>
              <w:instrText xml:space="preserve"> PAGEREF _Toc221105723 \h </w:instrText>
            </w:r>
            <w:r>
              <w:rPr>
                <w:noProof/>
                <w:webHidden/>
              </w:rPr>
            </w:r>
            <w:r>
              <w:rPr>
                <w:noProof/>
                <w:webHidden/>
              </w:rPr>
              <w:fldChar w:fldCharType="separate"/>
            </w:r>
            <w:r w:rsidR="002865C9">
              <w:rPr>
                <w:noProof/>
                <w:webHidden/>
              </w:rPr>
              <w:t>8</w:t>
            </w:r>
            <w:r>
              <w:rPr>
                <w:noProof/>
                <w:webHidden/>
              </w:rPr>
              <w:fldChar w:fldCharType="end"/>
            </w:r>
          </w:hyperlink>
        </w:p>
        <w:p w:rsidR="00616720" w:rsidRDefault="00616720">
          <w:pPr>
            <w:pStyle w:val="TOC2"/>
            <w:tabs>
              <w:tab w:val="right" w:leader="dot" w:pos="9016"/>
            </w:tabs>
            <w:rPr>
              <w:rFonts w:eastAsiaTheme="minorEastAsia"/>
              <w:b w:val="0"/>
              <w:bCs w:val="0"/>
              <w:noProof/>
              <w:sz w:val="24"/>
              <w:szCs w:val="24"/>
              <w:lang w:eastAsia="en-GB"/>
            </w:rPr>
          </w:pPr>
          <w:hyperlink w:anchor="_Toc221105724" w:history="1">
            <w:r w:rsidRPr="00CE5AEA">
              <w:rPr>
                <w:rStyle w:val="Hyperlink"/>
                <w:noProof/>
                <w:lang w:val="en-GB"/>
              </w:rPr>
              <w:t>North Macedonia</w:t>
            </w:r>
            <w:r>
              <w:rPr>
                <w:noProof/>
                <w:webHidden/>
              </w:rPr>
              <w:tab/>
            </w:r>
            <w:r>
              <w:rPr>
                <w:noProof/>
                <w:webHidden/>
              </w:rPr>
              <w:fldChar w:fldCharType="begin"/>
            </w:r>
            <w:r>
              <w:rPr>
                <w:noProof/>
                <w:webHidden/>
              </w:rPr>
              <w:instrText xml:space="preserve"> PAGEREF _Toc221105724 \h </w:instrText>
            </w:r>
            <w:r>
              <w:rPr>
                <w:noProof/>
                <w:webHidden/>
              </w:rPr>
            </w:r>
            <w:r>
              <w:rPr>
                <w:noProof/>
                <w:webHidden/>
              </w:rPr>
              <w:fldChar w:fldCharType="separate"/>
            </w:r>
            <w:r w:rsidR="002865C9">
              <w:rPr>
                <w:noProof/>
                <w:webHidden/>
              </w:rPr>
              <w:t>9</w:t>
            </w:r>
            <w:r>
              <w:rPr>
                <w:noProof/>
                <w:webHidden/>
              </w:rPr>
              <w:fldChar w:fldCharType="end"/>
            </w:r>
          </w:hyperlink>
        </w:p>
        <w:p w:rsidR="00616720" w:rsidRDefault="00616720">
          <w:pPr>
            <w:pStyle w:val="TOC3"/>
            <w:tabs>
              <w:tab w:val="right" w:leader="dot" w:pos="9016"/>
            </w:tabs>
            <w:rPr>
              <w:rFonts w:eastAsiaTheme="minorEastAsia"/>
              <w:noProof/>
              <w:sz w:val="24"/>
              <w:szCs w:val="24"/>
              <w:lang w:eastAsia="en-GB"/>
            </w:rPr>
          </w:pPr>
          <w:hyperlink w:anchor="_Toc221105725" w:history="1">
            <w:r w:rsidRPr="00CE5AEA">
              <w:rPr>
                <w:rStyle w:val="Hyperlink"/>
                <w:rFonts w:ascii="Franklin Gothic Heavy" w:hAnsi="Franklin Gothic Heavy"/>
                <w:b/>
                <w:bCs/>
                <w:noProof/>
                <w:lang w:val="en-GB"/>
              </w:rPr>
              <w:t>IPA 2025–2027</w:t>
            </w:r>
            <w:r>
              <w:rPr>
                <w:noProof/>
                <w:webHidden/>
              </w:rPr>
              <w:tab/>
            </w:r>
            <w:r>
              <w:rPr>
                <w:noProof/>
                <w:webHidden/>
              </w:rPr>
              <w:fldChar w:fldCharType="begin"/>
            </w:r>
            <w:r>
              <w:rPr>
                <w:noProof/>
                <w:webHidden/>
              </w:rPr>
              <w:instrText xml:space="preserve"> PAGEREF _Toc221105725 \h </w:instrText>
            </w:r>
            <w:r>
              <w:rPr>
                <w:noProof/>
                <w:webHidden/>
              </w:rPr>
            </w:r>
            <w:r>
              <w:rPr>
                <w:noProof/>
                <w:webHidden/>
              </w:rPr>
              <w:fldChar w:fldCharType="separate"/>
            </w:r>
            <w:r w:rsidR="002865C9">
              <w:rPr>
                <w:noProof/>
                <w:webHidden/>
              </w:rPr>
              <w:t>9</w:t>
            </w:r>
            <w:r>
              <w:rPr>
                <w:noProof/>
                <w:webHidden/>
              </w:rPr>
              <w:fldChar w:fldCharType="end"/>
            </w:r>
          </w:hyperlink>
        </w:p>
        <w:p w:rsidR="00616720" w:rsidRDefault="00616720">
          <w:pPr>
            <w:pStyle w:val="TOC3"/>
            <w:tabs>
              <w:tab w:val="right" w:leader="dot" w:pos="9016"/>
            </w:tabs>
            <w:rPr>
              <w:rFonts w:eastAsiaTheme="minorEastAsia"/>
              <w:noProof/>
              <w:sz w:val="24"/>
              <w:szCs w:val="24"/>
              <w:lang w:eastAsia="en-GB"/>
            </w:rPr>
          </w:pPr>
          <w:hyperlink w:anchor="_Toc221105726" w:history="1">
            <w:r w:rsidRPr="00CE5AEA">
              <w:rPr>
                <w:rStyle w:val="Hyperlink"/>
                <w:rFonts w:ascii="Franklin Gothic Heavy" w:hAnsi="Franklin Gothic Heavy"/>
                <w:b/>
                <w:bCs/>
                <w:noProof/>
                <w:lang w:val="en-GB"/>
              </w:rPr>
              <w:t>Reform Agenda</w:t>
            </w:r>
            <w:r>
              <w:rPr>
                <w:noProof/>
                <w:webHidden/>
              </w:rPr>
              <w:tab/>
            </w:r>
            <w:r>
              <w:rPr>
                <w:noProof/>
                <w:webHidden/>
              </w:rPr>
              <w:fldChar w:fldCharType="begin"/>
            </w:r>
            <w:r>
              <w:rPr>
                <w:noProof/>
                <w:webHidden/>
              </w:rPr>
              <w:instrText xml:space="preserve"> PAGEREF _Toc221105726 \h </w:instrText>
            </w:r>
            <w:r>
              <w:rPr>
                <w:noProof/>
                <w:webHidden/>
              </w:rPr>
            </w:r>
            <w:r>
              <w:rPr>
                <w:noProof/>
                <w:webHidden/>
              </w:rPr>
              <w:fldChar w:fldCharType="separate"/>
            </w:r>
            <w:r w:rsidR="002865C9">
              <w:rPr>
                <w:noProof/>
                <w:webHidden/>
              </w:rPr>
              <w:t>9</w:t>
            </w:r>
            <w:r>
              <w:rPr>
                <w:noProof/>
                <w:webHidden/>
              </w:rPr>
              <w:fldChar w:fldCharType="end"/>
            </w:r>
          </w:hyperlink>
        </w:p>
        <w:p w:rsidR="00616720" w:rsidRDefault="00616720">
          <w:pPr>
            <w:pStyle w:val="TOC2"/>
            <w:tabs>
              <w:tab w:val="right" w:leader="dot" w:pos="9016"/>
            </w:tabs>
            <w:rPr>
              <w:rFonts w:eastAsiaTheme="minorEastAsia"/>
              <w:b w:val="0"/>
              <w:bCs w:val="0"/>
              <w:noProof/>
              <w:sz w:val="24"/>
              <w:szCs w:val="24"/>
              <w:lang w:eastAsia="en-GB"/>
            </w:rPr>
          </w:pPr>
          <w:hyperlink w:anchor="_Toc221105727" w:history="1">
            <w:r w:rsidRPr="00CE5AEA">
              <w:rPr>
                <w:rStyle w:val="Hyperlink"/>
                <w:noProof/>
                <w:lang w:val="en-GB"/>
              </w:rPr>
              <w:t>Montenegro</w:t>
            </w:r>
            <w:r>
              <w:rPr>
                <w:noProof/>
                <w:webHidden/>
              </w:rPr>
              <w:tab/>
            </w:r>
            <w:r>
              <w:rPr>
                <w:noProof/>
                <w:webHidden/>
              </w:rPr>
              <w:fldChar w:fldCharType="begin"/>
            </w:r>
            <w:r>
              <w:rPr>
                <w:noProof/>
                <w:webHidden/>
              </w:rPr>
              <w:instrText xml:space="preserve"> PAGEREF _Toc221105727 \h </w:instrText>
            </w:r>
            <w:r>
              <w:rPr>
                <w:noProof/>
                <w:webHidden/>
              </w:rPr>
            </w:r>
            <w:r>
              <w:rPr>
                <w:noProof/>
                <w:webHidden/>
              </w:rPr>
              <w:fldChar w:fldCharType="separate"/>
            </w:r>
            <w:r w:rsidR="002865C9">
              <w:rPr>
                <w:noProof/>
                <w:webHidden/>
              </w:rPr>
              <w:t>10</w:t>
            </w:r>
            <w:r>
              <w:rPr>
                <w:noProof/>
                <w:webHidden/>
              </w:rPr>
              <w:fldChar w:fldCharType="end"/>
            </w:r>
          </w:hyperlink>
        </w:p>
        <w:p w:rsidR="00616720" w:rsidRDefault="00616720">
          <w:pPr>
            <w:pStyle w:val="TOC3"/>
            <w:tabs>
              <w:tab w:val="right" w:leader="dot" w:pos="9016"/>
            </w:tabs>
            <w:rPr>
              <w:rFonts w:eastAsiaTheme="minorEastAsia"/>
              <w:noProof/>
              <w:sz w:val="24"/>
              <w:szCs w:val="24"/>
              <w:lang w:eastAsia="en-GB"/>
            </w:rPr>
          </w:pPr>
          <w:hyperlink w:anchor="_Toc221105728" w:history="1">
            <w:r w:rsidRPr="00CE5AEA">
              <w:rPr>
                <w:rStyle w:val="Hyperlink"/>
                <w:rFonts w:ascii="Franklin Gothic Heavy" w:hAnsi="Franklin Gothic Heavy"/>
                <w:b/>
                <w:bCs/>
                <w:noProof/>
                <w:lang w:val="en-GB"/>
              </w:rPr>
              <w:t>IPA 2025–2027</w:t>
            </w:r>
            <w:r>
              <w:rPr>
                <w:noProof/>
                <w:webHidden/>
              </w:rPr>
              <w:tab/>
            </w:r>
            <w:r>
              <w:rPr>
                <w:noProof/>
                <w:webHidden/>
              </w:rPr>
              <w:fldChar w:fldCharType="begin"/>
            </w:r>
            <w:r>
              <w:rPr>
                <w:noProof/>
                <w:webHidden/>
              </w:rPr>
              <w:instrText xml:space="preserve"> PAGEREF _Toc221105728 \h </w:instrText>
            </w:r>
            <w:r>
              <w:rPr>
                <w:noProof/>
                <w:webHidden/>
              </w:rPr>
            </w:r>
            <w:r>
              <w:rPr>
                <w:noProof/>
                <w:webHidden/>
              </w:rPr>
              <w:fldChar w:fldCharType="separate"/>
            </w:r>
            <w:r w:rsidR="002865C9">
              <w:rPr>
                <w:noProof/>
                <w:webHidden/>
              </w:rPr>
              <w:t>10</w:t>
            </w:r>
            <w:r>
              <w:rPr>
                <w:noProof/>
                <w:webHidden/>
              </w:rPr>
              <w:fldChar w:fldCharType="end"/>
            </w:r>
          </w:hyperlink>
        </w:p>
        <w:p w:rsidR="00616720" w:rsidRDefault="00616720">
          <w:pPr>
            <w:pStyle w:val="TOC3"/>
            <w:tabs>
              <w:tab w:val="right" w:leader="dot" w:pos="9016"/>
            </w:tabs>
            <w:rPr>
              <w:rFonts w:eastAsiaTheme="minorEastAsia"/>
              <w:noProof/>
              <w:sz w:val="24"/>
              <w:szCs w:val="24"/>
              <w:lang w:eastAsia="en-GB"/>
            </w:rPr>
          </w:pPr>
          <w:hyperlink w:anchor="_Toc221105729" w:history="1">
            <w:r w:rsidRPr="00CE5AEA">
              <w:rPr>
                <w:rStyle w:val="Hyperlink"/>
                <w:rFonts w:ascii="Franklin Gothic Heavy" w:hAnsi="Franklin Gothic Heavy"/>
                <w:b/>
                <w:bCs/>
                <w:noProof/>
                <w:lang w:val="en-GB"/>
              </w:rPr>
              <w:t>Reform Agenda</w:t>
            </w:r>
            <w:r>
              <w:rPr>
                <w:noProof/>
                <w:webHidden/>
              </w:rPr>
              <w:tab/>
            </w:r>
            <w:r>
              <w:rPr>
                <w:noProof/>
                <w:webHidden/>
              </w:rPr>
              <w:fldChar w:fldCharType="begin"/>
            </w:r>
            <w:r>
              <w:rPr>
                <w:noProof/>
                <w:webHidden/>
              </w:rPr>
              <w:instrText xml:space="preserve"> PAGEREF _Toc221105729 \h </w:instrText>
            </w:r>
            <w:r>
              <w:rPr>
                <w:noProof/>
                <w:webHidden/>
              </w:rPr>
            </w:r>
            <w:r>
              <w:rPr>
                <w:noProof/>
                <w:webHidden/>
              </w:rPr>
              <w:fldChar w:fldCharType="separate"/>
            </w:r>
            <w:r w:rsidR="002865C9">
              <w:rPr>
                <w:noProof/>
                <w:webHidden/>
              </w:rPr>
              <w:t>11</w:t>
            </w:r>
            <w:r>
              <w:rPr>
                <w:noProof/>
                <w:webHidden/>
              </w:rPr>
              <w:fldChar w:fldCharType="end"/>
            </w:r>
          </w:hyperlink>
        </w:p>
        <w:p w:rsidR="00616720" w:rsidRDefault="00616720">
          <w:pPr>
            <w:pStyle w:val="TOC2"/>
            <w:tabs>
              <w:tab w:val="right" w:leader="dot" w:pos="9016"/>
            </w:tabs>
            <w:rPr>
              <w:rFonts w:eastAsiaTheme="minorEastAsia"/>
              <w:b w:val="0"/>
              <w:bCs w:val="0"/>
              <w:noProof/>
              <w:sz w:val="24"/>
              <w:szCs w:val="24"/>
              <w:lang w:eastAsia="en-GB"/>
            </w:rPr>
          </w:pPr>
          <w:hyperlink w:anchor="_Toc221105730" w:history="1">
            <w:r w:rsidRPr="00CE5AEA">
              <w:rPr>
                <w:rStyle w:val="Hyperlink"/>
                <w:noProof/>
                <w:lang w:val="en-GB"/>
              </w:rPr>
              <w:t>Serbia</w:t>
            </w:r>
            <w:r>
              <w:rPr>
                <w:noProof/>
                <w:webHidden/>
              </w:rPr>
              <w:tab/>
            </w:r>
            <w:r>
              <w:rPr>
                <w:noProof/>
                <w:webHidden/>
              </w:rPr>
              <w:fldChar w:fldCharType="begin"/>
            </w:r>
            <w:r>
              <w:rPr>
                <w:noProof/>
                <w:webHidden/>
              </w:rPr>
              <w:instrText xml:space="preserve"> PAGEREF _Toc221105730 \h </w:instrText>
            </w:r>
            <w:r>
              <w:rPr>
                <w:noProof/>
                <w:webHidden/>
              </w:rPr>
            </w:r>
            <w:r>
              <w:rPr>
                <w:noProof/>
                <w:webHidden/>
              </w:rPr>
              <w:fldChar w:fldCharType="separate"/>
            </w:r>
            <w:r w:rsidR="002865C9">
              <w:rPr>
                <w:noProof/>
                <w:webHidden/>
              </w:rPr>
              <w:t>12</w:t>
            </w:r>
            <w:r>
              <w:rPr>
                <w:noProof/>
                <w:webHidden/>
              </w:rPr>
              <w:fldChar w:fldCharType="end"/>
            </w:r>
          </w:hyperlink>
        </w:p>
        <w:p w:rsidR="00616720" w:rsidRDefault="00616720">
          <w:pPr>
            <w:pStyle w:val="TOC3"/>
            <w:tabs>
              <w:tab w:val="right" w:leader="dot" w:pos="9016"/>
            </w:tabs>
            <w:rPr>
              <w:rFonts w:eastAsiaTheme="minorEastAsia"/>
              <w:noProof/>
              <w:sz w:val="24"/>
              <w:szCs w:val="24"/>
              <w:lang w:eastAsia="en-GB"/>
            </w:rPr>
          </w:pPr>
          <w:hyperlink w:anchor="_Toc221105731" w:history="1">
            <w:r w:rsidRPr="00CE5AEA">
              <w:rPr>
                <w:rStyle w:val="Hyperlink"/>
                <w:rFonts w:ascii="Franklin Gothic Heavy" w:hAnsi="Franklin Gothic Heavy"/>
                <w:b/>
                <w:bCs/>
                <w:noProof/>
                <w:lang w:val="en-GB"/>
              </w:rPr>
              <w:t>IPA 2025–2027</w:t>
            </w:r>
            <w:r>
              <w:rPr>
                <w:noProof/>
                <w:webHidden/>
              </w:rPr>
              <w:tab/>
            </w:r>
            <w:r>
              <w:rPr>
                <w:noProof/>
                <w:webHidden/>
              </w:rPr>
              <w:fldChar w:fldCharType="begin"/>
            </w:r>
            <w:r>
              <w:rPr>
                <w:noProof/>
                <w:webHidden/>
              </w:rPr>
              <w:instrText xml:space="preserve"> PAGEREF _Toc221105731 \h </w:instrText>
            </w:r>
            <w:r>
              <w:rPr>
                <w:noProof/>
                <w:webHidden/>
              </w:rPr>
            </w:r>
            <w:r>
              <w:rPr>
                <w:noProof/>
                <w:webHidden/>
              </w:rPr>
              <w:fldChar w:fldCharType="separate"/>
            </w:r>
            <w:r w:rsidR="002865C9">
              <w:rPr>
                <w:noProof/>
                <w:webHidden/>
              </w:rPr>
              <w:t>12</w:t>
            </w:r>
            <w:r>
              <w:rPr>
                <w:noProof/>
                <w:webHidden/>
              </w:rPr>
              <w:fldChar w:fldCharType="end"/>
            </w:r>
          </w:hyperlink>
        </w:p>
        <w:p w:rsidR="00616720" w:rsidRDefault="00616720">
          <w:pPr>
            <w:pStyle w:val="TOC3"/>
            <w:tabs>
              <w:tab w:val="right" w:leader="dot" w:pos="9016"/>
            </w:tabs>
            <w:rPr>
              <w:rFonts w:eastAsiaTheme="minorEastAsia"/>
              <w:noProof/>
              <w:sz w:val="24"/>
              <w:szCs w:val="24"/>
              <w:lang w:eastAsia="en-GB"/>
            </w:rPr>
          </w:pPr>
          <w:hyperlink w:anchor="_Toc221105732" w:history="1">
            <w:r w:rsidRPr="00CE5AEA">
              <w:rPr>
                <w:rStyle w:val="Hyperlink"/>
                <w:rFonts w:ascii="Franklin Gothic Heavy" w:hAnsi="Franklin Gothic Heavy"/>
                <w:b/>
                <w:bCs/>
                <w:noProof/>
                <w:lang w:val="en-GB"/>
              </w:rPr>
              <w:t>Reform Agenda</w:t>
            </w:r>
            <w:r>
              <w:rPr>
                <w:noProof/>
                <w:webHidden/>
              </w:rPr>
              <w:tab/>
            </w:r>
            <w:r>
              <w:rPr>
                <w:noProof/>
                <w:webHidden/>
              </w:rPr>
              <w:fldChar w:fldCharType="begin"/>
            </w:r>
            <w:r>
              <w:rPr>
                <w:noProof/>
                <w:webHidden/>
              </w:rPr>
              <w:instrText xml:space="preserve"> PAGEREF _Toc221105732 \h </w:instrText>
            </w:r>
            <w:r>
              <w:rPr>
                <w:noProof/>
                <w:webHidden/>
              </w:rPr>
            </w:r>
            <w:r>
              <w:rPr>
                <w:noProof/>
                <w:webHidden/>
              </w:rPr>
              <w:fldChar w:fldCharType="separate"/>
            </w:r>
            <w:r w:rsidR="002865C9">
              <w:rPr>
                <w:noProof/>
                <w:webHidden/>
              </w:rPr>
              <w:t>12</w:t>
            </w:r>
            <w:r>
              <w:rPr>
                <w:noProof/>
                <w:webHidden/>
              </w:rPr>
              <w:fldChar w:fldCharType="end"/>
            </w:r>
          </w:hyperlink>
        </w:p>
        <w:p w:rsidR="00616720" w:rsidRDefault="00616720">
          <w:pPr>
            <w:pStyle w:val="TOC1"/>
            <w:tabs>
              <w:tab w:val="right" w:leader="dot" w:pos="9016"/>
            </w:tabs>
            <w:rPr>
              <w:rFonts w:eastAsiaTheme="minorEastAsia"/>
              <w:b w:val="0"/>
              <w:bCs w:val="0"/>
              <w:i w:val="0"/>
              <w:iCs w:val="0"/>
              <w:noProof/>
              <w:lang w:eastAsia="en-GB"/>
            </w:rPr>
          </w:pPr>
          <w:hyperlink w:anchor="_Toc221105733" w:history="1">
            <w:r w:rsidRPr="00CE5AEA">
              <w:rPr>
                <w:rStyle w:val="Hyperlink"/>
                <w:rFonts w:eastAsia="Times New Roman"/>
                <w:noProof/>
                <w:lang w:val="en-GB"/>
              </w:rPr>
              <w:t>Multi-Country IPA 2025-2027</w:t>
            </w:r>
            <w:r>
              <w:rPr>
                <w:noProof/>
                <w:webHidden/>
              </w:rPr>
              <w:tab/>
            </w:r>
            <w:r>
              <w:rPr>
                <w:noProof/>
                <w:webHidden/>
              </w:rPr>
              <w:fldChar w:fldCharType="begin"/>
            </w:r>
            <w:r>
              <w:rPr>
                <w:noProof/>
                <w:webHidden/>
              </w:rPr>
              <w:instrText xml:space="preserve"> PAGEREF _Toc221105733 \h </w:instrText>
            </w:r>
            <w:r>
              <w:rPr>
                <w:noProof/>
                <w:webHidden/>
              </w:rPr>
            </w:r>
            <w:r>
              <w:rPr>
                <w:noProof/>
                <w:webHidden/>
              </w:rPr>
              <w:fldChar w:fldCharType="separate"/>
            </w:r>
            <w:r w:rsidR="002865C9">
              <w:rPr>
                <w:noProof/>
                <w:webHidden/>
              </w:rPr>
              <w:t>14</w:t>
            </w:r>
            <w:r>
              <w:rPr>
                <w:noProof/>
                <w:webHidden/>
              </w:rPr>
              <w:fldChar w:fldCharType="end"/>
            </w:r>
          </w:hyperlink>
        </w:p>
        <w:p w:rsidR="003E503C" w:rsidRPr="00D10FEB" w:rsidRDefault="003E503C">
          <w:pPr>
            <w:rPr>
              <w:rFonts w:ascii="Arial Narrow" w:hAnsi="Arial Narrow"/>
              <w:lang w:val="en-GB"/>
            </w:rPr>
          </w:pPr>
          <w:r w:rsidRPr="00D10FEB">
            <w:rPr>
              <w:rFonts w:ascii="Arial Narrow" w:hAnsi="Arial Narrow"/>
              <w:b/>
              <w:bCs/>
              <w:noProof/>
              <w:lang w:val="en-GB"/>
            </w:rPr>
            <w:fldChar w:fldCharType="end"/>
          </w:r>
        </w:p>
      </w:sdtContent>
    </w:sdt>
    <w:p w:rsidR="003E503C" w:rsidRPr="00D10FEB" w:rsidRDefault="003E503C">
      <w:pPr>
        <w:rPr>
          <w:rFonts w:ascii="Arial Narrow" w:hAnsi="Arial Narrow" w:cstheme="majorBidi"/>
          <w:color w:val="0F4761" w:themeColor="accent1" w:themeShade="BF"/>
          <w:sz w:val="40"/>
          <w:szCs w:val="40"/>
          <w:lang w:val="en-GB"/>
        </w:rPr>
      </w:pPr>
      <w:r w:rsidRPr="00D10FEB">
        <w:rPr>
          <w:rFonts w:ascii="Arial Narrow" w:hAnsi="Arial Narrow"/>
          <w:lang w:val="en-GB"/>
        </w:rPr>
        <w:br w:type="page"/>
      </w:r>
    </w:p>
    <w:p w:rsidR="002E0FA0" w:rsidRPr="00D10FEB" w:rsidRDefault="002E0FA0" w:rsidP="00A43FFD">
      <w:pPr>
        <w:pStyle w:val="Heading1"/>
        <w:rPr>
          <w:lang w:val="en-GB"/>
        </w:rPr>
      </w:pPr>
      <w:bookmarkStart w:id="0" w:name="_Toc221105710"/>
      <w:r w:rsidRPr="00D10FEB">
        <w:rPr>
          <w:lang w:val="en-GB"/>
        </w:rPr>
        <w:t>Introduction</w:t>
      </w:r>
      <w:bookmarkEnd w:id="0"/>
    </w:p>
    <w:p w:rsidR="002E0FA0" w:rsidRPr="00D10FEB" w:rsidRDefault="002E0FA0" w:rsidP="002E0FA0">
      <w:pPr>
        <w:spacing w:after="120"/>
        <w:jc w:val="both"/>
        <w:rPr>
          <w:rFonts w:ascii="Arial Narrow" w:hAnsi="Arial Narrow"/>
          <w:sz w:val="20"/>
          <w:szCs w:val="20"/>
          <w:lang w:val="en-GB"/>
        </w:rPr>
      </w:pPr>
      <w:r w:rsidRPr="00D10FEB">
        <w:rPr>
          <w:rFonts w:ascii="Arial Narrow" w:hAnsi="Arial Narrow"/>
          <w:sz w:val="20"/>
          <w:szCs w:val="20"/>
          <w:lang w:val="en-GB"/>
        </w:rPr>
        <w:t>This synthesis note accompanies STEP D.5.1.2 (Working inputs for TSGs) and STEP D.5.4.1 (Guidance for NIPACs and DG NEAR). It integrates the most recent assessment of IPA III 2025–2027, multi-country actions 2025-2027, and Reform Agendas (RAs) with the EUSAIR Action Plan. It does not alter the logic or recommendations of the STEP guidance inputs. It provides a clear statement of alignment, framed by EUSAIR pillars and country context, so that programming and coordination can reference a single, consistent baseline. Detailed evidence is set out in the separate Analysis 2025–2027.</w:t>
      </w:r>
    </w:p>
    <w:p w:rsidR="002E0FA0" w:rsidRPr="00D10FEB" w:rsidRDefault="002E0FA0" w:rsidP="002E0FA0">
      <w:pPr>
        <w:spacing w:after="120"/>
        <w:jc w:val="both"/>
        <w:rPr>
          <w:rFonts w:ascii="Arial Narrow" w:hAnsi="Arial Narrow"/>
          <w:sz w:val="20"/>
          <w:szCs w:val="20"/>
          <w:lang w:val="en-GB"/>
        </w:rPr>
      </w:pPr>
      <w:r w:rsidRPr="00D10FEB">
        <w:rPr>
          <w:rFonts w:ascii="Arial Narrow" w:hAnsi="Arial Narrow"/>
          <w:sz w:val="20"/>
          <w:szCs w:val="20"/>
          <w:lang w:val="en-GB"/>
        </w:rPr>
        <w:t>The assessment considers measures under IPA III and national RAs against EUSAIR pillars and topics. It uses four categories: direct alignment; partial alignment; complementary; and no alignment. IPA Windows 1, 2 are not assessed and are treated as enabling conditions for all pillars. IPA Windows 3–4 and multi-country actions are the main locus for pillar delivery. Country findings cover Albania, Bosnia and Herzegovina, Montenegro, North Macedonia and Serbia.</w:t>
      </w:r>
    </w:p>
    <w:p w:rsidR="00315F3D" w:rsidRPr="00D10FEB" w:rsidRDefault="00315F3D" w:rsidP="00A43FFD">
      <w:pPr>
        <w:pStyle w:val="Heading2"/>
        <w:rPr>
          <w:lang w:val="en-GB"/>
        </w:rPr>
      </w:pPr>
      <w:bookmarkStart w:id="1" w:name="_Toc221105711"/>
      <w:r w:rsidRPr="00D10FEB">
        <w:rPr>
          <w:lang w:val="en-GB"/>
        </w:rPr>
        <w:t>Overall Assessment</w:t>
      </w:r>
      <w:bookmarkEnd w:id="1"/>
    </w:p>
    <w:p w:rsidR="008C5030" w:rsidRPr="00D10FEB" w:rsidRDefault="008C5030" w:rsidP="008C5030">
      <w:pPr>
        <w:spacing w:after="120"/>
        <w:jc w:val="both"/>
        <w:rPr>
          <w:rFonts w:ascii="Arial Narrow" w:hAnsi="Arial Narrow"/>
          <w:sz w:val="20"/>
          <w:szCs w:val="20"/>
          <w:lang w:val="en-GB"/>
        </w:rPr>
      </w:pPr>
      <w:r w:rsidRPr="00D10FEB">
        <w:rPr>
          <w:rFonts w:ascii="Arial Narrow" w:hAnsi="Arial Narrow"/>
          <w:b/>
          <w:bCs/>
          <w:sz w:val="20"/>
          <w:szCs w:val="20"/>
          <w:lang w:val="en-GB"/>
        </w:rPr>
        <w:t>EUSAIR remains structurally peripheral to the core programming logic of Western Balkans enlargement</w:t>
      </w:r>
      <w:r w:rsidRPr="00D10FEB">
        <w:rPr>
          <w:rFonts w:ascii="Arial Narrow" w:hAnsi="Arial Narrow"/>
          <w:sz w:val="20"/>
          <w:szCs w:val="20"/>
          <w:lang w:val="en-GB"/>
        </w:rPr>
        <w:t xml:space="preserve"> despite a decade of operation and formal endorsement at ministerial level. The revised Action Plan adopted in May 2025 repositions the Strategy as complementary to the </w:t>
      </w:r>
      <w:r w:rsidR="00C6269C" w:rsidRPr="00D10FEB">
        <w:rPr>
          <w:rFonts w:ascii="Arial Narrow" w:hAnsi="Arial Narrow"/>
          <w:sz w:val="20"/>
          <w:szCs w:val="20"/>
          <w:lang w:val="en-GB"/>
        </w:rPr>
        <w:t xml:space="preserve">Reform and </w:t>
      </w:r>
      <w:r w:rsidRPr="00D10FEB">
        <w:rPr>
          <w:rFonts w:ascii="Arial Narrow" w:hAnsi="Arial Narrow"/>
          <w:sz w:val="20"/>
          <w:szCs w:val="20"/>
          <w:lang w:val="en-GB"/>
        </w:rPr>
        <w:t xml:space="preserve">Growth Plan and introduces a fifth pillar on social cohesion alongside improved monitoring indicators. Yet this does not overcome a fundamental problem: </w:t>
      </w:r>
      <w:r w:rsidRPr="00D10FEB">
        <w:rPr>
          <w:rFonts w:ascii="Arial Narrow" w:hAnsi="Arial Narrow"/>
          <w:b/>
          <w:bCs/>
          <w:sz w:val="20"/>
          <w:szCs w:val="20"/>
          <w:lang w:val="en-GB"/>
        </w:rPr>
        <w:t>macro-regional intentionality is absent from both IPA III programming architecture and Reform Agenda design.</w:t>
      </w:r>
      <w:r w:rsidRPr="00D10FEB">
        <w:rPr>
          <w:rFonts w:ascii="Arial Narrow" w:hAnsi="Arial Narrow"/>
          <w:sz w:val="20"/>
          <w:szCs w:val="20"/>
          <w:lang w:val="en-GB"/>
        </w:rPr>
        <w:t xml:space="preserve"> The relationship between enlargement instruments and EUSAIR in the 2025–2027 cycle is characterized by parallel advancement rather than integrated implementation, with alignment emerging primarily through thematic convergence and accidental overlap rather than through dedicated joint mechanisms.</w:t>
      </w:r>
    </w:p>
    <w:p w:rsidR="008C5030" w:rsidRPr="00D10FEB" w:rsidRDefault="008C5030" w:rsidP="00A43FFD">
      <w:pPr>
        <w:pStyle w:val="Heading3"/>
        <w:shd w:val="clear" w:color="auto" w:fill="DAE9F7" w:themeFill="text2" w:themeFillTint="1A"/>
        <w:rPr>
          <w:rStyle w:val="Strong"/>
          <w:rFonts w:ascii="Franklin Gothic Heavy" w:hAnsi="Franklin Gothic Heavy"/>
          <w:b w:val="0"/>
          <w:bCs w:val="0"/>
          <w:sz w:val="24"/>
          <w:szCs w:val="24"/>
          <w:lang w:val="en-GB"/>
        </w:rPr>
      </w:pPr>
      <w:bookmarkStart w:id="2" w:name="_Toc221105712"/>
      <w:r w:rsidRPr="00D10FEB">
        <w:rPr>
          <w:rStyle w:val="Strong"/>
          <w:rFonts w:ascii="Franklin Gothic Heavy" w:hAnsi="Franklin Gothic Heavy"/>
          <w:b w:val="0"/>
          <w:bCs w:val="0"/>
          <w:sz w:val="24"/>
          <w:szCs w:val="24"/>
          <w:lang w:val="en-GB"/>
        </w:rPr>
        <w:t>IPA III Programming and Thematic Convergence</w:t>
      </w:r>
      <w:bookmarkEnd w:id="2"/>
    </w:p>
    <w:p w:rsidR="008C5030" w:rsidRPr="00D10FEB" w:rsidRDefault="008C5030" w:rsidP="008C5030">
      <w:pPr>
        <w:spacing w:after="120"/>
        <w:jc w:val="both"/>
        <w:rPr>
          <w:rFonts w:ascii="Arial Narrow" w:hAnsi="Arial Narrow"/>
          <w:sz w:val="20"/>
          <w:szCs w:val="20"/>
          <w:lang w:val="en-GB"/>
        </w:rPr>
      </w:pPr>
      <w:r w:rsidRPr="00D10FEB">
        <w:rPr>
          <w:rFonts w:ascii="Arial Narrow" w:hAnsi="Arial Narrow"/>
          <w:b/>
          <w:bCs/>
          <w:sz w:val="20"/>
          <w:szCs w:val="20"/>
          <w:lang w:val="en-GB"/>
        </w:rPr>
        <w:t>IPA III programming for 2025–2027 demonstrates how macro-regional alignment occurs through thematic convergence between national capacity-building priorities and EUSAIR objectives rather than dedicated joint implementation mechanisms.</w:t>
      </w:r>
      <w:r w:rsidRPr="00D10FEB">
        <w:rPr>
          <w:rFonts w:ascii="Arial Narrow" w:hAnsi="Arial Narrow"/>
          <w:sz w:val="20"/>
          <w:szCs w:val="20"/>
          <w:lang w:val="en-GB"/>
        </w:rPr>
        <w:t xml:space="preserve"> The </w:t>
      </w:r>
      <w:r w:rsidR="00C6269C" w:rsidRPr="00D10FEB">
        <w:rPr>
          <w:rFonts w:ascii="Arial Narrow" w:hAnsi="Arial Narrow"/>
          <w:sz w:val="20"/>
          <w:szCs w:val="20"/>
          <w:lang w:val="en-GB"/>
        </w:rPr>
        <w:t xml:space="preserve">EUR </w:t>
      </w:r>
      <w:r w:rsidRPr="00D10FEB">
        <w:rPr>
          <w:rFonts w:ascii="Arial Narrow" w:hAnsi="Arial Narrow"/>
          <w:sz w:val="20"/>
          <w:szCs w:val="20"/>
          <w:lang w:val="en-GB"/>
        </w:rPr>
        <w:t>600 million portfolio allocates approximately two-thirds to governance fundamentals under Windows 1</w:t>
      </w:r>
      <w:r w:rsidR="00C6269C" w:rsidRPr="00D10FEB">
        <w:rPr>
          <w:rFonts w:ascii="Arial Narrow" w:hAnsi="Arial Narrow"/>
          <w:sz w:val="20"/>
          <w:szCs w:val="20"/>
          <w:lang w:val="en-GB"/>
        </w:rPr>
        <w:t xml:space="preserve"> and </w:t>
      </w:r>
      <w:r w:rsidRPr="00D10FEB">
        <w:rPr>
          <w:rFonts w:ascii="Arial Narrow" w:hAnsi="Arial Narrow"/>
          <w:sz w:val="20"/>
          <w:szCs w:val="20"/>
          <w:lang w:val="en-GB"/>
        </w:rPr>
        <w:t>2, which strengthen institutional frameworks, rule of law, and administrative capacity. These investments create complementary enabling conditions across all EUSAIR pillars. The remaining third concentrates in Windows 3 and 4 sectoral programming, where partial alignment with Pillars 2, 3, and 5 reflects substantive overlaps between acquis approximation requirements and macro-regional priorities. Transport digitalisation in Serbia, environmental standards for extractive industries in Albania, and vocational education reforms in North Macedonia each contribute to EUSAIR themes while addressing national accession pathways.</w:t>
      </w:r>
    </w:p>
    <w:p w:rsidR="008C5030" w:rsidRPr="00D10FEB" w:rsidRDefault="008C5030" w:rsidP="008C5030">
      <w:pPr>
        <w:spacing w:after="120"/>
        <w:jc w:val="both"/>
        <w:rPr>
          <w:rFonts w:ascii="Arial Narrow" w:hAnsi="Arial Narrow"/>
          <w:sz w:val="20"/>
          <w:szCs w:val="20"/>
          <w:lang w:val="en-GB"/>
        </w:rPr>
      </w:pPr>
      <w:r w:rsidRPr="00D10FEB">
        <w:rPr>
          <w:rFonts w:ascii="Arial Narrow" w:hAnsi="Arial Narrow"/>
          <w:sz w:val="20"/>
          <w:szCs w:val="20"/>
          <w:lang w:val="en-GB"/>
        </w:rPr>
        <w:t>The assessment identifies partial rather than direct alignment across the portfolio, reflecting how current actions are structured. Sectoral interventions advance EUSAIR-relevant capacity and infrastructure—Intelligent Transport Systems and e-freight pilots for Pillar 2 connectivity, emissions monitoring and waste management reforms for Pillar 3 environmental quality, skills development and youth engagement for Pillar 5 social cohesion—</w:t>
      </w:r>
      <w:r w:rsidRPr="00D10FEB">
        <w:rPr>
          <w:rFonts w:ascii="Arial Narrow" w:hAnsi="Arial Narrow"/>
          <w:b/>
          <w:bCs/>
          <w:sz w:val="20"/>
          <w:szCs w:val="20"/>
          <w:lang w:val="en-GB"/>
        </w:rPr>
        <w:t>but frame these primarily as national outputs</w:t>
      </w:r>
      <w:r w:rsidRPr="00D10FEB">
        <w:rPr>
          <w:rFonts w:ascii="Arial Narrow" w:hAnsi="Arial Narrow"/>
          <w:sz w:val="20"/>
          <w:szCs w:val="20"/>
          <w:lang w:val="en-GB"/>
        </w:rPr>
        <w:t xml:space="preserve">. Serbia's transport digitalisation measures align with EUSAIR Actions 2.2.3 and 2.5.5 on ICT infrastructure and hydrogen economy through their technical content and geographic scope. Bosnia and Herzegovina's ETS readiness and nature protection reforms contribute to pollution reduction and biodiversity management consistent with Pillar 3 Action 3.1.4. North Macedonia's establishment of VET Centres addresses EUSAIR Topic 5.2 on skills acquisition through institutional development and teacher capacity building. Multi-country actions reinforce these contributions: WiFi4WB expansion enhances digital connectivity across 500 municipalities; Green Lanes and SEED+ improve customs efficiency at multiple border crossings; inclusion programmes strengthen human capital regionally. </w:t>
      </w:r>
      <w:r w:rsidRPr="00D10FEB">
        <w:rPr>
          <w:rFonts w:ascii="Arial Narrow" w:hAnsi="Arial Narrow"/>
          <w:b/>
          <w:bCs/>
          <w:sz w:val="20"/>
          <w:szCs w:val="20"/>
          <w:lang w:val="en-GB"/>
        </w:rPr>
        <w:t>The challenge lies in making these macro-regional contributions more explicit and measurable within implementation frameworks</w:t>
      </w:r>
      <w:r w:rsidRPr="00D10FEB">
        <w:rPr>
          <w:rFonts w:ascii="Arial Narrow" w:hAnsi="Arial Narrow"/>
          <w:sz w:val="20"/>
          <w:szCs w:val="20"/>
          <w:lang w:val="en-GB"/>
        </w:rPr>
        <w:t>.</w:t>
      </w:r>
    </w:p>
    <w:p w:rsidR="008C5030" w:rsidRPr="00D10FEB" w:rsidRDefault="008C5030" w:rsidP="00A43FFD">
      <w:pPr>
        <w:pStyle w:val="Heading3"/>
        <w:shd w:val="clear" w:color="auto" w:fill="DAE9F7" w:themeFill="text2" w:themeFillTint="1A"/>
        <w:rPr>
          <w:rStyle w:val="Strong"/>
          <w:rFonts w:ascii="Franklin Gothic Heavy" w:hAnsi="Franklin Gothic Heavy"/>
          <w:b w:val="0"/>
          <w:bCs w:val="0"/>
          <w:sz w:val="24"/>
          <w:szCs w:val="24"/>
          <w:lang w:val="en-GB"/>
        </w:rPr>
      </w:pPr>
      <w:bookmarkStart w:id="3" w:name="_Toc221105713"/>
      <w:r w:rsidRPr="00D10FEB">
        <w:rPr>
          <w:rStyle w:val="Strong"/>
          <w:rFonts w:ascii="Franklin Gothic Heavy" w:hAnsi="Franklin Gothic Heavy"/>
          <w:b w:val="0"/>
          <w:bCs w:val="0"/>
          <w:sz w:val="24"/>
          <w:szCs w:val="24"/>
          <w:lang w:val="en-GB"/>
        </w:rPr>
        <w:t>Reform Agendas and the Absence of Macro-Regional Intent</w:t>
      </w:r>
      <w:bookmarkEnd w:id="3"/>
    </w:p>
    <w:p w:rsidR="008C5030" w:rsidRPr="00D10FEB" w:rsidRDefault="008C5030" w:rsidP="008C5030">
      <w:pPr>
        <w:spacing w:after="120"/>
        <w:jc w:val="both"/>
        <w:rPr>
          <w:rFonts w:ascii="Arial Narrow" w:hAnsi="Arial Narrow"/>
          <w:sz w:val="20"/>
          <w:szCs w:val="20"/>
          <w:lang w:val="en-GB"/>
        </w:rPr>
      </w:pPr>
      <w:r w:rsidRPr="00D10FEB">
        <w:rPr>
          <w:rFonts w:ascii="Arial Narrow" w:hAnsi="Arial Narrow"/>
          <w:sz w:val="20"/>
          <w:szCs w:val="20"/>
          <w:lang w:val="en-GB"/>
        </w:rPr>
        <w:t xml:space="preserve">The </w:t>
      </w:r>
      <w:r w:rsidR="00616720">
        <w:rPr>
          <w:rFonts w:ascii="Arial Narrow" w:hAnsi="Arial Narrow"/>
          <w:sz w:val="20"/>
          <w:szCs w:val="20"/>
          <w:lang w:val="en-GB"/>
        </w:rPr>
        <w:t xml:space="preserve">five </w:t>
      </w:r>
      <w:r w:rsidRPr="00D10FEB">
        <w:rPr>
          <w:rFonts w:ascii="Arial Narrow" w:hAnsi="Arial Narrow"/>
          <w:sz w:val="20"/>
          <w:szCs w:val="20"/>
          <w:lang w:val="en-GB"/>
        </w:rPr>
        <w:t xml:space="preserve">Western Balkan Reform Agendas demonstrate that EUSAIR objectives were not treated during drafting. </w:t>
      </w:r>
      <w:r w:rsidR="00616720" w:rsidRPr="00616720">
        <w:rPr>
          <w:rFonts w:ascii="Arial Narrow" w:hAnsi="Arial Narrow"/>
          <w:sz w:val="20"/>
          <w:szCs w:val="20"/>
          <w:lang w:val="en-GB"/>
        </w:rPr>
        <w:t>Albania's transport reforms align with Corridor VIII priorities and Serbia upgrades Corridor X, but these investments follow national infrastructure logic that happens to coincide spatially with EUSAIR flagships rather than emerging from joint regional planning. Energy market reforms in Montenegro, North Macedonia and Bosnia and Herzegovina advance Energy Community obligations and fit Pillar 2 connectivity goals, but they are designed to meet accession benchmarks first and EUSAIR outcomes incidentally. Skills and labour reforms across all five countries map to Pillar 5 social cohesion because both draw from the same EU policy baseline—the European Pillar of Social Rights—not because governments integrated EUSAIR targets when drafting their agendas</w:t>
      </w:r>
      <w:r w:rsidRPr="00D10FEB">
        <w:rPr>
          <w:rFonts w:ascii="Arial Narrow" w:hAnsi="Arial Narrow"/>
          <w:sz w:val="20"/>
          <w:szCs w:val="20"/>
          <w:lang w:val="en-GB"/>
        </w:rPr>
        <w:t>.</w:t>
      </w:r>
    </w:p>
    <w:p w:rsidR="008C5030" w:rsidRPr="00D10FEB" w:rsidRDefault="008C5030" w:rsidP="008C5030">
      <w:pPr>
        <w:spacing w:after="120"/>
        <w:jc w:val="both"/>
        <w:rPr>
          <w:rFonts w:ascii="Arial Narrow" w:hAnsi="Arial Narrow"/>
          <w:sz w:val="20"/>
          <w:szCs w:val="20"/>
          <w:lang w:val="en-GB"/>
        </w:rPr>
      </w:pPr>
      <w:r w:rsidRPr="00D10FEB">
        <w:rPr>
          <w:rFonts w:ascii="Arial Narrow" w:hAnsi="Arial Narrow"/>
          <w:sz w:val="20"/>
          <w:szCs w:val="20"/>
          <w:lang w:val="en-GB"/>
        </w:rPr>
        <w:t xml:space="preserve">Alignment is strongest where it is accidental, not systemic. Waste management reforms in Albanian municipalities or pollution control in Serbian cities contribute to Pillar 3 environmental quality goals, but they are </w:t>
      </w:r>
      <w:r w:rsidRPr="00D10FEB">
        <w:rPr>
          <w:rFonts w:ascii="Arial Narrow" w:hAnsi="Arial Narrow"/>
          <w:b/>
          <w:bCs/>
          <w:sz w:val="20"/>
          <w:szCs w:val="20"/>
          <w:lang w:val="en-GB"/>
        </w:rPr>
        <w:t>framed as national compliance with the acquis rather than as contributions to macro-regional basin management or transboundary marine litter reduction</w:t>
      </w:r>
      <w:r w:rsidRPr="00D10FEB">
        <w:rPr>
          <w:rFonts w:ascii="Arial Narrow" w:hAnsi="Arial Narrow"/>
          <w:sz w:val="20"/>
          <w:szCs w:val="20"/>
          <w:lang w:val="en-GB"/>
        </w:rPr>
        <w:t xml:space="preserve">. </w:t>
      </w:r>
      <w:r w:rsidR="00616720" w:rsidRPr="00616720">
        <w:rPr>
          <w:rFonts w:ascii="Arial Narrow" w:hAnsi="Arial Narrow"/>
          <w:sz w:val="20"/>
          <w:szCs w:val="20"/>
          <w:lang w:val="en-GB"/>
        </w:rPr>
        <w:t>Transport digitalization and ITS deployment across all five countries mirror Pillar 2 connectivity flagships</w:t>
      </w:r>
      <w:r w:rsidRPr="00D10FEB">
        <w:rPr>
          <w:rFonts w:ascii="Arial Narrow" w:hAnsi="Arial Narrow"/>
          <w:sz w:val="20"/>
          <w:szCs w:val="20"/>
          <w:lang w:val="en-GB"/>
        </w:rPr>
        <w:t xml:space="preserve">, but national programming documents </w:t>
      </w:r>
      <w:r w:rsidRPr="00D10FEB">
        <w:rPr>
          <w:rFonts w:ascii="Arial Narrow" w:hAnsi="Arial Narrow"/>
          <w:b/>
          <w:bCs/>
          <w:sz w:val="20"/>
          <w:szCs w:val="20"/>
          <w:lang w:val="en-GB"/>
        </w:rPr>
        <w:t>do not reference EUSAIR corridor priorities</w:t>
      </w:r>
      <w:r w:rsidRPr="00D10FEB">
        <w:rPr>
          <w:rFonts w:ascii="Arial Narrow" w:hAnsi="Arial Narrow"/>
          <w:sz w:val="20"/>
          <w:szCs w:val="20"/>
          <w:lang w:val="en-GB"/>
        </w:rPr>
        <w:t xml:space="preserve"> or cross-border interoperability targets set by Thematic Steering Groups. </w:t>
      </w:r>
      <w:r w:rsidR="00616720" w:rsidRPr="00616720">
        <w:rPr>
          <w:rFonts w:ascii="Arial Narrow" w:hAnsi="Arial Narrow"/>
          <w:sz w:val="20"/>
          <w:szCs w:val="20"/>
          <w:lang w:val="en-GB"/>
        </w:rPr>
        <w:t>Education and VET reforms support Pillar 5 youth engagement and skills objectives</w:t>
      </w:r>
      <w:r w:rsidRPr="00D10FEB">
        <w:rPr>
          <w:rFonts w:ascii="Arial Narrow" w:hAnsi="Arial Narrow"/>
          <w:sz w:val="20"/>
          <w:szCs w:val="20"/>
          <w:lang w:val="en-GB"/>
        </w:rPr>
        <w:t xml:space="preserve">, </w:t>
      </w:r>
      <w:r w:rsidRPr="00D10FEB">
        <w:rPr>
          <w:rFonts w:ascii="Arial Narrow" w:hAnsi="Arial Narrow"/>
          <w:b/>
          <w:bCs/>
          <w:sz w:val="20"/>
          <w:szCs w:val="20"/>
          <w:lang w:val="en-GB"/>
        </w:rPr>
        <w:t>yet none cite EUSAIR social cohesion indicators or propose joint regional qualifications recognition frameworks beyond the existing Common Regional Market agenda</w:t>
      </w:r>
      <w:r w:rsidRPr="00D10FEB">
        <w:rPr>
          <w:rFonts w:ascii="Arial Narrow" w:hAnsi="Arial Narrow"/>
          <w:sz w:val="20"/>
          <w:szCs w:val="20"/>
          <w:lang w:val="en-GB"/>
        </w:rPr>
        <w:t>.</w:t>
      </w:r>
    </w:p>
    <w:p w:rsidR="008C5030" w:rsidRPr="00D10FEB" w:rsidRDefault="008C5030" w:rsidP="00A43FFD">
      <w:pPr>
        <w:pStyle w:val="Heading3"/>
        <w:shd w:val="clear" w:color="auto" w:fill="DAE9F7" w:themeFill="text2" w:themeFillTint="1A"/>
        <w:rPr>
          <w:rStyle w:val="Strong"/>
          <w:rFonts w:ascii="Franklin Gothic Heavy" w:hAnsi="Franklin Gothic Heavy"/>
          <w:b w:val="0"/>
          <w:bCs w:val="0"/>
          <w:sz w:val="24"/>
          <w:szCs w:val="24"/>
          <w:lang w:val="en-GB"/>
        </w:rPr>
      </w:pPr>
      <w:bookmarkStart w:id="4" w:name="_Toc221105714"/>
      <w:r w:rsidRPr="00D10FEB">
        <w:rPr>
          <w:rStyle w:val="Strong"/>
          <w:rFonts w:ascii="Franklin Gothic Heavy" w:hAnsi="Franklin Gothic Heavy"/>
          <w:b w:val="0"/>
          <w:bCs w:val="0"/>
          <w:sz w:val="24"/>
          <w:szCs w:val="24"/>
          <w:lang w:val="en-GB"/>
        </w:rPr>
        <w:t>Structural Weaknesses and Governance Fragmentation</w:t>
      </w:r>
      <w:bookmarkEnd w:id="4"/>
    </w:p>
    <w:p w:rsidR="00731F7A" w:rsidRPr="00D10FEB" w:rsidRDefault="008C5030" w:rsidP="008C5030">
      <w:pPr>
        <w:spacing w:after="120"/>
        <w:jc w:val="both"/>
        <w:rPr>
          <w:rFonts w:ascii="Arial Narrow" w:hAnsi="Arial Narrow"/>
          <w:sz w:val="20"/>
          <w:szCs w:val="20"/>
          <w:lang w:val="en-GB"/>
        </w:rPr>
      </w:pPr>
      <w:r w:rsidRPr="00D10FEB">
        <w:rPr>
          <w:rFonts w:ascii="Arial Narrow" w:hAnsi="Arial Narrow"/>
          <w:sz w:val="20"/>
          <w:szCs w:val="20"/>
          <w:lang w:val="en-GB"/>
        </w:rPr>
        <w:t xml:space="preserve">The analysis reveals three structural weaknesses applicable to both instruments. </w:t>
      </w:r>
      <w:r w:rsidRPr="00D10FEB">
        <w:rPr>
          <w:rFonts w:ascii="Arial Narrow" w:hAnsi="Arial Narrow"/>
          <w:b/>
          <w:bCs/>
          <w:sz w:val="20"/>
          <w:szCs w:val="20"/>
          <w:lang w:val="en-GB"/>
        </w:rPr>
        <w:t>First, overreliance on enabling-environment actions without joint implementation mechanisms.</w:t>
      </w:r>
      <w:r w:rsidRPr="00D10FEB">
        <w:rPr>
          <w:rFonts w:ascii="Arial Narrow" w:hAnsi="Arial Narrow"/>
          <w:sz w:val="20"/>
          <w:szCs w:val="20"/>
          <w:lang w:val="en-GB"/>
        </w:rPr>
        <w:t xml:space="preserve"> Both IPA III and Reform Agendas focus overwhelmingly on legislative harmonization, institutional capacity, and framework conditions. These are necessary preconditions for macro-regional cooperation, but they do not constitute cooperation themselves. </w:t>
      </w:r>
    </w:p>
    <w:p w:rsidR="008C5030" w:rsidRPr="00D10FEB" w:rsidRDefault="008C5030" w:rsidP="008C5030">
      <w:pPr>
        <w:spacing w:after="120"/>
        <w:jc w:val="both"/>
        <w:rPr>
          <w:rFonts w:ascii="Arial Narrow" w:hAnsi="Arial Narrow"/>
          <w:sz w:val="20"/>
          <w:szCs w:val="20"/>
          <w:lang w:val="en-GB"/>
        </w:rPr>
      </w:pPr>
      <w:r w:rsidRPr="00D10FEB">
        <w:rPr>
          <w:rFonts w:ascii="Arial Narrow" w:hAnsi="Arial Narrow"/>
          <w:sz w:val="20"/>
          <w:szCs w:val="20"/>
          <w:lang w:val="en-GB"/>
        </w:rPr>
        <w:t xml:space="preserve">EUSAIR flagships require cross-border infrastructure projects, shared data platforms, joint research networks, and regional market integration. WBIF rules allow blending of national grants for regional projects, yet the indicative investment lists submitted by each country consist entirely of domestic infrastructure. </w:t>
      </w:r>
      <w:r w:rsidR="00616720" w:rsidRPr="00616720">
        <w:rPr>
          <w:rFonts w:ascii="Arial Narrow" w:hAnsi="Arial Narrow"/>
          <w:sz w:val="20"/>
          <w:szCs w:val="20"/>
          <w:lang w:val="en-GB"/>
        </w:rPr>
        <w:t>Bosnia and Herzegovina's WBIF pipeline remains under preparation, further illustrating the national rather than regional framing of investment planning.</w:t>
      </w:r>
      <w:r w:rsidR="00616720">
        <w:rPr>
          <w:rFonts w:ascii="Arial Narrow" w:hAnsi="Arial Narrow"/>
          <w:b/>
          <w:bCs/>
          <w:sz w:val="20"/>
          <w:szCs w:val="20"/>
          <w:lang w:val="en-GB"/>
        </w:rPr>
        <w:t xml:space="preserve"> </w:t>
      </w:r>
      <w:r w:rsidRPr="00D10FEB">
        <w:rPr>
          <w:rFonts w:ascii="Arial Narrow" w:hAnsi="Arial Narrow"/>
          <w:b/>
          <w:bCs/>
          <w:sz w:val="20"/>
          <w:szCs w:val="20"/>
          <w:lang w:val="en-GB"/>
        </w:rPr>
        <w:t>This means that even when alignment exists on paper—such as Serbia and North Macedonia both upgrading Corridor X—implementation remains fragmented into national segments without joint procurement, shared standards, or coordinated timelines</w:t>
      </w:r>
      <w:r w:rsidRPr="00D10FEB">
        <w:rPr>
          <w:rFonts w:ascii="Arial Narrow" w:hAnsi="Arial Narrow"/>
          <w:sz w:val="20"/>
          <w:szCs w:val="20"/>
          <w:lang w:val="en-GB"/>
        </w:rPr>
        <w:t>.</w:t>
      </w:r>
    </w:p>
    <w:p w:rsidR="00731F7A" w:rsidRPr="00D10FEB" w:rsidRDefault="008C5030" w:rsidP="008C5030">
      <w:pPr>
        <w:spacing w:after="120"/>
        <w:jc w:val="both"/>
        <w:rPr>
          <w:rFonts w:ascii="Arial Narrow" w:hAnsi="Arial Narrow"/>
          <w:sz w:val="20"/>
          <w:szCs w:val="20"/>
          <w:lang w:val="en-GB"/>
        </w:rPr>
      </w:pPr>
      <w:r w:rsidRPr="00D10FEB">
        <w:rPr>
          <w:rFonts w:ascii="Arial Narrow" w:hAnsi="Arial Narrow"/>
          <w:b/>
          <w:bCs/>
          <w:sz w:val="20"/>
          <w:szCs w:val="20"/>
          <w:lang w:val="en-GB"/>
        </w:rPr>
        <w:t>Second, pillars that lack accession salience are systematically underrepresented across both instruments. Pillar 1 and Pillar 4 do not correspond to high-priority negotiation chapters or Growth Plan objectives, so they receive no attention in either IPA III or Reform Agendas.</w:t>
      </w:r>
      <w:r w:rsidRPr="00D10FEB">
        <w:rPr>
          <w:rFonts w:ascii="Arial Narrow" w:hAnsi="Arial Narrow"/>
          <w:sz w:val="20"/>
          <w:szCs w:val="20"/>
          <w:lang w:val="en-GB"/>
        </w:rPr>
        <w:t xml:space="preserve"> This is not unique to the Western Balkans; OECD reviews of EUSAIR in EU Member States found similar neglect of blue economy and tourism in national cohesion programs where these sectors lack domestic political weight. </w:t>
      </w:r>
    </w:p>
    <w:p w:rsidR="008C5030" w:rsidRPr="00D10FEB" w:rsidRDefault="008C5030" w:rsidP="008C5030">
      <w:pPr>
        <w:spacing w:after="120"/>
        <w:jc w:val="both"/>
        <w:rPr>
          <w:rFonts w:ascii="Arial Narrow" w:hAnsi="Arial Narrow"/>
          <w:sz w:val="20"/>
          <w:szCs w:val="20"/>
          <w:lang w:val="en-GB"/>
        </w:rPr>
      </w:pPr>
      <w:r w:rsidRPr="00D10FEB">
        <w:rPr>
          <w:rFonts w:ascii="Arial Narrow" w:hAnsi="Arial Narrow"/>
          <w:sz w:val="20"/>
          <w:szCs w:val="20"/>
          <w:lang w:val="en-GB"/>
        </w:rPr>
        <w:t>The revised Action Plan's attempt to mainstream blue technologies through green innovation and digital tools does not resolve the problem because both instruments</w:t>
      </w:r>
      <w:r w:rsidR="00731F7A" w:rsidRPr="00D10FEB">
        <w:rPr>
          <w:rFonts w:ascii="Arial Narrow" w:hAnsi="Arial Narrow"/>
          <w:sz w:val="20"/>
          <w:szCs w:val="20"/>
          <w:lang w:val="en-GB"/>
        </w:rPr>
        <w:t xml:space="preserve"> (IPA III and Ras)</w:t>
      </w:r>
      <w:r w:rsidRPr="00D10FEB">
        <w:rPr>
          <w:rFonts w:ascii="Arial Narrow" w:hAnsi="Arial Narrow"/>
          <w:sz w:val="20"/>
          <w:szCs w:val="20"/>
          <w:lang w:val="en-GB"/>
        </w:rPr>
        <w:t xml:space="preserve"> define "green transition" narrowly as energy decarbonization and circular economy in industrial sectors, not as maritime ecosystem management or sustainable aquaculture. Pillar 4's sustainable tourism agenda depends on regional branding and joint destination management, which require coordination among tourism ministries, yet the Common Regional Market framework prioritizes trade, investment, and digital connectivity over services sectors like tourism. Unless blue economy and sustainable tourism are explicitly tied to accession benchmarks or disbursement conditions, they will remain orphaned pillars.</w:t>
      </w:r>
    </w:p>
    <w:p w:rsidR="008C5030" w:rsidRPr="00D10FEB" w:rsidRDefault="008C5030" w:rsidP="008C5030">
      <w:pPr>
        <w:spacing w:after="120"/>
        <w:jc w:val="both"/>
        <w:rPr>
          <w:rFonts w:ascii="Arial Narrow" w:hAnsi="Arial Narrow"/>
          <w:sz w:val="20"/>
          <w:szCs w:val="20"/>
          <w:lang w:val="en-GB"/>
        </w:rPr>
      </w:pPr>
      <w:r w:rsidRPr="00D10FEB">
        <w:rPr>
          <w:rFonts w:ascii="Arial Narrow" w:hAnsi="Arial Narrow"/>
          <w:b/>
          <w:bCs/>
          <w:sz w:val="20"/>
          <w:szCs w:val="20"/>
          <w:lang w:val="en-GB"/>
        </w:rPr>
        <w:t>Third, absence of macro-regional performance indicators in monitoring framework</w:t>
      </w:r>
      <w:r w:rsidR="00731F7A" w:rsidRPr="00D10FEB">
        <w:rPr>
          <w:rFonts w:ascii="Arial Narrow" w:hAnsi="Arial Narrow"/>
          <w:b/>
          <w:bCs/>
          <w:sz w:val="20"/>
          <w:szCs w:val="20"/>
          <w:lang w:val="en-GB"/>
        </w:rPr>
        <w:t xml:space="preserve"> of IPA III</w:t>
      </w:r>
      <w:r w:rsidRPr="00D10FEB">
        <w:rPr>
          <w:rFonts w:ascii="Arial Narrow" w:hAnsi="Arial Narrow"/>
          <w:sz w:val="20"/>
          <w:szCs w:val="20"/>
          <w:lang w:val="en-GB"/>
        </w:rPr>
        <w:t>. The revised EUSAIR Action Plan introduces outcome indicators for each pillar and flagship. This means that even when countries implement reforms that technically serve EUSAIR objectives, there is no formal recognition or reporting of that contribution, and no accountability mechanism to incentivize intentional alignment.</w:t>
      </w:r>
    </w:p>
    <w:p w:rsidR="008C5030" w:rsidRPr="00D10FEB" w:rsidRDefault="008C5030" w:rsidP="008C5030">
      <w:pPr>
        <w:spacing w:after="120"/>
        <w:jc w:val="both"/>
        <w:rPr>
          <w:rFonts w:ascii="Arial Narrow" w:hAnsi="Arial Narrow"/>
          <w:sz w:val="20"/>
          <w:szCs w:val="20"/>
          <w:lang w:val="en-GB"/>
        </w:rPr>
      </w:pPr>
      <w:r w:rsidRPr="00D10FEB">
        <w:rPr>
          <w:rFonts w:ascii="Arial Narrow" w:hAnsi="Arial Narrow"/>
          <w:b/>
          <w:bCs/>
          <w:sz w:val="20"/>
          <w:szCs w:val="20"/>
          <w:lang w:val="en-GB"/>
        </w:rPr>
        <w:t>Governance fragmentation compounds the problem across both programming streams.</w:t>
      </w:r>
      <w:r w:rsidRPr="00D10FEB">
        <w:rPr>
          <w:rFonts w:ascii="Arial Narrow" w:hAnsi="Arial Narrow"/>
          <w:sz w:val="20"/>
          <w:szCs w:val="20"/>
          <w:lang w:val="en-GB"/>
        </w:rPr>
        <w:t xml:space="preserve"> EUSAIR operates through a Governing Board</w:t>
      </w:r>
      <w:r w:rsidR="00C72692" w:rsidRPr="00D10FEB">
        <w:rPr>
          <w:rFonts w:ascii="Arial Narrow" w:hAnsi="Arial Narrow"/>
          <w:sz w:val="20"/>
          <w:szCs w:val="20"/>
          <w:lang w:val="en-GB"/>
        </w:rPr>
        <w:t xml:space="preserve"> and</w:t>
      </w:r>
      <w:r w:rsidRPr="00D10FEB">
        <w:rPr>
          <w:rFonts w:ascii="Arial Narrow" w:hAnsi="Arial Narrow"/>
          <w:sz w:val="20"/>
          <w:szCs w:val="20"/>
          <w:lang w:val="en-GB"/>
        </w:rPr>
        <w:t xml:space="preserve"> five Thematic Steering Groups. </w:t>
      </w:r>
      <w:r w:rsidR="00C72692" w:rsidRPr="00D10FEB">
        <w:rPr>
          <w:rFonts w:ascii="Arial Narrow" w:hAnsi="Arial Narrow"/>
          <w:sz w:val="20"/>
          <w:szCs w:val="20"/>
          <w:lang w:val="en-GB"/>
        </w:rPr>
        <w:t>N</w:t>
      </w:r>
      <w:r w:rsidRPr="00D10FEB">
        <w:rPr>
          <w:rFonts w:ascii="Arial Narrow" w:hAnsi="Arial Narrow"/>
          <w:sz w:val="20"/>
          <w:szCs w:val="20"/>
          <w:lang w:val="en-GB"/>
        </w:rPr>
        <w:t xml:space="preserve">ational IPA coordination sits in separate institutional channels—NIPACs report to DG ENEST and manage IPA III windows, while EUSAIR national coordinators often sit in foreign affairs or EU funds ministries without formal authority over line ministries drafting sectoral reforms. </w:t>
      </w:r>
      <w:r w:rsidRPr="00D10FEB">
        <w:rPr>
          <w:rFonts w:ascii="Arial Narrow" w:hAnsi="Arial Narrow"/>
          <w:b/>
          <w:bCs/>
          <w:sz w:val="20"/>
          <w:szCs w:val="20"/>
          <w:lang w:val="en-GB"/>
        </w:rPr>
        <w:t>This institutional disconnect means that alignment remains opportunistic rather than strategic, dependent on informal coordination rather than formal procedures.</w:t>
      </w:r>
    </w:p>
    <w:p w:rsidR="008C5030" w:rsidRPr="00D10FEB" w:rsidRDefault="008C5030" w:rsidP="00A43FFD">
      <w:pPr>
        <w:pStyle w:val="Heading3"/>
        <w:shd w:val="clear" w:color="auto" w:fill="DAE9F7" w:themeFill="text2" w:themeFillTint="1A"/>
        <w:rPr>
          <w:rStyle w:val="Strong"/>
          <w:rFonts w:ascii="Franklin Gothic Heavy" w:hAnsi="Franklin Gothic Heavy"/>
          <w:b w:val="0"/>
          <w:bCs w:val="0"/>
          <w:sz w:val="24"/>
          <w:szCs w:val="24"/>
          <w:lang w:val="en-GB"/>
        </w:rPr>
      </w:pPr>
      <w:bookmarkStart w:id="5" w:name="_Toc221105715"/>
      <w:r w:rsidRPr="00D10FEB">
        <w:rPr>
          <w:rStyle w:val="Strong"/>
          <w:rFonts w:ascii="Franklin Gothic Heavy" w:hAnsi="Franklin Gothic Heavy"/>
          <w:b w:val="0"/>
          <w:bCs w:val="0"/>
          <w:sz w:val="24"/>
          <w:szCs w:val="24"/>
          <w:lang w:val="en-GB"/>
        </w:rPr>
        <w:t>Realistic Possibilities for Embedding Beyond 2027</w:t>
      </w:r>
      <w:bookmarkEnd w:id="5"/>
    </w:p>
    <w:p w:rsidR="008C5030" w:rsidRPr="00D10FEB" w:rsidRDefault="008C5030" w:rsidP="008C5030">
      <w:pPr>
        <w:spacing w:after="120"/>
        <w:jc w:val="both"/>
        <w:rPr>
          <w:rFonts w:ascii="Arial Narrow" w:hAnsi="Arial Narrow"/>
          <w:sz w:val="20"/>
          <w:szCs w:val="20"/>
          <w:lang w:val="en-GB"/>
        </w:rPr>
      </w:pPr>
      <w:r w:rsidRPr="00D10FEB">
        <w:rPr>
          <w:rFonts w:ascii="Arial Narrow" w:hAnsi="Arial Narrow"/>
          <w:sz w:val="20"/>
          <w:szCs w:val="20"/>
          <w:lang w:val="en-GB"/>
        </w:rPr>
        <w:t xml:space="preserve">The window for transforming alignment from accidental to systemic is narrow but actionable. The key leverage point is that future IPA programming beyond 2027 is likely to continue the reform-agenda model. If </w:t>
      </w:r>
      <w:r w:rsidR="00C72692" w:rsidRPr="00D10FEB">
        <w:rPr>
          <w:rFonts w:ascii="Arial Narrow" w:hAnsi="Arial Narrow"/>
          <w:sz w:val="20"/>
          <w:szCs w:val="20"/>
          <w:lang w:val="en-GB"/>
        </w:rPr>
        <w:t xml:space="preserve">“new </w:t>
      </w:r>
      <w:r w:rsidRPr="00D10FEB">
        <w:rPr>
          <w:rFonts w:ascii="Arial Narrow" w:hAnsi="Arial Narrow"/>
          <w:sz w:val="20"/>
          <w:szCs w:val="20"/>
          <w:lang w:val="en-GB"/>
        </w:rPr>
        <w:t>IPA</w:t>
      </w:r>
      <w:r w:rsidR="00C72692" w:rsidRPr="00D10FEB">
        <w:rPr>
          <w:rFonts w:ascii="Arial Narrow" w:hAnsi="Arial Narrow"/>
          <w:sz w:val="20"/>
          <w:szCs w:val="20"/>
          <w:lang w:val="en-GB"/>
        </w:rPr>
        <w:t>”</w:t>
      </w:r>
      <w:r w:rsidRPr="00D10FEB">
        <w:rPr>
          <w:rFonts w:ascii="Arial Narrow" w:hAnsi="Arial Narrow"/>
          <w:sz w:val="20"/>
          <w:szCs w:val="20"/>
          <w:lang w:val="en-GB"/>
        </w:rPr>
        <w:t xml:space="preserve"> retains a results-based disbursement logic tied to country-specific reform contracts, then the 2028–2034 generation of Reform Agendas presents an opportunity to hardwire EUSAIR objectives into programming from the outset. This requires three structural changes applicable to both IPA programming and Reform Agenda design.</w:t>
      </w:r>
    </w:p>
    <w:p w:rsidR="008C5030" w:rsidRPr="00D10FEB" w:rsidRDefault="008C5030" w:rsidP="008C5030">
      <w:pPr>
        <w:spacing w:after="120"/>
        <w:jc w:val="both"/>
        <w:rPr>
          <w:rFonts w:ascii="Arial Narrow" w:hAnsi="Arial Narrow"/>
          <w:sz w:val="20"/>
          <w:szCs w:val="20"/>
          <w:lang w:val="en-GB"/>
        </w:rPr>
      </w:pPr>
      <w:r w:rsidRPr="00D10FEB">
        <w:rPr>
          <w:rFonts w:ascii="Arial Narrow" w:hAnsi="Arial Narrow"/>
          <w:b/>
          <w:bCs/>
          <w:sz w:val="20"/>
          <w:szCs w:val="20"/>
          <w:lang w:val="en-GB"/>
        </w:rPr>
        <w:t xml:space="preserve">First, the European Commission </w:t>
      </w:r>
      <w:r w:rsidR="00C72692" w:rsidRPr="00D10FEB">
        <w:rPr>
          <w:rFonts w:ascii="Arial Narrow" w:hAnsi="Arial Narrow"/>
          <w:b/>
          <w:bCs/>
          <w:sz w:val="20"/>
          <w:szCs w:val="20"/>
          <w:lang w:val="en-GB"/>
        </w:rPr>
        <w:t>could</w:t>
      </w:r>
      <w:r w:rsidRPr="00D10FEB">
        <w:rPr>
          <w:rFonts w:ascii="Arial Narrow" w:hAnsi="Arial Narrow"/>
          <w:b/>
          <w:bCs/>
          <w:sz w:val="20"/>
          <w:szCs w:val="20"/>
          <w:lang w:val="en-GB"/>
        </w:rPr>
        <w:t xml:space="preserve"> issue programming guidance for </w:t>
      </w:r>
      <w:r w:rsidR="00C72692" w:rsidRPr="00D10FEB">
        <w:rPr>
          <w:rFonts w:ascii="Arial Narrow" w:hAnsi="Arial Narrow"/>
          <w:b/>
          <w:bCs/>
          <w:sz w:val="20"/>
          <w:szCs w:val="20"/>
          <w:lang w:val="en-GB"/>
        </w:rPr>
        <w:t xml:space="preserve">“new </w:t>
      </w:r>
      <w:r w:rsidRPr="00D10FEB">
        <w:rPr>
          <w:rFonts w:ascii="Arial Narrow" w:hAnsi="Arial Narrow"/>
          <w:b/>
          <w:bCs/>
          <w:sz w:val="20"/>
          <w:szCs w:val="20"/>
          <w:lang w:val="en-GB"/>
        </w:rPr>
        <w:t>IPA</w:t>
      </w:r>
      <w:r w:rsidR="00C72692" w:rsidRPr="00D10FEB">
        <w:rPr>
          <w:rFonts w:ascii="Arial Narrow" w:hAnsi="Arial Narrow"/>
          <w:b/>
          <w:bCs/>
          <w:sz w:val="20"/>
          <w:szCs w:val="20"/>
          <w:lang w:val="en-GB"/>
        </w:rPr>
        <w:t>”</w:t>
      </w:r>
      <w:r w:rsidRPr="00D10FEB">
        <w:rPr>
          <w:rFonts w:ascii="Arial Narrow" w:hAnsi="Arial Narrow"/>
          <w:b/>
          <w:bCs/>
          <w:sz w:val="20"/>
          <w:szCs w:val="20"/>
          <w:lang w:val="en-GB"/>
        </w:rPr>
        <w:t xml:space="preserve"> </w:t>
      </w:r>
      <w:r w:rsidRPr="00D10FEB">
        <w:rPr>
          <w:rFonts w:ascii="Arial Narrow" w:hAnsi="Arial Narrow"/>
          <w:sz w:val="20"/>
          <w:szCs w:val="20"/>
          <w:lang w:val="en-GB"/>
        </w:rPr>
        <w:t xml:space="preserve">that explicitly requires Reform Agendas and programming documents to identify contributions to macro-regional strategies where applicable. The legal base for IPA III already references alignment with macro-regional strategies as a general objective, but this is not operationalized in country-specific </w:t>
      </w:r>
      <w:r w:rsidR="00C72692" w:rsidRPr="00D10FEB">
        <w:rPr>
          <w:rFonts w:ascii="Arial Narrow" w:hAnsi="Arial Narrow"/>
          <w:sz w:val="20"/>
          <w:szCs w:val="20"/>
          <w:lang w:val="en-GB"/>
        </w:rPr>
        <w:t>Action</w:t>
      </w:r>
      <w:r w:rsidRPr="00D10FEB">
        <w:rPr>
          <w:rFonts w:ascii="Arial Narrow" w:hAnsi="Arial Narrow"/>
          <w:sz w:val="20"/>
          <w:szCs w:val="20"/>
          <w:lang w:val="en-GB"/>
        </w:rPr>
        <w:t xml:space="preserve"> Documents or disbursement conditions. DG ENEST and DG REGIO </w:t>
      </w:r>
      <w:r w:rsidR="00C72692" w:rsidRPr="00D10FEB">
        <w:rPr>
          <w:rFonts w:ascii="Arial Narrow" w:hAnsi="Arial Narrow"/>
          <w:sz w:val="20"/>
          <w:szCs w:val="20"/>
          <w:lang w:val="en-GB"/>
        </w:rPr>
        <w:t>could</w:t>
      </w:r>
      <w:r w:rsidRPr="00D10FEB">
        <w:rPr>
          <w:rFonts w:ascii="Arial Narrow" w:hAnsi="Arial Narrow"/>
          <w:sz w:val="20"/>
          <w:szCs w:val="20"/>
          <w:lang w:val="en-GB"/>
        </w:rPr>
        <w:t xml:space="preserve"> jointly develop a mandatory alignment </w:t>
      </w:r>
      <w:r w:rsidR="00C72692" w:rsidRPr="00D10FEB">
        <w:rPr>
          <w:rFonts w:ascii="Arial Narrow" w:hAnsi="Arial Narrow"/>
          <w:sz w:val="20"/>
          <w:szCs w:val="20"/>
          <w:lang w:val="en-GB"/>
        </w:rPr>
        <w:t>guidance</w:t>
      </w:r>
      <w:r w:rsidRPr="00D10FEB">
        <w:rPr>
          <w:rFonts w:ascii="Arial Narrow" w:hAnsi="Arial Narrow"/>
          <w:sz w:val="20"/>
          <w:szCs w:val="20"/>
          <w:lang w:val="en-GB"/>
        </w:rPr>
        <w:t xml:space="preserve"> for post-2027 programming: each candidate would list which EUSAIR pillars and flagships its proposed reforms and investments serve, using the revised Action Plan's framework. This does not require new funding; it requires making visible what is already implicit. If Albania's rail investment on Corridor VIII is presented as contributing to EUSAIR Pillar 2 Flagship 1 (Connecting East to West), and if that contribution is tied to a specific Action Plan indicator (e.g., </w:t>
      </w:r>
      <w:proofErr w:type="spellStart"/>
      <w:r w:rsidRPr="00D10FEB">
        <w:rPr>
          <w:rFonts w:ascii="Arial Narrow" w:hAnsi="Arial Narrow"/>
          <w:sz w:val="20"/>
          <w:szCs w:val="20"/>
          <w:lang w:val="en-GB"/>
        </w:rPr>
        <w:t>kilometers</w:t>
      </w:r>
      <w:proofErr w:type="spellEnd"/>
      <w:r w:rsidRPr="00D10FEB">
        <w:rPr>
          <w:rFonts w:ascii="Arial Narrow" w:hAnsi="Arial Narrow"/>
          <w:sz w:val="20"/>
          <w:szCs w:val="20"/>
          <w:lang w:val="en-GB"/>
        </w:rPr>
        <w:t xml:space="preserve"> of upgraded rail on Adriatic-Ionian corridors), then the link becomes measurable and accountable.</w:t>
      </w:r>
    </w:p>
    <w:p w:rsidR="008C5030" w:rsidRPr="00D10FEB" w:rsidRDefault="008C5030" w:rsidP="008C5030">
      <w:pPr>
        <w:spacing w:after="120"/>
        <w:jc w:val="both"/>
        <w:rPr>
          <w:rFonts w:ascii="Arial Narrow" w:hAnsi="Arial Narrow"/>
          <w:sz w:val="20"/>
          <w:szCs w:val="20"/>
          <w:lang w:val="en-GB"/>
        </w:rPr>
      </w:pPr>
      <w:r w:rsidRPr="00D10FEB">
        <w:rPr>
          <w:rFonts w:ascii="Arial Narrow" w:hAnsi="Arial Narrow"/>
          <w:b/>
          <w:bCs/>
          <w:sz w:val="20"/>
          <w:szCs w:val="20"/>
          <w:lang w:val="en-GB"/>
        </w:rPr>
        <w:t>Second, WBIF project selection criteria could formally prioritize macro-regional value across both IPA investments and Reform Agenda pipelines</w:t>
      </w:r>
      <w:r w:rsidRPr="00D10FEB">
        <w:rPr>
          <w:rFonts w:ascii="Arial Narrow" w:hAnsi="Arial Narrow"/>
          <w:sz w:val="20"/>
          <w:szCs w:val="20"/>
          <w:lang w:val="en-GB"/>
        </w:rPr>
        <w:t xml:space="preserve">. Currently, WBIF Operational Board decisions are based on project maturity, DNSH compliance, climate contribution, and national strategic fit. Adding a scoring dimension for transnational impact—projects that involve multiple countries, serve cross-border corridors, or implement EUSAIR flagships receive bonus points—would create a financial incentive for joint programming. The WBIF Strategic Orientations for 2021–2027 already align intervention areas with Economic Investment Plan flagships and mention macro-regional relevance, but this is descriptive rather than prescriptive. For 2028–2034, the Commission and WBIF IFIs </w:t>
      </w:r>
      <w:r w:rsidR="00C72692" w:rsidRPr="00D10FEB">
        <w:rPr>
          <w:rFonts w:ascii="Arial Narrow" w:hAnsi="Arial Narrow"/>
          <w:sz w:val="20"/>
          <w:szCs w:val="20"/>
          <w:lang w:val="en-GB"/>
        </w:rPr>
        <w:t>could</w:t>
      </w:r>
      <w:r w:rsidRPr="00D10FEB">
        <w:rPr>
          <w:rFonts w:ascii="Arial Narrow" w:hAnsi="Arial Narrow"/>
          <w:sz w:val="20"/>
          <w:szCs w:val="20"/>
          <w:lang w:val="en-GB"/>
        </w:rPr>
        <w:t xml:space="preserve"> adopt an explicit rule: at least 30% of infrastructure grants must support projects that advance EUSAIR Action Plan flagships. This mirrors the 37% climate-spending requirement and operationalizes the transnational logic currently missing from both instruments.</w:t>
      </w:r>
    </w:p>
    <w:p w:rsidR="008C5030" w:rsidRPr="00D10FEB" w:rsidRDefault="008C5030" w:rsidP="008C5030">
      <w:pPr>
        <w:spacing w:after="120"/>
        <w:jc w:val="both"/>
        <w:rPr>
          <w:rFonts w:ascii="Arial Narrow" w:hAnsi="Arial Narrow"/>
          <w:sz w:val="20"/>
          <w:szCs w:val="20"/>
          <w:lang w:val="en-GB"/>
        </w:rPr>
      </w:pPr>
      <w:r w:rsidRPr="00D10FEB">
        <w:rPr>
          <w:rFonts w:ascii="Arial Narrow" w:hAnsi="Arial Narrow"/>
          <w:b/>
          <w:bCs/>
          <w:sz w:val="20"/>
          <w:szCs w:val="20"/>
          <w:lang w:val="en-GB"/>
        </w:rPr>
        <w:t xml:space="preserve">Third, national coordination structures </w:t>
      </w:r>
      <w:r w:rsidR="00C72692" w:rsidRPr="00D10FEB">
        <w:rPr>
          <w:rFonts w:ascii="Arial Narrow" w:hAnsi="Arial Narrow"/>
          <w:b/>
          <w:bCs/>
          <w:sz w:val="20"/>
          <w:szCs w:val="20"/>
          <w:lang w:val="en-GB"/>
        </w:rPr>
        <w:t>could</w:t>
      </w:r>
      <w:r w:rsidRPr="00D10FEB">
        <w:rPr>
          <w:rFonts w:ascii="Arial Narrow" w:hAnsi="Arial Narrow"/>
          <w:b/>
          <w:bCs/>
          <w:sz w:val="20"/>
          <w:szCs w:val="20"/>
          <w:lang w:val="en-GB"/>
        </w:rPr>
        <w:t xml:space="preserve"> be reorganized to bridge institutional silos</w:t>
      </w:r>
      <w:r w:rsidRPr="00D10FEB">
        <w:rPr>
          <w:rFonts w:ascii="Arial Narrow" w:hAnsi="Arial Narrow"/>
          <w:sz w:val="20"/>
          <w:szCs w:val="20"/>
          <w:lang w:val="en-GB"/>
        </w:rPr>
        <w:t>. Currently, EUSAIR national coordinators convene TSGs, while NIPACs manage IPA funds and report to DG ENEST, and line ministries draft sectoral reforms with limited horizontal coordination. A stronger mechanism is to require that IPA programming document undergo a formal EUSAIR compatibility assessment before submission to the Commission. This assessment, conducted jointly by the NIPAC and EUSAIR national coordinator with input from relevant TSGs, would map proposed reforms to Action Plan priorities. The Commission could condition positive assessment on the inclusion of this compatibility statement, thereby creating procedural enforcement without legal compulsion.</w:t>
      </w:r>
    </w:p>
    <w:p w:rsidR="008C5030" w:rsidRPr="00D10FEB" w:rsidRDefault="008C5030" w:rsidP="00A43FFD">
      <w:pPr>
        <w:pStyle w:val="Heading3"/>
        <w:shd w:val="clear" w:color="auto" w:fill="DAE9F7" w:themeFill="text2" w:themeFillTint="1A"/>
        <w:rPr>
          <w:rStyle w:val="Strong"/>
          <w:rFonts w:ascii="Franklin Gothic Heavy" w:hAnsi="Franklin Gothic Heavy"/>
          <w:b w:val="0"/>
          <w:bCs w:val="0"/>
          <w:sz w:val="24"/>
          <w:szCs w:val="24"/>
          <w:lang w:val="en-GB"/>
        </w:rPr>
      </w:pPr>
      <w:bookmarkStart w:id="6" w:name="_Toc221105716"/>
      <w:r w:rsidRPr="00D10FEB">
        <w:rPr>
          <w:rStyle w:val="Strong"/>
          <w:rFonts w:ascii="Franklin Gothic Heavy" w:hAnsi="Franklin Gothic Heavy"/>
          <w:b w:val="0"/>
          <w:bCs w:val="0"/>
          <w:sz w:val="24"/>
          <w:szCs w:val="24"/>
          <w:lang w:val="en-GB"/>
        </w:rPr>
        <w:t>Strategic Adjustments for Systemic Embedding</w:t>
      </w:r>
      <w:bookmarkEnd w:id="6"/>
    </w:p>
    <w:p w:rsidR="008C5030" w:rsidRPr="00D10FEB" w:rsidRDefault="008C5030" w:rsidP="00C72692">
      <w:pPr>
        <w:spacing w:after="120"/>
        <w:jc w:val="both"/>
        <w:rPr>
          <w:rFonts w:ascii="Arial Narrow" w:hAnsi="Arial Narrow"/>
          <w:sz w:val="20"/>
          <w:szCs w:val="20"/>
          <w:lang w:val="en-GB"/>
        </w:rPr>
      </w:pPr>
      <w:r w:rsidRPr="00D10FEB">
        <w:rPr>
          <w:rFonts w:ascii="Arial Narrow" w:hAnsi="Arial Narrow"/>
          <w:sz w:val="20"/>
          <w:szCs w:val="20"/>
          <w:lang w:val="en-GB"/>
        </w:rPr>
        <w:t xml:space="preserve">Embedding EUSAIR into post-2027 programming requires confronting the fact that the Strategy lacks binding authority and depends on voluntary coordination in a region where national interests dominate. The revised Action Plan's introduction of a fifth pillar on social cohesion and alignment with the Growth Plan, Green Agenda, and Common Regional Market is strategically astute because it positions EUSAIR as a delivery vehicle for existing enlargement priorities rather than a separate agenda. This logic </w:t>
      </w:r>
      <w:r w:rsidR="00C72692" w:rsidRPr="00D10FEB">
        <w:rPr>
          <w:rFonts w:ascii="Arial Narrow" w:hAnsi="Arial Narrow"/>
          <w:sz w:val="20"/>
          <w:szCs w:val="20"/>
          <w:lang w:val="en-GB"/>
        </w:rPr>
        <w:t>could</w:t>
      </w:r>
      <w:r w:rsidRPr="00D10FEB">
        <w:rPr>
          <w:rFonts w:ascii="Arial Narrow" w:hAnsi="Arial Narrow"/>
          <w:sz w:val="20"/>
          <w:szCs w:val="20"/>
          <w:lang w:val="en-GB"/>
        </w:rPr>
        <w:t xml:space="preserve"> be extended systematically across </w:t>
      </w:r>
      <w:r w:rsidR="00C72692" w:rsidRPr="00D10FEB">
        <w:rPr>
          <w:rFonts w:ascii="Arial Narrow" w:hAnsi="Arial Narrow"/>
          <w:sz w:val="20"/>
          <w:szCs w:val="20"/>
          <w:lang w:val="en-GB"/>
        </w:rPr>
        <w:t>“new</w:t>
      </w:r>
      <w:r w:rsidRPr="00D10FEB">
        <w:rPr>
          <w:rFonts w:ascii="Arial Narrow" w:hAnsi="Arial Narrow"/>
          <w:sz w:val="20"/>
          <w:szCs w:val="20"/>
          <w:lang w:val="en-GB"/>
        </w:rPr>
        <w:t xml:space="preserve"> IPA</w:t>
      </w:r>
      <w:r w:rsidR="00C72692" w:rsidRPr="00D10FEB">
        <w:rPr>
          <w:rFonts w:ascii="Arial Narrow" w:hAnsi="Arial Narrow"/>
          <w:sz w:val="20"/>
          <w:szCs w:val="20"/>
          <w:lang w:val="en-GB"/>
        </w:rPr>
        <w:t>”</w:t>
      </w:r>
      <w:r w:rsidRPr="00D10FEB">
        <w:rPr>
          <w:rFonts w:ascii="Arial Narrow" w:hAnsi="Arial Narrow"/>
          <w:sz w:val="20"/>
          <w:szCs w:val="20"/>
          <w:lang w:val="en-GB"/>
        </w:rPr>
        <w:t xml:space="preserve">. Pillar 2 connectivity should be explicitly framed as the regional implementation arm of TEN-T extension to the Western Balkans, with EUSAIR TSGs serving as technical coordinators for cross-border corridor segments. Pillar 3 environmental quality </w:t>
      </w:r>
      <w:r w:rsidR="00C72692" w:rsidRPr="00D10FEB">
        <w:rPr>
          <w:rFonts w:ascii="Arial Narrow" w:hAnsi="Arial Narrow"/>
          <w:sz w:val="20"/>
          <w:szCs w:val="20"/>
          <w:lang w:val="en-GB"/>
        </w:rPr>
        <w:t>could</w:t>
      </w:r>
      <w:r w:rsidRPr="00D10FEB">
        <w:rPr>
          <w:rFonts w:ascii="Arial Narrow" w:hAnsi="Arial Narrow"/>
          <w:sz w:val="20"/>
          <w:szCs w:val="20"/>
          <w:lang w:val="en-GB"/>
        </w:rPr>
        <w:t xml:space="preserve"> be repositioned as the transnational dimension of Green Agenda implementation, with joint river-basin management and marine spatial planning presented as fulfilling Chapter 27 (environment) accession requirements. Pillar 5 social cohesion </w:t>
      </w:r>
      <w:r w:rsidR="00C72692" w:rsidRPr="00D10FEB">
        <w:rPr>
          <w:rFonts w:ascii="Arial Narrow" w:hAnsi="Arial Narrow"/>
          <w:sz w:val="20"/>
          <w:szCs w:val="20"/>
          <w:lang w:val="en-GB"/>
        </w:rPr>
        <w:t>could</w:t>
      </w:r>
      <w:r w:rsidRPr="00D10FEB">
        <w:rPr>
          <w:rFonts w:ascii="Arial Narrow" w:hAnsi="Arial Narrow"/>
          <w:sz w:val="20"/>
          <w:szCs w:val="20"/>
          <w:lang w:val="en-GB"/>
        </w:rPr>
        <w:t xml:space="preserve"> become the platform for regional labour mobility and mutual recognition of qualifications under the Common Regional Market.</w:t>
      </w:r>
    </w:p>
    <w:p w:rsidR="008C5030" w:rsidRPr="00D10FEB" w:rsidRDefault="008C5030" w:rsidP="008C5030">
      <w:pPr>
        <w:spacing w:after="120"/>
        <w:jc w:val="both"/>
        <w:rPr>
          <w:rFonts w:ascii="Arial Narrow" w:hAnsi="Arial Narrow"/>
          <w:sz w:val="20"/>
          <w:szCs w:val="20"/>
          <w:lang w:val="en-GB"/>
        </w:rPr>
      </w:pPr>
      <w:r w:rsidRPr="00D10FEB">
        <w:rPr>
          <w:rFonts w:ascii="Arial Narrow" w:hAnsi="Arial Narrow"/>
          <w:sz w:val="20"/>
          <w:szCs w:val="20"/>
          <w:lang w:val="en-GB"/>
        </w:rPr>
        <w:t xml:space="preserve">For Pillar 1 and Pillar 4, the path forward is different because these lack strong accession drivers in either instrument. The broader blue-technology and aquaculture agenda </w:t>
      </w:r>
      <w:r w:rsidR="00C72692" w:rsidRPr="00D10FEB">
        <w:rPr>
          <w:rFonts w:ascii="Arial Narrow" w:hAnsi="Arial Narrow"/>
          <w:sz w:val="20"/>
          <w:szCs w:val="20"/>
          <w:lang w:val="en-GB"/>
        </w:rPr>
        <w:t>could</w:t>
      </w:r>
      <w:r w:rsidRPr="00D10FEB">
        <w:rPr>
          <w:rFonts w:ascii="Arial Narrow" w:hAnsi="Arial Narrow"/>
          <w:sz w:val="20"/>
          <w:szCs w:val="20"/>
          <w:lang w:val="en-GB"/>
        </w:rPr>
        <w:t xml:space="preserve"> be pursued through Horizon Europe and sector-specific EU programs rather than demanding space in IPA. Pillar 4 sustainable tourism </w:t>
      </w:r>
      <w:r w:rsidR="00C72692" w:rsidRPr="00D10FEB">
        <w:rPr>
          <w:rFonts w:ascii="Arial Narrow" w:hAnsi="Arial Narrow"/>
          <w:sz w:val="20"/>
          <w:szCs w:val="20"/>
          <w:lang w:val="en-GB"/>
        </w:rPr>
        <w:t>could</w:t>
      </w:r>
      <w:r w:rsidRPr="00D10FEB">
        <w:rPr>
          <w:rFonts w:ascii="Arial Narrow" w:hAnsi="Arial Narrow"/>
          <w:sz w:val="20"/>
          <w:szCs w:val="20"/>
          <w:lang w:val="en-GB"/>
        </w:rPr>
        <w:t xml:space="preserve"> be embedded in regional branding and digitalization initiatives under the Common Regional Market, positioning it as a services-sector priority alongside free movement of goods and capital rather than as a standalone tourism strategy. This reduces the scope of what must be embedded into enlargement instruments while retaining strategic coherence.</w:t>
      </w:r>
    </w:p>
    <w:p w:rsidR="00EF12A8" w:rsidRPr="00D10FEB" w:rsidRDefault="008C5030" w:rsidP="00EF12A8">
      <w:pPr>
        <w:spacing w:after="120"/>
        <w:jc w:val="both"/>
        <w:rPr>
          <w:rFonts w:ascii="Arial Narrow" w:hAnsi="Arial Narrow"/>
          <w:sz w:val="20"/>
          <w:szCs w:val="20"/>
          <w:lang w:val="en-GB"/>
        </w:rPr>
      </w:pPr>
      <w:r w:rsidRPr="00D10FEB">
        <w:rPr>
          <w:rFonts w:ascii="Arial Narrow" w:hAnsi="Arial Narrow"/>
          <w:sz w:val="20"/>
          <w:szCs w:val="20"/>
          <w:lang w:val="en-GB"/>
        </w:rPr>
        <w:t>The Commission's role is decisive</w:t>
      </w:r>
      <w:r w:rsidR="00C72692" w:rsidRPr="00D10FEB">
        <w:rPr>
          <w:rFonts w:ascii="Arial Narrow" w:hAnsi="Arial Narrow"/>
          <w:sz w:val="20"/>
          <w:szCs w:val="20"/>
          <w:lang w:val="en-GB"/>
        </w:rPr>
        <w:t>;</w:t>
      </w:r>
      <w:r w:rsidRPr="00D10FEB">
        <w:rPr>
          <w:rFonts w:ascii="Arial Narrow" w:hAnsi="Arial Narrow"/>
          <w:sz w:val="20"/>
          <w:szCs w:val="20"/>
          <w:lang w:val="en-GB"/>
        </w:rPr>
        <w:t xml:space="preserve"> DG ENEST and DG REGIO must coordinate programming guidance for IPA IV and next-generation cohesion policy to ensure that macro-regional contributions are not optional narrative elements but required programming components with associated indicators and financial allocations. TSGs should be empowered to propose project calls jointly with national authorities, rather than waiting passively for countries to submit ideas that might align.</w:t>
      </w:r>
    </w:p>
    <w:p w:rsidR="00E45573" w:rsidRPr="00D10FEB" w:rsidRDefault="00E45573">
      <w:pPr>
        <w:rPr>
          <w:rFonts w:asciiTheme="majorHAnsi" w:hAnsiTheme="majorHAnsi" w:cstheme="majorBidi"/>
          <w:color w:val="0F4761" w:themeColor="accent1" w:themeShade="BF"/>
          <w:sz w:val="40"/>
          <w:szCs w:val="40"/>
          <w:lang w:val="en-GB"/>
        </w:rPr>
      </w:pPr>
      <w:r w:rsidRPr="00D10FEB">
        <w:rPr>
          <w:lang w:val="en-GB"/>
        </w:rPr>
        <w:br w:type="page"/>
      </w:r>
    </w:p>
    <w:p w:rsidR="008C5030" w:rsidRPr="00D10FEB" w:rsidRDefault="008C5030" w:rsidP="00A43FFD">
      <w:pPr>
        <w:pStyle w:val="Heading1"/>
        <w:rPr>
          <w:rFonts w:eastAsia="Times New Roman"/>
          <w:lang w:val="en-GB"/>
        </w:rPr>
      </w:pPr>
      <w:bookmarkStart w:id="7" w:name="_Toc221105717"/>
      <w:r w:rsidRPr="00D10FEB">
        <w:rPr>
          <w:rFonts w:eastAsia="Times New Roman"/>
          <w:lang w:val="en-GB"/>
        </w:rPr>
        <w:t>Country Profiles</w:t>
      </w:r>
      <w:bookmarkEnd w:id="7"/>
    </w:p>
    <w:p w:rsidR="005979F6" w:rsidRPr="00D10FEB" w:rsidRDefault="00A93C52" w:rsidP="00A43FFD">
      <w:pPr>
        <w:pStyle w:val="Heading2"/>
        <w:rPr>
          <w:lang w:val="en-GB"/>
        </w:rPr>
      </w:pPr>
      <w:bookmarkStart w:id="8" w:name="_Toc221105718"/>
      <w:r w:rsidRPr="00D10FEB">
        <w:rPr>
          <w:lang w:val="en-GB"/>
        </w:rPr>
        <w:t>Albania</w:t>
      </w:r>
      <w:bookmarkEnd w:id="8"/>
      <w:r w:rsidRPr="00D10FEB">
        <w:rPr>
          <w:lang w:val="en-GB"/>
        </w:rPr>
        <w:t xml:space="preserve"> </w:t>
      </w:r>
    </w:p>
    <w:p w:rsidR="008C5030" w:rsidRPr="00D10FEB" w:rsidRDefault="008C5030" w:rsidP="00A43FFD">
      <w:pPr>
        <w:pStyle w:val="Heading3"/>
        <w:shd w:val="clear" w:color="auto" w:fill="DAE9F7" w:themeFill="text2" w:themeFillTint="1A"/>
        <w:rPr>
          <w:rStyle w:val="Strong"/>
          <w:rFonts w:ascii="Franklin Gothic Heavy" w:hAnsi="Franklin Gothic Heavy"/>
          <w:sz w:val="24"/>
          <w:szCs w:val="24"/>
          <w:lang w:val="en-GB"/>
        </w:rPr>
      </w:pPr>
      <w:bookmarkStart w:id="9" w:name="_Toc221105719"/>
      <w:r w:rsidRPr="00D10FEB">
        <w:rPr>
          <w:rStyle w:val="Strong"/>
          <w:rFonts w:ascii="Franklin Gothic Heavy" w:hAnsi="Franklin Gothic Heavy"/>
          <w:sz w:val="24"/>
          <w:szCs w:val="24"/>
          <w:lang w:val="en-GB"/>
        </w:rPr>
        <w:t>IPA 2025 - 2027</w:t>
      </w:r>
      <w:bookmarkEnd w:id="9"/>
    </w:p>
    <w:p w:rsidR="00A93C52" w:rsidRPr="00D10FEB" w:rsidRDefault="00A93C52" w:rsidP="00436823">
      <w:pPr>
        <w:rPr>
          <w:rFonts w:ascii="Arial Narrow" w:hAnsi="Arial Narrow"/>
          <w:b/>
          <w:bCs/>
          <w:lang w:val="en-GB"/>
        </w:rPr>
      </w:pPr>
      <w:r w:rsidRPr="00D10FEB">
        <w:rPr>
          <w:rFonts w:ascii="Arial Narrow" w:hAnsi="Arial Narrow"/>
          <w:b/>
          <w:bCs/>
          <w:lang w:val="en-GB"/>
        </w:rPr>
        <w:t>1) EU for Rule of Law and Democracy (IPA 2027)</w:t>
      </w:r>
    </w:p>
    <w:p w:rsidR="00E45573" w:rsidRPr="00D10FEB" w:rsidRDefault="00A93C52" w:rsidP="00E45573">
      <w:pPr>
        <w:spacing w:after="120"/>
        <w:rPr>
          <w:rFonts w:ascii="Arial Narrow" w:hAnsi="Arial Narrow"/>
          <w:sz w:val="20"/>
          <w:szCs w:val="20"/>
          <w:lang w:val="en-GB"/>
        </w:rPr>
      </w:pPr>
      <w:r w:rsidRPr="00D10FEB">
        <w:rPr>
          <w:rFonts w:ascii="Arial Narrow" w:hAnsi="Arial Narrow"/>
          <w:sz w:val="20"/>
          <w:szCs w:val="20"/>
          <w:lang w:val="en-GB"/>
        </w:rPr>
        <w:t xml:space="preserve">Window 1 </w:t>
      </w:r>
      <w:r w:rsidR="008167CC" w:rsidRPr="00D10FEB">
        <w:rPr>
          <w:rFonts w:ascii="Arial Narrow" w:hAnsi="Arial Narrow"/>
          <w:sz w:val="20"/>
          <w:szCs w:val="20"/>
          <w:lang w:val="en-GB"/>
        </w:rPr>
        <w:t>--</w:t>
      </w:r>
      <w:r w:rsidRPr="00D10FEB">
        <w:rPr>
          <w:rFonts w:ascii="Arial Narrow" w:hAnsi="Arial Narrow"/>
          <w:sz w:val="20"/>
          <w:szCs w:val="20"/>
          <w:lang w:val="en-GB"/>
        </w:rPr>
        <w:t xml:space="preserve"> </w:t>
      </w:r>
      <w:r w:rsidRPr="00D10FEB">
        <w:rPr>
          <w:rFonts w:ascii="Arial Narrow" w:hAnsi="Arial Narrow"/>
          <w:b/>
          <w:bCs/>
          <w:sz w:val="20"/>
          <w:szCs w:val="20"/>
          <w:lang w:val="en-GB"/>
        </w:rPr>
        <w:t>Not assessed (method scope</w:t>
      </w:r>
      <w:r w:rsidRPr="00D10FEB">
        <w:rPr>
          <w:rFonts w:ascii="Arial Narrow" w:hAnsi="Arial Narrow"/>
          <w:sz w:val="20"/>
          <w:szCs w:val="20"/>
          <w:lang w:val="en-GB"/>
        </w:rPr>
        <w:t>)</w:t>
      </w:r>
      <w:r w:rsidR="00E45573" w:rsidRPr="00D10FEB">
        <w:rPr>
          <w:rStyle w:val="FootnoteReference"/>
          <w:rFonts w:ascii="Arial Narrow" w:hAnsi="Arial Narrow"/>
          <w:sz w:val="20"/>
          <w:szCs w:val="20"/>
          <w:lang w:val="en-GB"/>
        </w:rPr>
        <w:footnoteReference w:id="1"/>
      </w:r>
      <w:r w:rsidRPr="00D10FEB">
        <w:rPr>
          <w:rFonts w:ascii="Arial Narrow" w:hAnsi="Arial Narrow"/>
          <w:sz w:val="20"/>
          <w:szCs w:val="20"/>
          <w:lang w:val="en-GB"/>
        </w:rPr>
        <w:t xml:space="preserve">. </w:t>
      </w:r>
    </w:p>
    <w:p w:rsidR="00A93C52" w:rsidRPr="00D10FEB" w:rsidRDefault="00A93C52" w:rsidP="00E45573">
      <w:pPr>
        <w:spacing w:after="120"/>
        <w:rPr>
          <w:rFonts w:ascii="Arial Narrow" w:hAnsi="Arial Narrow"/>
          <w:sz w:val="20"/>
          <w:szCs w:val="20"/>
          <w:lang w:val="en-GB"/>
        </w:rPr>
      </w:pPr>
      <w:r w:rsidRPr="00D10FEB">
        <w:rPr>
          <w:rFonts w:ascii="Arial Narrow" w:hAnsi="Arial Narrow"/>
          <w:sz w:val="20"/>
          <w:szCs w:val="20"/>
          <w:lang w:val="en-GB"/>
        </w:rPr>
        <w:t>The action’s core is to “enhance Albania’s capacity to combat organised crime and high-level corruption and increase transparency, accountability and trust in democratic institutions,” including support to Parliament, CEC and the media authority</w:t>
      </w:r>
      <w:r w:rsidR="00E45573" w:rsidRPr="00D10FEB">
        <w:rPr>
          <w:rFonts w:ascii="Arial Narrow" w:hAnsi="Arial Narrow"/>
          <w:sz w:val="20"/>
          <w:szCs w:val="20"/>
          <w:lang w:val="en-GB"/>
        </w:rPr>
        <w:t>-</w:t>
      </w:r>
      <w:r w:rsidRPr="00D10FEB">
        <w:rPr>
          <w:rFonts w:ascii="Arial Narrow" w:hAnsi="Arial Narrow"/>
          <w:sz w:val="20"/>
          <w:szCs w:val="20"/>
          <w:lang w:val="en-GB"/>
        </w:rPr>
        <w:t>this is governance, not an EUSAIR pillar action.</w:t>
      </w:r>
    </w:p>
    <w:p w:rsidR="00A93C52" w:rsidRPr="00D10FEB" w:rsidRDefault="00A93C52" w:rsidP="008167CC">
      <w:pPr>
        <w:spacing w:after="120"/>
        <w:rPr>
          <w:rFonts w:ascii="Arial Narrow" w:hAnsi="Arial Narrow"/>
          <w:sz w:val="20"/>
          <w:szCs w:val="20"/>
          <w:lang w:val="en-GB"/>
        </w:rPr>
      </w:pPr>
      <w:r w:rsidRPr="00D10FEB">
        <w:rPr>
          <w:rFonts w:ascii="Arial Narrow" w:hAnsi="Arial Narrow"/>
          <w:sz w:val="20"/>
          <w:szCs w:val="20"/>
          <w:lang w:val="en-GB"/>
        </w:rPr>
        <w:t xml:space="preserve">The </w:t>
      </w:r>
      <w:r w:rsidR="008167CC" w:rsidRPr="00D10FEB">
        <w:rPr>
          <w:rFonts w:ascii="Arial Narrow" w:hAnsi="Arial Narrow"/>
          <w:sz w:val="20"/>
          <w:szCs w:val="20"/>
          <w:lang w:val="en-GB"/>
        </w:rPr>
        <w:t>Action Document (AD)</w:t>
      </w:r>
      <w:r w:rsidRPr="00D10FEB">
        <w:rPr>
          <w:rFonts w:ascii="Arial Narrow" w:hAnsi="Arial Narrow"/>
          <w:sz w:val="20"/>
          <w:szCs w:val="20"/>
          <w:lang w:val="en-GB"/>
        </w:rPr>
        <w:t xml:space="preserve"> explicitly lists actors fighting organised crime and even mentions inspections to prevent environmental crimes</w:t>
      </w:r>
      <w:r w:rsidR="008167CC" w:rsidRPr="00D10FEB">
        <w:rPr>
          <w:rFonts w:ascii="Arial Narrow" w:hAnsi="Arial Narrow"/>
          <w:sz w:val="20"/>
          <w:szCs w:val="20"/>
          <w:lang w:val="en-GB"/>
        </w:rPr>
        <w:t>.</w:t>
      </w:r>
    </w:p>
    <w:p w:rsidR="00A93C52" w:rsidRPr="00D10FEB" w:rsidRDefault="00A93C52" w:rsidP="00436823">
      <w:pPr>
        <w:rPr>
          <w:rFonts w:ascii="Arial Narrow" w:hAnsi="Arial Narrow"/>
          <w:b/>
          <w:bCs/>
          <w:lang w:val="en-GB"/>
        </w:rPr>
      </w:pPr>
      <w:r w:rsidRPr="00D10FEB">
        <w:rPr>
          <w:rFonts w:ascii="Arial Narrow" w:hAnsi="Arial Narrow"/>
          <w:b/>
          <w:bCs/>
          <w:lang w:val="en-GB"/>
        </w:rPr>
        <w:t>2) Integrated Justice and Human Rights (IPA 2025)</w:t>
      </w:r>
    </w:p>
    <w:p w:rsidR="008167CC" w:rsidRPr="00D10FEB" w:rsidRDefault="00A93C52" w:rsidP="00E45573">
      <w:pPr>
        <w:spacing w:after="120"/>
        <w:rPr>
          <w:rFonts w:ascii="Arial Narrow" w:hAnsi="Arial Narrow"/>
          <w:sz w:val="20"/>
          <w:szCs w:val="20"/>
          <w:lang w:val="en-GB"/>
        </w:rPr>
      </w:pPr>
      <w:r w:rsidRPr="00D10FEB">
        <w:rPr>
          <w:rFonts w:ascii="Arial Narrow" w:hAnsi="Arial Narrow"/>
          <w:sz w:val="20"/>
          <w:szCs w:val="20"/>
          <w:lang w:val="en-GB"/>
        </w:rPr>
        <w:t xml:space="preserve">Window 1 </w:t>
      </w:r>
      <w:r w:rsidR="008167CC" w:rsidRPr="00D10FEB">
        <w:rPr>
          <w:rFonts w:ascii="Arial Narrow" w:hAnsi="Arial Narrow"/>
          <w:sz w:val="20"/>
          <w:szCs w:val="20"/>
          <w:lang w:val="en-GB"/>
        </w:rPr>
        <w:t>--</w:t>
      </w:r>
      <w:r w:rsidRPr="00D10FEB">
        <w:rPr>
          <w:rFonts w:ascii="Arial Narrow" w:hAnsi="Arial Narrow"/>
          <w:sz w:val="20"/>
          <w:szCs w:val="20"/>
          <w:lang w:val="en-GB"/>
        </w:rPr>
        <w:t xml:space="preserve"> </w:t>
      </w:r>
      <w:r w:rsidRPr="00D10FEB">
        <w:rPr>
          <w:rFonts w:ascii="Arial Narrow" w:hAnsi="Arial Narrow"/>
          <w:b/>
          <w:bCs/>
          <w:sz w:val="20"/>
          <w:szCs w:val="20"/>
          <w:lang w:val="en-GB"/>
        </w:rPr>
        <w:t>Not assessed (method scope).</w:t>
      </w:r>
      <w:r w:rsidRPr="00D10FEB">
        <w:rPr>
          <w:rFonts w:ascii="Arial Narrow" w:hAnsi="Arial Narrow"/>
          <w:sz w:val="20"/>
          <w:szCs w:val="20"/>
          <w:lang w:val="en-GB"/>
        </w:rPr>
        <w:t xml:space="preserve"> </w:t>
      </w:r>
    </w:p>
    <w:p w:rsidR="00A93C52" w:rsidRPr="00D10FEB" w:rsidRDefault="00A93C52" w:rsidP="00E45573">
      <w:pPr>
        <w:spacing w:after="120"/>
        <w:rPr>
          <w:rFonts w:ascii="Arial Narrow" w:hAnsi="Arial Narrow"/>
          <w:sz w:val="20"/>
          <w:szCs w:val="20"/>
          <w:lang w:val="en-GB"/>
        </w:rPr>
      </w:pPr>
      <w:r w:rsidRPr="00D10FEB">
        <w:rPr>
          <w:rFonts w:ascii="Arial Narrow" w:hAnsi="Arial Narrow"/>
          <w:sz w:val="20"/>
          <w:szCs w:val="20"/>
          <w:lang w:val="en-GB"/>
        </w:rPr>
        <w:t>The AD focuses on justice reform (juvenile justice, probation, vetting oversight, School of Magistrates, human-rights/equality policy).</w:t>
      </w:r>
    </w:p>
    <w:p w:rsidR="00A93C52" w:rsidRPr="00D10FEB" w:rsidRDefault="00A93C52" w:rsidP="00E45573">
      <w:pPr>
        <w:spacing w:after="120"/>
        <w:rPr>
          <w:rFonts w:ascii="Arial Narrow" w:hAnsi="Arial Narrow"/>
          <w:sz w:val="20"/>
          <w:szCs w:val="20"/>
          <w:lang w:val="en-GB"/>
        </w:rPr>
      </w:pPr>
      <w:r w:rsidRPr="00D10FEB">
        <w:rPr>
          <w:rFonts w:ascii="Arial Narrow" w:hAnsi="Arial Narrow"/>
          <w:sz w:val="20"/>
          <w:szCs w:val="20"/>
          <w:lang w:val="en-GB"/>
        </w:rPr>
        <w:t>Equality/skills aspects sit closest to Pillar 5’s social-cohesion aims (skills/equal opportunities), but they are system-wide justice measures, not EUSAIR actions.</w:t>
      </w:r>
    </w:p>
    <w:p w:rsidR="00A93C52" w:rsidRPr="00D10FEB" w:rsidRDefault="00A93C52" w:rsidP="00436823">
      <w:pPr>
        <w:rPr>
          <w:rFonts w:ascii="Arial Narrow" w:hAnsi="Arial Narrow"/>
          <w:b/>
          <w:bCs/>
          <w:lang w:val="en-GB"/>
        </w:rPr>
      </w:pPr>
      <w:r w:rsidRPr="00D10FEB">
        <w:rPr>
          <w:rFonts w:ascii="Arial Narrow" w:hAnsi="Arial Narrow"/>
          <w:b/>
          <w:bCs/>
          <w:lang w:val="en-GB"/>
        </w:rPr>
        <w:t>3) EU for Integrated Good Governance (IPA 2026–2027)</w:t>
      </w:r>
    </w:p>
    <w:p w:rsidR="008167CC" w:rsidRPr="00D10FEB" w:rsidRDefault="00A93C52" w:rsidP="00E45573">
      <w:pPr>
        <w:spacing w:after="120"/>
        <w:rPr>
          <w:rFonts w:ascii="Arial Narrow" w:hAnsi="Arial Narrow"/>
          <w:sz w:val="20"/>
          <w:szCs w:val="20"/>
          <w:lang w:val="en-GB"/>
        </w:rPr>
      </w:pPr>
      <w:r w:rsidRPr="00D10FEB">
        <w:rPr>
          <w:rFonts w:ascii="Arial Narrow" w:hAnsi="Arial Narrow"/>
          <w:sz w:val="20"/>
          <w:szCs w:val="20"/>
          <w:lang w:val="en-GB"/>
        </w:rPr>
        <w:t xml:space="preserve">Window 2 </w:t>
      </w:r>
      <w:r w:rsidR="008167CC" w:rsidRPr="00D10FEB">
        <w:rPr>
          <w:rFonts w:ascii="Arial Narrow" w:hAnsi="Arial Narrow"/>
          <w:sz w:val="20"/>
          <w:szCs w:val="20"/>
          <w:lang w:val="en-GB"/>
        </w:rPr>
        <w:t>--</w:t>
      </w:r>
      <w:r w:rsidRPr="00D10FEB">
        <w:rPr>
          <w:rFonts w:ascii="Arial Narrow" w:hAnsi="Arial Narrow"/>
          <w:sz w:val="20"/>
          <w:szCs w:val="20"/>
          <w:lang w:val="en-GB"/>
        </w:rPr>
        <w:t xml:space="preserve"> </w:t>
      </w:r>
      <w:r w:rsidRPr="00D10FEB">
        <w:rPr>
          <w:rFonts w:ascii="Arial Narrow" w:hAnsi="Arial Narrow"/>
          <w:b/>
          <w:bCs/>
          <w:sz w:val="20"/>
          <w:szCs w:val="20"/>
          <w:lang w:val="en-GB"/>
        </w:rPr>
        <w:t>Not assessed (method scope).</w:t>
      </w:r>
      <w:r w:rsidRPr="00D10FEB">
        <w:rPr>
          <w:rFonts w:ascii="Arial Narrow" w:hAnsi="Arial Narrow"/>
          <w:sz w:val="20"/>
          <w:szCs w:val="20"/>
          <w:lang w:val="en-GB"/>
        </w:rPr>
        <w:t xml:space="preserve"> </w:t>
      </w:r>
    </w:p>
    <w:p w:rsidR="00A93C52" w:rsidRPr="00D10FEB" w:rsidRDefault="00A93C52" w:rsidP="00E45573">
      <w:pPr>
        <w:spacing w:after="120"/>
        <w:rPr>
          <w:rFonts w:ascii="Arial Narrow" w:hAnsi="Arial Narrow"/>
          <w:sz w:val="20"/>
          <w:szCs w:val="20"/>
          <w:lang w:val="en-GB"/>
        </w:rPr>
      </w:pPr>
      <w:r w:rsidRPr="00D10FEB">
        <w:rPr>
          <w:rFonts w:ascii="Arial Narrow" w:hAnsi="Arial Narrow"/>
          <w:sz w:val="20"/>
          <w:szCs w:val="20"/>
          <w:lang w:val="en-GB"/>
        </w:rPr>
        <w:t>The AD’s outcomes are civil-service HRM modernisation, municipal capacity for EU funds, and stronger PFM/procurement/audit/statistics</w:t>
      </w:r>
      <w:r w:rsidR="00E45573" w:rsidRPr="00D10FEB">
        <w:rPr>
          <w:rFonts w:ascii="Arial Narrow" w:hAnsi="Arial Narrow"/>
          <w:sz w:val="20"/>
          <w:szCs w:val="20"/>
          <w:lang w:val="en-GB"/>
        </w:rPr>
        <w:t>-</w:t>
      </w:r>
      <w:r w:rsidRPr="00D10FEB">
        <w:rPr>
          <w:rFonts w:ascii="Arial Narrow" w:hAnsi="Arial Narrow"/>
          <w:sz w:val="20"/>
          <w:szCs w:val="20"/>
          <w:lang w:val="en-GB"/>
        </w:rPr>
        <w:t>again, governance enablers, not EUSAIR actions.</w:t>
      </w:r>
    </w:p>
    <w:p w:rsidR="00A93C52" w:rsidRPr="00D10FEB" w:rsidRDefault="00A93C52" w:rsidP="00E45573">
      <w:pPr>
        <w:spacing w:after="120"/>
        <w:rPr>
          <w:rFonts w:ascii="Arial Narrow" w:hAnsi="Arial Narrow"/>
          <w:sz w:val="20"/>
          <w:szCs w:val="20"/>
          <w:lang w:val="en-GB"/>
        </w:rPr>
      </w:pPr>
      <w:r w:rsidRPr="00D10FEB">
        <w:rPr>
          <w:rFonts w:ascii="Arial Narrow" w:hAnsi="Arial Narrow"/>
          <w:sz w:val="20"/>
          <w:szCs w:val="20"/>
          <w:lang w:val="en-GB"/>
        </w:rPr>
        <w:t xml:space="preserve">Mentions green procurement and administrative capacity; useful to wider sustainability goals but still not </w:t>
      </w:r>
      <w:r w:rsidR="008167CC" w:rsidRPr="00D10FEB">
        <w:rPr>
          <w:rFonts w:ascii="Arial Narrow" w:hAnsi="Arial Narrow"/>
          <w:sz w:val="20"/>
          <w:szCs w:val="20"/>
          <w:lang w:val="en-GB"/>
        </w:rPr>
        <w:t>in line with</w:t>
      </w:r>
      <w:r w:rsidRPr="00D10FEB">
        <w:rPr>
          <w:rFonts w:ascii="Arial Narrow" w:hAnsi="Arial Narrow"/>
          <w:sz w:val="20"/>
          <w:szCs w:val="20"/>
          <w:lang w:val="en-GB"/>
        </w:rPr>
        <w:t xml:space="preserve"> EUSAIR action</w:t>
      </w:r>
      <w:r w:rsidR="008167CC" w:rsidRPr="00D10FEB">
        <w:rPr>
          <w:rFonts w:ascii="Arial Narrow" w:hAnsi="Arial Narrow"/>
          <w:sz w:val="20"/>
          <w:szCs w:val="20"/>
          <w:lang w:val="en-GB"/>
        </w:rPr>
        <w:t>s</w:t>
      </w:r>
      <w:r w:rsidRPr="00D10FEB">
        <w:rPr>
          <w:rFonts w:ascii="Arial Narrow" w:hAnsi="Arial Narrow"/>
          <w:sz w:val="20"/>
          <w:szCs w:val="20"/>
          <w:lang w:val="en-GB"/>
        </w:rPr>
        <w:t>.</w:t>
      </w:r>
    </w:p>
    <w:p w:rsidR="00A93C52" w:rsidRPr="00D10FEB" w:rsidRDefault="00A93C52" w:rsidP="00436823">
      <w:pPr>
        <w:rPr>
          <w:rFonts w:ascii="Arial Narrow" w:hAnsi="Arial Narrow"/>
          <w:b/>
          <w:bCs/>
          <w:lang w:val="en-GB"/>
        </w:rPr>
      </w:pPr>
      <w:r w:rsidRPr="00D10FEB">
        <w:rPr>
          <w:rFonts w:ascii="Arial Narrow" w:hAnsi="Arial Narrow"/>
          <w:b/>
          <w:bCs/>
          <w:lang w:val="en-GB"/>
        </w:rPr>
        <w:t>4) EU4Critical Raw Materials (IPA 2025)</w:t>
      </w:r>
    </w:p>
    <w:p w:rsidR="00A93C52" w:rsidRPr="00D10FEB" w:rsidRDefault="00A93C52" w:rsidP="00E45573">
      <w:pPr>
        <w:spacing w:after="120"/>
        <w:rPr>
          <w:rFonts w:ascii="Arial Narrow" w:hAnsi="Arial Narrow"/>
          <w:sz w:val="20"/>
          <w:szCs w:val="20"/>
          <w:lang w:val="en-GB"/>
        </w:rPr>
      </w:pPr>
      <w:r w:rsidRPr="00D10FEB">
        <w:rPr>
          <w:rFonts w:ascii="Arial Narrow" w:hAnsi="Arial Narrow"/>
          <w:sz w:val="20"/>
          <w:szCs w:val="20"/>
          <w:lang w:val="en-GB"/>
        </w:rPr>
        <w:t xml:space="preserve">Window 4 </w:t>
      </w:r>
      <w:r w:rsidR="008167CC" w:rsidRPr="00D10FEB">
        <w:rPr>
          <w:rFonts w:ascii="Arial Narrow" w:hAnsi="Arial Narrow"/>
          <w:sz w:val="20"/>
          <w:szCs w:val="20"/>
          <w:lang w:val="en-GB"/>
        </w:rPr>
        <w:t>--</w:t>
      </w:r>
      <w:r w:rsidRPr="00D10FEB">
        <w:rPr>
          <w:rFonts w:ascii="Arial Narrow" w:hAnsi="Arial Narrow"/>
          <w:sz w:val="20"/>
          <w:szCs w:val="20"/>
          <w:lang w:val="en-GB"/>
        </w:rPr>
        <w:t xml:space="preserve"> </w:t>
      </w:r>
      <w:r w:rsidRPr="00D10FEB">
        <w:rPr>
          <w:rFonts w:ascii="Arial Narrow" w:hAnsi="Arial Narrow"/>
          <w:b/>
          <w:bCs/>
          <w:sz w:val="20"/>
          <w:szCs w:val="20"/>
          <w:lang w:val="en-GB"/>
        </w:rPr>
        <w:t>In scope for EUSAIR alignment.</w:t>
      </w:r>
    </w:p>
    <w:p w:rsidR="008167CC" w:rsidRPr="00D10FEB" w:rsidRDefault="00A93C52" w:rsidP="00E45573">
      <w:pPr>
        <w:numPr>
          <w:ilvl w:val="0"/>
          <w:numId w:val="4"/>
        </w:numPr>
        <w:spacing w:after="120"/>
        <w:rPr>
          <w:rFonts w:ascii="Arial Narrow" w:hAnsi="Arial Narrow"/>
          <w:sz w:val="20"/>
          <w:szCs w:val="20"/>
          <w:lang w:val="en-GB"/>
        </w:rPr>
      </w:pPr>
      <w:r w:rsidRPr="00D10FEB">
        <w:rPr>
          <w:rFonts w:ascii="Arial Narrow" w:hAnsi="Arial Narrow"/>
          <w:b/>
          <w:bCs/>
          <w:sz w:val="20"/>
          <w:szCs w:val="20"/>
          <w:lang w:val="en-GB"/>
        </w:rPr>
        <w:t xml:space="preserve">Pillar 3 – Environmental Quality (Topic 3.1, Action 3.1.4 “Reduction of the pollution of the sea and inland waters”) </w:t>
      </w:r>
      <w:r w:rsidR="008167CC" w:rsidRPr="00D10FEB">
        <w:rPr>
          <w:rFonts w:ascii="Arial Narrow" w:hAnsi="Arial Narrow"/>
          <w:b/>
          <w:bCs/>
          <w:sz w:val="20"/>
          <w:szCs w:val="20"/>
          <w:lang w:val="en-GB"/>
        </w:rPr>
        <w:t xml:space="preserve">- </w:t>
      </w:r>
      <w:r w:rsidRPr="00D10FEB">
        <w:rPr>
          <w:rFonts w:ascii="Arial Narrow" w:hAnsi="Arial Narrow"/>
          <w:b/>
          <w:bCs/>
          <w:sz w:val="20"/>
          <w:szCs w:val="20"/>
          <w:lang w:val="en-GB"/>
        </w:rPr>
        <w:t>Partial alignment</w:t>
      </w:r>
      <w:r w:rsidRPr="00D10FEB">
        <w:rPr>
          <w:rFonts w:ascii="Arial Narrow" w:hAnsi="Arial Narrow"/>
          <w:sz w:val="20"/>
          <w:szCs w:val="20"/>
          <w:lang w:val="en-GB"/>
        </w:rPr>
        <w:t>.</w:t>
      </w:r>
    </w:p>
    <w:p w:rsidR="00A93C52" w:rsidRPr="00D10FEB" w:rsidRDefault="00A93C52" w:rsidP="008167CC">
      <w:pPr>
        <w:spacing w:after="120"/>
        <w:rPr>
          <w:rFonts w:ascii="Arial Narrow" w:hAnsi="Arial Narrow"/>
          <w:sz w:val="20"/>
          <w:szCs w:val="20"/>
          <w:lang w:val="en-GB"/>
        </w:rPr>
      </w:pPr>
      <w:r w:rsidRPr="00D10FEB">
        <w:rPr>
          <w:rFonts w:ascii="Arial Narrow" w:hAnsi="Arial Narrow"/>
          <w:sz w:val="20"/>
          <w:szCs w:val="20"/>
          <w:lang w:val="en-GB"/>
        </w:rPr>
        <w:t>The AD foresees: a new mining strategy with Strategic Environmental Assessment, an action plan and standards to prevent socio-environmental impacts, ESIAs/EIAs for technologies to reuse/recycle mining/metallurgical wastes, and regulatory standards for secondary raw materials in licensing. These directly aim at reducing land-to-water pollution risks and improving monitoring</w:t>
      </w:r>
      <w:r w:rsidR="00E45573" w:rsidRPr="00D10FEB">
        <w:rPr>
          <w:rFonts w:ascii="Arial Narrow" w:hAnsi="Arial Narrow"/>
          <w:sz w:val="20"/>
          <w:szCs w:val="20"/>
          <w:lang w:val="en-GB"/>
        </w:rPr>
        <w:t>-</w:t>
      </w:r>
      <w:r w:rsidRPr="00D10FEB">
        <w:rPr>
          <w:rFonts w:ascii="Arial Narrow" w:hAnsi="Arial Narrow"/>
          <w:sz w:val="20"/>
          <w:szCs w:val="20"/>
          <w:lang w:val="en-GB"/>
        </w:rPr>
        <w:t xml:space="preserve">coherent with </w:t>
      </w:r>
      <w:r w:rsidR="008167CC" w:rsidRPr="00D10FEB">
        <w:rPr>
          <w:rFonts w:ascii="Arial Narrow" w:hAnsi="Arial Narrow"/>
          <w:sz w:val="20"/>
          <w:szCs w:val="20"/>
          <w:lang w:val="en-GB"/>
        </w:rPr>
        <w:t>Pillar 3</w:t>
      </w:r>
      <w:r w:rsidRPr="00D10FEB">
        <w:rPr>
          <w:rFonts w:ascii="Arial Narrow" w:hAnsi="Arial Narrow"/>
          <w:sz w:val="20"/>
          <w:szCs w:val="20"/>
          <w:lang w:val="en-GB"/>
        </w:rPr>
        <w:t>.</w:t>
      </w:r>
    </w:p>
    <w:p w:rsidR="008167CC" w:rsidRPr="00D10FEB" w:rsidRDefault="00A93C52" w:rsidP="00E45573">
      <w:pPr>
        <w:numPr>
          <w:ilvl w:val="0"/>
          <w:numId w:val="4"/>
        </w:numPr>
        <w:spacing w:after="120"/>
        <w:rPr>
          <w:rFonts w:ascii="Arial Narrow" w:hAnsi="Arial Narrow"/>
          <w:b/>
          <w:bCs/>
          <w:sz w:val="20"/>
          <w:szCs w:val="20"/>
          <w:lang w:val="en-GB"/>
        </w:rPr>
      </w:pPr>
      <w:r w:rsidRPr="00D10FEB">
        <w:rPr>
          <w:rFonts w:ascii="Arial Narrow" w:hAnsi="Arial Narrow"/>
          <w:b/>
          <w:bCs/>
          <w:sz w:val="20"/>
          <w:szCs w:val="20"/>
          <w:lang w:val="en-GB"/>
        </w:rPr>
        <w:t xml:space="preserve">Pillar 5 – Improved Social Cohesion (Topic 5.2 “Promoting skills acquisition for future labour markets”) </w:t>
      </w:r>
      <w:r w:rsidR="008167CC" w:rsidRPr="00D10FEB">
        <w:rPr>
          <w:rFonts w:ascii="Arial Narrow" w:hAnsi="Arial Narrow"/>
          <w:b/>
          <w:bCs/>
          <w:sz w:val="20"/>
          <w:szCs w:val="20"/>
          <w:lang w:val="en-GB"/>
        </w:rPr>
        <w:t>-</w:t>
      </w:r>
      <w:r w:rsidRPr="00D10FEB">
        <w:rPr>
          <w:rFonts w:ascii="Arial Narrow" w:hAnsi="Arial Narrow"/>
          <w:b/>
          <w:bCs/>
          <w:sz w:val="20"/>
          <w:szCs w:val="20"/>
          <w:lang w:val="en-GB"/>
        </w:rPr>
        <w:t xml:space="preserve"> Partial alignment.</w:t>
      </w:r>
    </w:p>
    <w:p w:rsidR="00A93C52" w:rsidRPr="00D10FEB" w:rsidRDefault="00A93C52" w:rsidP="008167CC">
      <w:pPr>
        <w:spacing w:after="120"/>
        <w:rPr>
          <w:rFonts w:ascii="Arial Narrow" w:hAnsi="Arial Narrow"/>
          <w:sz w:val="20"/>
          <w:szCs w:val="20"/>
          <w:lang w:val="en-GB"/>
        </w:rPr>
      </w:pPr>
      <w:r w:rsidRPr="00D10FEB">
        <w:rPr>
          <w:rFonts w:ascii="Arial Narrow" w:hAnsi="Arial Narrow"/>
          <w:sz w:val="20"/>
          <w:szCs w:val="20"/>
          <w:lang w:val="en-GB"/>
        </w:rPr>
        <w:t xml:space="preserve">The AD establishes and equips an open Research &amp; Innovation Centre (RIC) in Elbasan, including training for researchers and technicians and a target for trainees related to CRMs; this is a sector-specific skills pipeline that fits </w:t>
      </w:r>
      <w:r w:rsidR="008167CC" w:rsidRPr="00D10FEB">
        <w:rPr>
          <w:rFonts w:ascii="Arial Narrow" w:hAnsi="Arial Narrow"/>
          <w:sz w:val="20"/>
          <w:szCs w:val="20"/>
          <w:lang w:val="en-GB"/>
        </w:rPr>
        <w:t>Pillar’s 5</w:t>
      </w:r>
      <w:r w:rsidRPr="00D10FEB">
        <w:rPr>
          <w:rFonts w:ascii="Arial Narrow" w:hAnsi="Arial Narrow"/>
          <w:sz w:val="20"/>
          <w:szCs w:val="20"/>
          <w:lang w:val="en-GB"/>
        </w:rPr>
        <w:t xml:space="preserve"> skills/upskilling focus.</w:t>
      </w:r>
    </w:p>
    <w:p w:rsidR="00A93C52" w:rsidRPr="00D10FEB" w:rsidRDefault="00A93C52" w:rsidP="00E45573">
      <w:pPr>
        <w:numPr>
          <w:ilvl w:val="0"/>
          <w:numId w:val="4"/>
        </w:numPr>
        <w:spacing w:after="120"/>
        <w:rPr>
          <w:rFonts w:ascii="Arial Narrow" w:hAnsi="Arial Narrow"/>
          <w:b/>
          <w:bCs/>
          <w:sz w:val="20"/>
          <w:szCs w:val="20"/>
          <w:lang w:val="en-GB"/>
        </w:rPr>
      </w:pPr>
      <w:r w:rsidRPr="00D10FEB">
        <w:rPr>
          <w:rFonts w:ascii="Arial Narrow" w:hAnsi="Arial Narrow"/>
          <w:b/>
          <w:bCs/>
          <w:sz w:val="20"/>
          <w:szCs w:val="20"/>
          <w:lang w:val="en-GB"/>
        </w:rPr>
        <w:t xml:space="preserve">Pillar 2 – Connecting the Region </w:t>
      </w:r>
      <w:r w:rsidR="008167CC" w:rsidRPr="00D10FEB">
        <w:rPr>
          <w:rFonts w:ascii="Arial Narrow" w:hAnsi="Arial Narrow"/>
          <w:b/>
          <w:bCs/>
          <w:sz w:val="20"/>
          <w:szCs w:val="20"/>
          <w:lang w:val="en-GB"/>
        </w:rPr>
        <w:t>-</w:t>
      </w:r>
      <w:r w:rsidRPr="00D10FEB">
        <w:rPr>
          <w:rFonts w:ascii="Arial Narrow" w:hAnsi="Arial Narrow"/>
          <w:b/>
          <w:bCs/>
          <w:sz w:val="20"/>
          <w:szCs w:val="20"/>
          <w:lang w:val="en-GB"/>
        </w:rPr>
        <w:t xml:space="preserve"> </w:t>
      </w:r>
      <w:r w:rsidR="008167CC" w:rsidRPr="00D10FEB">
        <w:rPr>
          <w:rFonts w:ascii="Arial Narrow" w:hAnsi="Arial Narrow"/>
          <w:b/>
          <w:bCs/>
          <w:sz w:val="20"/>
          <w:szCs w:val="20"/>
          <w:lang w:val="en-GB"/>
        </w:rPr>
        <w:t>No alignment</w:t>
      </w:r>
      <w:r w:rsidRPr="00D10FEB">
        <w:rPr>
          <w:rFonts w:ascii="Arial Narrow" w:hAnsi="Arial Narrow"/>
          <w:b/>
          <w:bCs/>
          <w:sz w:val="20"/>
          <w:szCs w:val="20"/>
          <w:lang w:val="en-GB"/>
        </w:rPr>
        <w:t>.</w:t>
      </w:r>
    </w:p>
    <w:p w:rsidR="008167CC" w:rsidRPr="00D10FEB" w:rsidRDefault="00A93C52" w:rsidP="00E45573">
      <w:pPr>
        <w:numPr>
          <w:ilvl w:val="0"/>
          <w:numId w:val="4"/>
        </w:numPr>
        <w:spacing w:after="120"/>
        <w:rPr>
          <w:rFonts w:ascii="Arial Narrow" w:hAnsi="Arial Narrow"/>
          <w:b/>
          <w:bCs/>
          <w:sz w:val="20"/>
          <w:szCs w:val="20"/>
          <w:lang w:val="en-GB"/>
        </w:rPr>
      </w:pPr>
      <w:r w:rsidRPr="00D10FEB">
        <w:rPr>
          <w:rFonts w:ascii="Arial Narrow" w:hAnsi="Arial Narrow"/>
          <w:b/>
          <w:bCs/>
          <w:sz w:val="20"/>
          <w:szCs w:val="20"/>
          <w:lang w:val="en-GB"/>
        </w:rPr>
        <w:t>Pillar 1 – Blue Sustainable Economy</w:t>
      </w:r>
      <w:r w:rsidR="008167CC" w:rsidRPr="00D10FEB">
        <w:rPr>
          <w:rFonts w:ascii="Arial Narrow" w:hAnsi="Arial Narrow"/>
          <w:b/>
          <w:bCs/>
          <w:sz w:val="20"/>
          <w:szCs w:val="20"/>
          <w:lang w:val="en-GB"/>
        </w:rPr>
        <w:t xml:space="preserve"> - No alignment.</w:t>
      </w:r>
      <w:r w:rsidRPr="00D10FEB">
        <w:rPr>
          <w:rFonts w:ascii="Arial Narrow" w:hAnsi="Arial Narrow"/>
          <w:b/>
          <w:bCs/>
          <w:sz w:val="20"/>
          <w:szCs w:val="20"/>
          <w:lang w:val="en-GB"/>
        </w:rPr>
        <w:t xml:space="preserve"> </w:t>
      </w:r>
    </w:p>
    <w:p w:rsidR="00A93C52" w:rsidRPr="00D10FEB" w:rsidRDefault="00A93C52" w:rsidP="00E45573">
      <w:pPr>
        <w:numPr>
          <w:ilvl w:val="0"/>
          <w:numId w:val="4"/>
        </w:numPr>
        <w:spacing w:after="120"/>
        <w:rPr>
          <w:rFonts w:ascii="Arial Narrow" w:hAnsi="Arial Narrow"/>
          <w:b/>
          <w:bCs/>
          <w:sz w:val="20"/>
          <w:szCs w:val="20"/>
          <w:lang w:val="en-GB"/>
        </w:rPr>
      </w:pPr>
      <w:r w:rsidRPr="00D10FEB">
        <w:rPr>
          <w:rFonts w:ascii="Arial Narrow" w:hAnsi="Arial Narrow"/>
          <w:b/>
          <w:bCs/>
          <w:sz w:val="20"/>
          <w:szCs w:val="20"/>
          <w:lang w:val="en-GB"/>
        </w:rPr>
        <w:t xml:space="preserve">Pillar 4 – Sustainable Tourism </w:t>
      </w:r>
      <w:r w:rsidR="008167CC" w:rsidRPr="00D10FEB">
        <w:rPr>
          <w:rFonts w:ascii="Arial Narrow" w:hAnsi="Arial Narrow"/>
          <w:b/>
          <w:bCs/>
          <w:sz w:val="20"/>
          <w:szCs w:val="20"/>
          <w:lang w:val="en-GB"/>
        </w:rPr>
        <w:t>-</w:t>
      </w:r>
      <w:r w:rsidRPr="00D10FEB">
        <w:rPr>
          <w:rFonts w:ascii="Arial Narrow" w:hAnsi="Arial Narrow"/>
          <w:b/>
          <w:bCs/>
          <w:sz w:val="20"/>
          <w:szCs w:val="20"/>
          <w:lang w:val="en-GB"/>
        </w:rPr>
        <w:t xml:space="preserve"> No alignment.</w:t>
      </w:r>
    </w:p>
    <w:p w:rsidR="00A93C52" w:rsidRPr="00D10FEB" w:rsidRDefault="00A93C52" w:rsidP="00436823">
      <w:pPr>
        <w:rPr>
          <w:rFonts w:ascii="Arial Narrow" w:hAnsi="Arial Narrow"/>
          <w:b/>
          <w:bCs/>
          <w:lang w:val="en-GB"/>
        </w:rPr>
      </w:pPr>
      <w:r w:rsidRPr="00D10FEB">
        <w:rPr>
          <w:rFonts w:ascii="Arial Narrow" w:hAnsi="Arial Narrow"/>
          <w:b/>
          <w:bCs/>
          <w:lang w:val="en-GB"/>
        </w:rPr>
        <w:t xml:space="preserve">5) European Union Integration Facility </w:t>
      </w:r>
      <w:r w:rsidR="00E45573" w:rsidRPr="00D10FEB">
        <w:rPr>
          <w:rFonts w:ascii="Arial Narrow" w:hAnsi="Arial Narrow"/>
          <w:b/>
          <w:bCs/>
          <w:lang w:val="en-GB"/>
        </w:rPr>
        <w:t>-</w:t>
      </w:r>
      <w:r w:rsidRPr="00D10FEB">
        <w:rPr>
          <w:rFonts w:ascii="Arial Narrow" w:hAnsi="Arial Narrow"/>
          <w:b/>
          <w:bCs/>
          <w:lang w:val="en-GB"/>
        </w:rPr>
        <w:t xml:space="preserve"> Annual Action Plan 2026</w:t>
      </w:r>
    </w:p>
    <w:p w:rsidR="008167CC" w:rsidRPr="00D10FEB" w:rsidRDefault="00A93C52" w:rsidP="00E45573">
      <w:pPr>
        <w:spacing w:after="120"/>
        <w:rPr>
          <w:rFonts w:ascii="Arial Narrow" w:hAnsi="Arial Narrow"/>
          <w:sz w:val="20"/>
          <w:szCs w:val="20"/>
          <w:lang w:val="en-GB"/>
        </w:rPr>
      </w:pPr>
      <w:r w:rsidRPr="00D10FEB">
        <w:rPr>
          <w:rFonts w:ascii="Arial Narrow" w:hAnsi="Arial Narrow"/>
          <w:sz w:val="20"/>
          <w:szCs w:val="20"/>
          <w:lang w:val="en-GB"/>
        </w:rPr>
        <w:t xml:space="preserve">Governance/integration support </w:t>
      </w:r>
      <w:r w:rsidR="008167CC" w:rsidRPr="00D10FEB">
        <w:rPr>
          <w:rFonts w:ascii="Arial Narrow" w:hAnsi="Arial Narrow"/>
          <w:sz w:val="20"/>
          <w:szCs w:val="20"/>
          <w:lang w:val="en-GB"/>
        </w:rPr>
        <w:t>--</w:t>
      </w:r>
      <w:r w:rsidRPr="00D10FEB">
        <w:rPr>
          <w:rFonts w:ascii="Arial Narrow" w:hAnsi="Arial Narrow"/>
          <w:sz w:val="20"/>
          <w:szCs w:val="20"/>
          <w:lang w:val="en-GB"/>
        </w:rPr>
        <w:t xml:space="preserve"> effectively Window 2 </w:t>
      </w:r>
      <w:r w:rsidR="008167CC" w:rsidRPr="00D10FEB">
        <w:rPr>
          <w:rFonts w:ascii="Arial Narrow" w:hAnsi="Arial Narrow"/>
          <w:sz w:val="20"/>
          <w:szCs w:val="20"/>
          <w:lang w:val="en-GB"/>
        </w:rPr>
        <w:t>--</w:t>
      </w:r>
      <w:r w:rsidRPr="00D10FEB">
        <w:rPr>
          <w:rFonts w:ascii="Arial Narrow" w:hAnsi="Arial Narrow"/>
          <w:sz w:val="20"/>
          <w:szCs w:val="20"/>
          <w:lang w:val="en-GB"/>
        </w:rPr>
        <w:t xml:space="preserve"> </w:t>
      </w:r>
      <w:r w:rsidRPr="00D10FEB">
        <w:rPr>
          <w:rFonts w:ascii="Arial Narrow" w:hAnsi="Arial Narrow"/>
          <w:b/>
          <w:bCs/>
          <w:sz w:val="20"/>
          <w:szCs w:val="20"/>
          <w:lang w:val="en-GB"/>
        </w:rPr>
        <w:t>Not assessed (method scope).</w:t>
      </w:r>
      <w:r w:rsidRPr="00D10FEB">
        <w:rPr>
          <w:rFonts w:ascii="Arial Narrow" w:hAnsi="Arial Narrow"/>
          <w:sz w:val="20"/>
          <w:szCs w:val="20"/>
          <w:lang w:val="en-GB"/>
        </w:rPr>
        <w:t xml:space="preserve"> </w:t>
      </w:r>
    </w:p>
    <w:p w:rsidR="00A93C52" w:rsidRPr="00D10FEB" w:rsidRDefault="00A93C52" w:rsidP="008167CC">
      <w:pPr>
        <w:spacing w:after="120"/>
        <w:rPr>
          <w:rFonts w:ascii="Arial Narrow" w:hAnsi="Arial Narrow"/>
          <w:sz w:val="20"/>
          <w:szCs w:val="20"/>
          <w:lang w:val="en-GB"/>
        </w:rPr>
      </w:pPr>
      <w:r w:rsidRPr="00D10FEB">
        <w:rPr>
          <w:rFonts w:ascii="Arial Narrow" w:hAnsi="Arial Narrow"/>
          <w:sz w:val="20"/>
          <w:szCs w:val="20"/>
          <w:lang w:val="en-GB"/>
        </w:rPr>
        <w:t xml:space="preserve">The </w:t>
      </w:r>
      <w:r w:rsidR="008167CC" w:rsidRPr="00D10FEB">
        <w:rPr>
          <w:rFonts w:ascii="Arial Narrow" w:hAnsi="Arial Narrow"/>
          <w:sz w:val="20"/>
          <w:szCs w:val="20"/>
          <w:lang w:val="en-GB"/>
        </w:rPr>
        <w:t>AD</w:t>
      </w:r>
      <w:r w:rsidRPr="00D10FEB">
        <w:rPr>
          <w:rFonts w:ascii="Arial Narrow" w:hAnsi="Arial Narrow"/>
          <w:sz w:val="20"/>
          <w:szCs w:val="20"/>
          <w:lang w:val="en-GB"/>
        </w:rPr>
        <w:t xml:space="preserve"> highlights Area of Support #3: Support to the management of EU financial assistance (IPA, Union Programmes, preparation for Cohesion Policy)</w:t>
      </w:r>
      <w:r w:rsidR="00E45573" w:rsidRPr="00D10FEB">
        <w:rPr>
          <w:rFonts w:ascii="Arial Narrow" w:hAnsi="Arial Narrow"/>
          <w:sz w:val="20"/>
          <w:szCs w:val="20"/>
          <w:lang w:val="en-GB"/>
        </w:rPr>
        <w:t>-</w:t>
      </w:r>
      <w:r w:rsidRPr="00D10FEB">
        <w:rPr>
          <w:rFonts w:ascii="Arial Narrow" w:hAnsi="Arial Narrow"/>
          <w:sz w:val="20"/>
          <w:szCs w:val="20"/>
          <w:lang w:val="en-GB"/>
        </w:rPr>
        <w:t>pure enabling capacity.</w:t>
      </w:r>
    </w:p>
    <w:p w:rsidR="008C5030" w:rsidRPr="00D10FEB" w:rsidRDefault="008C5030" w:rsidP="00A43FFD">
      <w:pPr>
        <w:pStyle w:val="Heading3"/>
        <w:shd w:val="clear" w:color="auto" w:fill="DAE9F7" w:themeFill="text2" w:themeFillTint="1A"/>
        <w:rPr>
          <w:rStyle w:val="Strong"/>
          <w:rFonts w:ascii="Franklin Gothic Heavy" w:hAnsi="Franklin Gothic Heavy"/>
          <w:sz w:val="24"/>
          <w:szCs w:val="24"/>
          <w:lang w:val="en-GB"/>
        </w:rPr>
      </w:pPr>
      <w:bookmarkStart w:id="10" w:name="_Toc221105720"/>
      <w:r w:rsidRPr="00D10FEB">
        <w:rPr>
          <w:rStyle w:val="Strong"/>
          <w:rFonts w:ascii="Franklin Gothic Heavy" w:hAnsi="Franklin Gothic Heavy"/>
          <w:sz w:val="24"/>
          <w:szCs w:val="24"/>
          <w:lang w:val="en-GB"/>
        </w:rPr>
        <w:t>Reform Agenda</w:t>
      </w:r>
      <w:bookmarkEnd w:id="10"/>
    </w:p>
    <w:p w:rsidR="008C5030" w:rsidRPr="00D10FEB" w:rsidRDefault="008C5030" w:rsidP="008C5030">
      <w:pPr>
        <w:pStyle w:val="p1"/>
        <w:spacing w:before="0" w:beforeAutospacing="0" w:after="120" w:afterAutospacing="0"/>
        <w:jc w:val="both"/>
        <w:rPr>
          <w:rFonts w:ascii="Arial Narrow" w:hAnsi="Arial Narrow"/>
          <w:sz w:val="20"/>
          <w:szCs w:val="20"/>
          <w:lang w:val="en-GB"/>
        </w:rPr>
      </w:pPr>
      <w:r w:rsidRPr="00D10FEB">
        <w:rPr>
          <w:rStyle w:val="s1"/>
          <w:rFonts w:ascii="Arial Narrow" w:eastAsiaTheme="majorEastAsia" w:hAnsi="Arial Narrow"/>
          <w:b/>
          <w:bCs/>
          <w:sz w:val="20"/>
          <w:szCs w:val="20"/>
          <w:lang w:val="en-GB"/>
        </w:rPr>
        <w:t>Pillar 1 – Blue Sustainable Economy (Partial):</w:t>
      </w:r>
      <w:r w:rsidRPr="00D10FEB">
        <w:rPr>
          <w:rFonts w:ascii="Arial Narrow" w:hAnsi="Arial Narrow"/>
          <w:sz w:val="20"/>
          <w:szCs w:val="20"/>
          <w:lang w:val="en-GB"/>
        </w:rPr>
        <w:t xml:space="preserve"> Albania’s RA has no explicit blue-economy reforms (fisheries, aquaculture, maritime services). Alignment is indirect via private-sector, R&amp;I, and green-technology measures that support Pillar 1’s innovation and sustainable-resource aims. To reach full alignment, embed marine/coastal initiatives (e.g., aquaculture, maritime services) consistent with EU standards.</w:t>
      </w:r>
    </w:p>
    <w:p w:rsidR="008C5030" w:rsidRPr="00D10FEB" w:rsidRDefault="008C5030" w:rsidP="008C5030">
      <w:pPr>
        <w:pStyle w:val="p1"/>
        <w:spacing w:before="0" w:beforeAutospacing="0" w:after="120" w:afterAutospacing="0"/>
        <w:jc w:val="both"/>
        <w:rPr>
          <w:rFonts w:ascii="Arial Narrow" w:hAnsi="Arial Narrow"/>
          <w:sz w:val="20"/>
          <w:szCs w:val="20"/>
          <w:lang w:val="en-GB"/>
        </w:rPr>
      </w:pPr>
      <w:r w:rsidRPr="00D10FEB">
        <w:rPr>
          <w:rStyle w:val="s1"/>
          <w:rFonts w:ascii="Arial Narrow" w:eastAsiaTheme="majorEastAsia" w:hAnsi="Arial Narrow"/>
          <w:b/>
          <w:bCs/>
          <w:sz w:val="20"/>
          <w:szCs w:val="20"/>
          <w:lang w:val="en-GB"/>
        </w:rPr>
        <w:t>Pillar 2 – Connecting the Region (Direct):</w:t>
      </w:r>
      <w:r w:rsidRPr="00D10FEB">
        <w:rPr>
          <w:rFonts w:ascii="Arial Narrow" w:hAnsi="Arial Narrow"/>
          <w:sz w:val="20"/>
          <w:szCs w:val="20"/>
          <w:lang w:val="en-GB"/>
        </w:rPr>
        <w:t xml:space="preserve"> Strong match in transport and energy. The RA deploys e-freight and ITS, adopts EU road/rail/logistics standards, and modernises road and rail in line with the Adriatic-Ionian multimodal corridors. Energy reforms advance renewables, efficiency, and Energy Community acquis (power exchange, RES auctions), plus grid improvements and loss reduction. Urban-nodes mobility could be specified further, but overall alignment is direct.</w:t>
      </w:r>
    </w:p>
    <w:p w:rsidR="008C5030" w:rsidRPr="00D10FEB" w:rsidRDefault="008C5030" w:rsidP="008C5030">
      <w:pPr>
        <w:pStyle w:val="p1"/>
        <w:spacing w:before="0" w:beforeAutospacing="0" w:after="120" w:afterAutospacing="0"/>
        <w:jc w:val="both"/>
        <w:rPr>
          <w:rFonts w:ascii="Arial Narrow" w:hAnsi="Arial Narrow"/>
          <w:sz w:val="20"/>
          <w:szCs w:val="20"/>
          <w:lang w:val="en-GB"/>
        </w:rPr>
      </w:pPr>
      <w:r w:rsidRPr="00D10FEB">
        <w:rPr>
          <w:rStyle w:val="s1"/>
          <w:rFonts w:ascii="Arial Narrow" w:eastAsiaTheme="majorEastAsia" w:hAnsi="Arial Narrow"/>
          <w:b/>
          <w:bCs/>
          <w:sz w:val="20"/>
          <w:szCs w:val="20"/>
          <w:lang w:val="en-GB"/>
        </w:rPr>
        <w:t>Pillar 3 – Environmental Quality (Partial):</w:t>
      </w:r>
      <w:r w:rsidRPr="00D10FEB">
        <w:rPr>
          <w:rFonts w:ascii="Arial Narrow" w:hAnsi="Arial Narrow"/>
          <w:sz w:val="20"/>
          <w:szCs w:val="20"/>
          <w:lang w:val="en-GB"/>
        </w:rPr>
        <w:t xml:space="preserve"> Environmental action is framed mainly through climate and energy. There are steps on air-pollution reduction and Green Agenda implementation, and ETS readiness supports climate goals. Core Pillar 3 areas—marine/coastal protection, coastal-zone management, and biodiversity—are not prominent. Adopting ICZM/Marine Spatial Planning and targeted biodiversity measures would strengthen alignment.</w:t>
      </w:r>
    </w:p>
    <w:p w:rsidR="008C5030" w:rsidRPr="00D10FEB" w:rsidRDefault="008C5030" w:rsidP="008C5030">
      <w:pPr>
        <w:pStyle w:val="p1"/>
        <w:spacing w:before="0" w:beforeAutospacing="0" w:after="120" w:afterAutospacing="0"/>
        <w:jc w:val="both"/>
        <w:rPr>
          <w:rFonts w:ascii="Arial Narrow" w:hAnsi="Arial Narrow"/>
          <w:sz w:val="20"/>
          <w:szCs w:val="20"/>
          <w:lang w:val="en-GB"/>
        </w:rPr>
      </w:pPr>
      <w:r w:rsidRPr="00D10FEB">
        <w:rPr>
          <w:rStyle w:val="s1"/>
          <w:rFonts w:ascii="Arial Narrow" w:eastAsiaTheme="majorEastAsia" w:hAnsi="Arial Narrow"/>
          <w:b/>
          <w:bCs/>
          <w:sz w:val="20"/>
          <w:szCs w:val="20"/>
          <w:lang w:val="en-GB"/>
        </w:rPr>
        <w:t>Pillar 4 – Sustainable Tourism (Indirect):</w:t>
      </w:r>
      <w:r w:rsidRPr="00D10FEB">
        <w:rPr>
          <w:rFonts w:ascii="Arial Narrow" w:hAnsi="Arial Narrow"/>
          <w:sz w:val="20"/>
          <w:szCs w:val="20"/>
          <w:lang w:val="en-GB"/>
        </w:rPr>
        <w:t xml:space="preserve"> Tourism is scarcely addressed in the RA. Indirect links come from business-environment and digital reforms that can benefit operators, but there is no dedicated sustainable-tourism strategy, product diversification, or cultural-heritage focus. Integration of EUSAIR Pillar 4 actions (green standards, heritage-based products, regional promotion) would convert indirect relevance into concrete alignment.</w:t>
      </w:r>
    </w:p>
    <w:p w:rsidR="008C5030" w:rsidRPr="00D10FEB" w:rsidRDefault="008C5030" w:rsidP="008C5030">
      <w:pPr>
        <w:pStyle w:val="p1"/>
        <w:spacing w:before="0" w:beforeAutospacing="0" w:after="120" w:afterAutospacing="0"/>
        <w:jc w:val="both"/>
        <w:rPr>
          <w:rFonts w:ascii="Arial Narrow" w:hAnsi="Arial Narrow"/>
          <w:sz w:val="20"/>
          <w:szCs w:val="20"/>
          <w:lang w:val="en-GB"/>
        </w:rPr>
      </w:pPr>
      <w:r w:rsidRPr="00D10FEB">
        <w:rPr>
          <w:rStyle w:val="s1"/>
          <w:rFonts w:ascii="Arial Narrow" w:eastAsiaTheme="majorEastAsia" w:hAnsi="Arial Narrow"/>
          <w:b/>
          <w:bCs/>
          <w:sz w:val="20"/>
          <w:szCs w:val="20"/>
          <w:lang w:val="en-GB"/>
        </w:rPr>
        <w:t>Pillar 5 – Improved Social Cohesion (Direct):</w:t>
      </w:r>
      <w:r w:rsidRPr="00D10FEB">
        <w:rPr>
          <w:rFonts w:ascii="Arial Narrow" w:hAnsi="Arial Narrow"/>
          <w:sz w:val="20"/>
          <w:szCs w:val="20"/>
          <w:lang w:val="en-GB"/>
        </w:rPr>
        <w:t xml:space="preserve"> The RA closely matches Pillar 5 through education modernisation, VET, active labour measures, social-protection strengthening, and gender-equality initiatives. These support youth engagement, future-ready skills, and equal opportunities, in line with EUSAIR social flagships and the European Pillar of Social Rights. Continued regional coordination on youth employment will deepen alignment.</w:t>
      </w:r>
    </w:p>
    <w:p w:rsidR="008C5030" w:rsidRPr="00D10FEB" w:rsidRDefault="008C5030" w:rsidP="008C5030">
      <w:pPr>
        <w:pStyle w:val="p1"/>
        <w:spacing w:before="0" w:beforeAutospacing="0" w:after="120" w:afterAutospacing="0"/>
        <w:jc w:val="both"/>
        <w:rPr>
          <w:rFonts w:ascii="Arial Narrow" w:hAnsi="Arial Narrow"/>
          <w:sz w:val="20"/>
          <w:szCs w:val="20"/>
          <w:lang w:val="en-GB"/>
        </w:rPr>
      </w:pPr>
      <w:r w:rsidRPr="00D10FEB">
        <w:rPr>
          <w:rStyle w:val="Strong"/>
          <w:rFonts w:ascii="Arial Narrow" w:eastAsiaTheme="majorEastAsia" w:hAnsi="Arial Narrow"/>
          <w:sz w:val="20"/>
          <w:szCs w:val="20"/>
          <w:lang w:val="en-GB"/>
        </w:rPr>
        <w:t>Albania — indicative WBIF investments.</w:t>
      </w:r>
      <w:r w:rsidRPr="00D10FEB">
        <w:rPr>
          <w:rFonts w:ascii="Arial Narrow" w:hAnsi="Arial Narrow"/>
          <w:sz w:val="20"/>
          <w:szCs w:val="20"/>
          <w:lang w:val="en-GB"/>
        </w:rPr>
        <w:t xml:space="preserve"> The pipeline prioritises: </w:t>
      </w:r>
      <w:r w:rsidRPr="00D10FEB">
        <w:rPr>
          <w:rStyle w:val="Strong"/>
          <w:rFonts w:ascii="Arial Narrow" w:eastAsiaTheme="majorEastAsia" w:hAnsi="Arial Narrow"/>
          <w:b w:val="0"/>
          <w:bCs w:val="0"/>
          <w:sz w:val="20"/>
          <w:szCs w:val="20"/>
          <w:lang w:val="en-GB"/>
        </w:rPr>
        <w:t>Corridor VIII railway</w:t>
      </w:r>
      <w:r w:rsidRPr="00D10FEB">
        <w:rPr>
          <w:rFonts w:ascii="Arial Narrow" w:hAnsi="Arial Narrow"/>
          <w:sz w:val="20"/>
          <w:szCs w:val="20"/>
          <w:lang w:val="en-GB"/>
        </w:rPr>
        <w:t xml:space="preserve"> and the </w:t>
      </w:r>
      <w:r w:rsidRPr="00D10FEB">
        <w:rPr>
          <w:rStyle w:val="Strong"/>
          <w:rFonts w:ascii="Arial Narrow" w:eastAsiaTheme="majorEastAsia" w:hAnsi="Arial Narrow"/>
          <w:b w:val="0"/>
          <w:bCs w:val="0"/>
          <w:sz w:val="20"/>
          <w:szCs w:val="20"/>
          <w:lang w:val="en-GB"/>
        </w:rPr>
        <w:t>Blue Corridor highway</w:t>
      </w:r>
      <w:r w:rsidRPr="00D10FEB">
        <w:rPr>
          <w:rFonts w:ascii="Arial Narrow" w:hAnsi="Arial Narrow"/>
          <w:sz w:val="20"/>
          <w:szCs w:val="20"/>
          <w:lang w:val="en-GB"/>
        </w:rPr>
        <w:t xml:space="preserve">; </w:t>
      </w:r>
      <w:r w:rsidRPr="00D10FEB">
        <w:rPr>
          <w:rStyle w:val="Strong"/>
          <w:rFonts w:ascii="Arial Narrow" w:eastAsiaTheme="majorEastAsia" w:hAnsi="Arial Narrow"/>
          <w:b w:val="0"/>
          <w:bCs w:val="0"/>
          <w:sz w:val="20"/>
          <w:szCs w:val="20"/>
          <w:lang w:val="en-GB"/>
        </w:rPr>
        <w:t>renewable energy</w:t>
      </w:r>
      <w:r w:rsidRPr="00D10FEB">
        <w:rPr>
          <w:rFonts w:ascii="Arial Narrow" w:hAnsi="Arial Narrow"/>
          <w:sz w:val="20"/>
          <w:szCs w:val="20"/>
          <w:lang w:val="en-GB"/>
        </w:rPr>
        <w:t xml:space="preserve"> and </w:t>
      </w:r>
      <w:r w:rsidRPr="00D10FEB">
        <w:rPr>
          <w:rStyle w:val="Strong"/>
          <w:rFonts w:ascii="Arial Narrow" w:eastAsiaTheme="majorEastAsia" w:hAnsi="Arial Narrow"/>
          <w:b w:val="0"/>
          <w:bCs w:val="0"/>
          <w:sz w:val="20"/>
          <w:szCs w:val="20"/>
          <w:lang w:val="en-GB"/>
        </w:rPr>
        <w:t>electricity transmission</w:t>
      </w:r>
      <w:r w:rsidRPr="00D10FEB">
        <w:rPr>
          <w:rFonts w:ascii="Arial Narrow" w:hAnsi="Arial Narrow"/>
          <w:sz w:val="20"/>
          <w:szCs w:val="20"/>
          <w:lang w:val="en-GB"/>
        </w:rPr>
        <w:t xml:space="preserve">; </w:t>
      </w:r>
      <w:r w:rsidRPr="00D10FEB">
        <w:rPr>
          <w:rStyle w:val="Strong"/>
          <w:rFonts w:ascii="Arial Narrow" w:eastAsiaTheme="majorEastAsia" w:hAnsi="Arial Narrow"/>
          <w:b w:val="0"/>
          <w:bCs w:val="0"/>
          <w:sz w:val="20"/>
          <w:szCs w:val="20"/>
          <w:lang w:val="en-GB"/>
        </w:rPr>
        <w:t>energy</w:t>
      </w:r>
      <w:r w:rsidRPr="00D10FEB">
        <w:rPr>
          <w:rStyle w:val="Strong"/>
          <w:rFonts w:ascii="Arial Narrow" w:eastAsiaTheme="majorEastAsia" w:hAnsi="Arial Narrow"/>
          <w:b w:val="0"/>
          <w:bCs w:val="0"/>
          <w:sz w:val="20"/>
          <w:szCs w:val="20"/>
          <w:lang w:val="en-GB"/>
        </w:rPr>
        <w:noBreakHyphen/>
        <w:t>efficiency in schools</w:t>
      </w:r>
      <w:r w:rsidRPr="00D10FEB">
        <w:rPr>
          <w:rFonts w:ascii="Arial Narrow" w:hAnsi="Arial Narrow"/>
          <w:sz w:val="20"/>
          <w:szCs w:val="20"/>
          <w:lang w:val="en-GB"/>
        </w:rPr>
        <w:t xml:space="preserve">; </w:t>
      </w:r>
      <w:proofErr w:type="gramStart"/>
      <w:r w:rsidRPr="00D10FEB">
        <w:rPr>
          <w:rFonts w:ascii="Arial Narrow" w:hAnsi="Arial Narrow"/>
          <w:sz w:val="20"/>
          <w:szCs w:val="20"/>
          <w:lang w:val="en-GB"/>
        </w:rPr>
        <w:t>plus</w:t>
      </w:r>
      <w:proofErr w:type="gramEnd"/>
      <w:r w:rsidRPr="00D10FEB">
        <w:rPr>
          <w:rFonts w:ascii="Arial Narrow" w:hAnsi="Arial Narrow"/>
          <w:sz w:val="20"/>
          <w:szCs w:val="20"/>
          <w:lang w:val="en-GB"/>
        </w:rPr>
        <w:t xml:space="preserve"> </w:t>
      </w:r>
      <w:r w:rsidRPr="00D10FEB">
        <w:rPr>
          <w:rStyle w:val="Strong"/>
          <w:rFonts w:ascii="Arial Narrow" w:eastAsiaTheme="majorEastAsia" w:hAnsi="Arial Narrow"/>
          <w:b w:val="0"/>
          <w:bCs w:val="0"/>
          <w:sz w:val="20"/>
          <w:szCs w:val="20"/>
          <w:lang w:val="en-GB"/>
        </w:rPr>
        <w:t>digital transition and broadband connectivity</w:t>
      </w:r>
      <w:r w:rsidRPr="00D10FEB">
        <w:rPr>
          <w:rFonts w:ascii="Arial Narrow" w:hAnsi="Arial Narrow"/>
          <w:sz w:val="20"/>
          <w:szCs w:val="20"/>
          <w:lang w:val="en-GB"/>
        </w:rPr>
        <w:t>. The government’s National Single Project Pipeline is the source for maturing these projects for WBIF calls.</w:t>
      </w:r>
    </w:p>
    <w:p w:rsidR="008C5030" w:rsidRPr="00D10FEB" w:rsidRDefault="008C5030" w:rsidP="008C5030">
      <w:pPr>
        <w:spacing w:after="120"/>
        <w:jc w:val="both"/>
        <w:rPr>
          <w:rFonts w:ascii="Arial Narrow" w:hAnsi="Arial Narrow"/>
          <w:i/>
          <w:iCs/>
          <w:sz w:val="20"/>
          <w:szCs w:val="20"/>
          <w:lang w:val="en-GB"/>
        </w:rPr>
      </w:pPr>
      <w:r w:rsidRPr="00D10FEB">
        <w:rPr>
          <w:rFonts w:ascii="Arial Narrow" w:hAnsi="Arial Narrow"/>
          <w:i/>
          <w:iCs/>
          <w:sz w:val="20"/>
          <w:szCs w:val="20"/>
          <w:lang w:val="en-GB"/>
        </w:rPr>
        <w:t>(Table 2 summarizes Albania’s alignment by pillar.)</w:t>
      </w:r>
    </w:p>
    <w:tbl>
      <w:tblPr>
        <w:tblStyle w:val="GridTable1Light-Accent1"/>
        <w:tblW w:w="0" w:type="auto"/>
        <w:tblLook w:val="04A0" w:firstRow="1" w:lastRow="0" w:firstColumn="1" w:lastColumn="0" w:noHBand="0" w:noVBand="1"/>
      </w:tblPr>
      <w:tblGrid>
        <w:gridCol w:w="1521"/>
        <w:gridCol w:w="3301"/>
        <w:gridCol w:w="1137"/>
        <w:gridCol w:w="3057"/>
      </w:tblGrid>
      <w:tr w:rsidR="008C5030" w:rsidRPr="00D10FEB" w:rsidTr="00DB6F7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8C5030" w:rsidRPr="00D10FEB" w:rsidRDefault="008C5030" w:rsidP="00DB6F78">
            <w:pPr>
              <w:spacing w:after="120"/>
              <w:rPr>
                <w:rFonts w:ascii="Arial Narrow" w:hAnsi="Arial Narrow"/>
                <w:sz w:val="20"/>
                <w:szCs w:val="20"/>
                <w:lang w:val="en-GB"/>
              </w:rPr>
            </w:pPr>
            <w:r w:rsidRPr="00D10FEB">
              <w:rPr>
                <w:rFonts w:ascii="Arial Narrow" w:hAnsi="Arial Narrow"/>
                <w:sz w:val="20"/>
                <w:szCs w:val="20"/>
                <w:lang w:val="en-GB"/>
              </w:rPr>
              <w:t>EUSAIR Pillar</w:t>
            </w:r>
          </w:p>
        </w:tc>
        <w:tc>
          <w:tcPr>
            <w:tcW w:w="0" w:type="auto"/>
            <w:vAlign w:val="center"/>
            <w:hideMark/>
          </w:tcPr>
          <w:p w:rsidR="008C5030" w:rsidRPr="00D10FEB" w:rsidRDefault="008C5030" w:rsidP="00DB6F78">
            <w:pPr>
              <w:spacing w:after="120"/>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Alignment with Albania RA</w:t>
            </w:r>
          </w:p>
        </w:tc>
        <w:tc>
          <w:tcPr>
            <w:tcW w:w="0" w:type="auto"/>
            <w:vAlign w:val="center"/>
            <w:hideMark/>
          </w:tcPr>
          <w:p w:rsidR="008C5030" w:rsidRPr="00D10FEB" w:rsidRDefault="008C5030" w:rsidP="00DB6F78">
            <w:pPr>
              <w:spacing w:after="120"/>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Alignment Type</w:t>
            </w:r>
          </w:p>
        </w:tc>
        <w:tc>
          <w:tcPr>
            <w:tcW w:w="0" w:type="auto"/>
            <w:vAlign w:val="center"/>
            <w:hideMark/>
          </w:tcPr>
          <w:p w:rsidR="008C5030" w:rsidRPr="00D10FEB" w:rsidRDefault="008C5030" w:rsidP="00DB6F78">
            <w:pPr>
              <w:spacing w:after="120"/>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Examples of RA Reforms</w:t>
            </w:r>
          </w:p>
        </w:tc>
      </w:tr>
      <w:tr w:rsidR="008C5030" w:rsidRPr="00D10FEB" w:rsidTr="00DB6F78">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8C5030" w:rsidRPr="00D10FEB" w:rsidRDefault="008C5030" w:rsidP="00DB6F78">
            <w:pPr>
              <w:spacing w:after="120"/>
              <w:rPr>
                <w:rFonts w:ascii="Arial Narrow" w:hAnsi="Arial Narrow"/>
                <w:b w:val="0"/>
                <w:bCs w:val="0"/>
                <w:sz w:val="20"/>
                <w:szCs w:val="20"/>
                <w:lang w:val="en-GB"/>
              </w:rPr>
            </w:pPr>
            <w:r w:rsidRPr="00D10FEB">
              <w:rPr>
                <w:rFonts w:ascii="Arial Narrow" w:hAnsi="Arial Narrow"/>
                <w:b w:val="0"/>
                <w:bCs w:val="0"/>
                <w:sz w:val="20"/>
                <w:szCs w:val="20"/>
                <w:lang w:val="en-GB"/>
              </w:rPr>
              <w:t>P1. Blue Sustainable Economy</w:t>
            </w:r>
          </w:p>
        </w:tc>
        <w:tc>
          <w:tcPr>
            <w:tcW w:w="0" w:type="auto"/>
            <w:vAlign w:val="center"/>
            <w:hideMark/>
          </w:tcPr>
          <w:p w:rsidR="008C5030" w:rsidRPr="00D10FEB" w:rsidRDefault="008C5030" w:rsidP="00DB6F7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Partially covered via innovation &amp; green economy reforms; no direct blue economy measures in RA.</w:t>
            </w:r>
          </w:p>
        </w:tc>
        <w:tc>
          <w:tcPr>
            <w:tcW w:w="0" w:type="auto"/>
            <w:vAlign w:val="center"/>
            <w:hideMark/>
          </w:tcPr>
          <w:p w:rsidR="008C5030" w:rsidRPr="00D10FEB" w:rsidRDefault="008C5030" w:rsidP="00DB6F7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 xml:space="preserve">Partial </w:t>
            </w:r>
          </w:p>
        </w:tc>
        <w:tc>
          <w:tcPr>
            <w:tcW w:w="0" w:type="auto"/>
            <w:vAlign w:val="center"/>
            <w:hideMark/>
          </w:tcPr>
          <w:p w:rsidR="008C5030" w:rsidRPr="00D10FEB" w:rsidRDefault="008C5030" w:rsidP="00DB6F7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R&amp;D strategy to foster innovation; Green technology incentives (indirect support to blue tech).</w:t>
            </w:r>
          </w:p>
        </w:tc>
      </w:tr>
      <w:tr w:rsidR="008C5030" w:rsidRPr="00D10FEB" w:rsidTr="00DB6F78">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8C5030" w:rsidRPr="00D10FEB" w:rsidRDefault="008C5030" w:rsidP="00DB6F78">
            <w:pPr>
              <w:spacing w:after="120"/>
              <w:rPr>
                <w:rFonts w:ascii="Arial Narrow" w:hAnsi="Arial Narrow"/>
                <w:b w:val="0"/>
                <w:bCs w:val="0"/>
                <w:sz w:val="20"/>
                <w:szCs w:val="20"/>
                <w:lang w:val="en-GB"/>
              </w:rPr>
            </w:pPr>
            <w:r w:rsidRPr="00D10FEB">
              <w:rPr>
                <w:rFonts w:ascii="Arial Narrow" w:hAnsi="Arial Narrow"/>
                <w:b w:val="0"/>
                <w:bCs w:val="0"/>
                <w:sz w:val="20"/>
                <w:szCs w:val="20"/>
                <w:lang w:val="en-GB"/>
              </w:rPr>
              <w:t>P2. Connecting the Region</w:t>
            </w:r>
          </w:p>
        </w:tc>
        <w:tc>
          <w:tcPr>
            <w:tcW w:w="0" w:type="auto"/>
            <w:vAlign w:val="center"/>
            <w:hideMark/>
          </w:tcPr>
          <w:p w:rsidR="008C5030" w:rsidRPr="00D10FEB" w:rsidRDefault="008C5030" w:rsidP="00DB6F7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Strongly reflected in transport (ITS, corridor development) and energy (renewables, market integration) reforms.</w:t>
            </w:r>
          </w:p>
        </w:tc>
        <w:tc>
          <w:tcPr>
            <w:tcW w:w="0" w:type="auto"/>
            <w:vAlign w:val="center"/>
            <w:hideMark/>
          </w:tcPr>
          <w:p w:rsidR="008C5030" w:rsidRPr="00D10FEB" w:rsidRDefault="008C5030" w:rsidP="00DB6F7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lang w:val="en-GB"/>
              </w:rPr>
            </w:pPr>
            <w:r w:rsidRPr="00D10FEB">
              <w:rPr>
                <w:rFonts w:ascii="Arial Narrow" w:hAnsi="Arial Narrow"/>
                <w:color w:val="000000"/>
                <w:sz w:val="20"/>
                <w:szCs w:val="20"/>
                <w:lang w:val="en-GB"/>
              </w:rPr>
              <w:t xml:space="preserve">Direct </w:t>
            </w:r>
          </w:p>
        </w:tc>
        <w:tc>
          <w:tcPr>
            <w:tcW w:w="0" w:type="auto"/>
            <w:vAlign w:val="center"/>
            <w:hideMark/>
          </w:tcPr>
          <w:p w:rsidR="008C5030" w:rsidRPr="00D10FEB" w:rsidRDefault="008C5030" w:rsidP="00DB6F7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ITS deployment on road/rail; renewable energy auctions; power interconnection projects.</w:t>
            </w:r>
          </w:p>
        </w:tc>
      </w:tr>
      <w:tr w:rsidR="008C5030" w:rsidRPr="00D10FEB" w:rsidTr="00DB6F78">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8C5030" w:rsidRPr="00D10FEB" w:rsidRDefault="008C5030" w:rsidP="00DB6F78">
            <w:pPr>
              <w:spacing w:after="120"/>
              <w:rPr>
                <w:rFonts w:ascii="Arial Narrow" w:hAnsi="Arial Narrow"/>
                <w:b w:val="0"/>
                <w:bCs w:val="0"/>
                <w:sz w:val="20"/>
                <w:szCs w:val="20"/>
                <w:lang w:val="en-GB"/>
              </w:rPr>
            </w:pPr>
            <w:r w:rsidRPr="00D10FEB">
              <w:rPr>
                <w:rFonts w:ascii="Arial Narrow" w:hAnsi="Arial Narrow"/>
                <w:b w:val="0"/>
                <w:bCs w:val="0"/>
                <w:sz w:val="20"/>
                <w:szCs w:val="20"/>
                <w:lang w:val="en-GB"/>
              </w:rPr>
              <w:t>P3. Environmental Quality</w:t>
            </w:r>
          </w:p>
        </w:tc>
        <w:tc>
          <w:tcPr>
            <w:tcW w:w="0" w:type="auto"/>
            <w:vAlign w:val="center"/>
            <w:hideMark/>
          </w:tcPr>
          <w:p w:rsidR="008C5030" w:rsidRPr="00D10FEB" w:rsidRDefault="008C5030" w:rsidP="00DB6F7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Climate action present, but biodiversity/marine actions missing; environment addressed mostly through energy/climate policy.</w:t>
            </w:r>
          </w:p>
        </w:tc>
        <w:tc>
          <w:tcPr>
            <w:tcW w:w="0" w:type="auto"/>
            <w:vAlign w:val="center"/>
            <w:hideMark/>
          </w:tcPr>
          <w:p w:rsidR="008C5030" w:rsidRPr="00D10FEB" w:rsidRDefault="008C5030" w:rsidP="00DB6F7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 xml:space="preserve">Partial </w:t>
            </w:r>
          </w:p>
        </w:tc>
        <w:tc>
          <w:tcPr>
            <w:tcW w:w="0" w:type="auto"/>
            <w:vAlign w:val="center"/>
            <w:hideMark/>
          </w:tcPr>
          <w:p w:rsidR="008C5030" w:rsidRPr="00D10FEB" w:rsidRDefault="008C5030" w:rsidP="00DB6F7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National plan for emission reductions; air pollution monitoring (no coastal/marine focus).</w:t>
            </w:r>
          </w:p>
        </w:tc>
      </w:tr>
      <w:tr w:rsidR="008C5030" w:rsidRPr="00D10FEB" w:rsidTr="00DB6F78">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8C5030" w:rsidRPr="00D10FEB" w:rsidRDefault="008C5030" w:rsidP="00DB6F78">
            <w:pPr>
              <w:spacing w:after="120"/>
              <w:rPr>
                <w:rFonts w:ascii="Arial Narrow" w:hAnsi="Arial Narrow"/>
                <w:b w:val="0"/>
                <w:bCs w:val="0"/>
                <w:sz w:val="20"/>
                <w:szCs w:val="20"/>
                <w:lang w:val="en-GB"/>
              </w:rPr>
            </w:pPr>
            <w:r w:rsidRPr="00D10FEB">
              <w:rPr>
                <w:rFonts w:ascii="Arial Narrow" w:hAnsi="Arial Narrow"/>
                <w:b w:val="0"/>
                <w:bCs w:val="0"/>
                <w:sz w:val="20"/>
                <w:szCs w:val="20"/>
                <w:lang w:val="en-GB"/>
              </w:rPr>
              <w:t>P4. Sustainable Tourism</w:t>
            </w:r>
          </w:p>
        </w:tc>
        <w:tc>
          <w:tcPr>
            <w:tcW w:w="0" w:type="auto"/>
            <w:vAlign w:val="center"/>
            <w:hideMark/>
          </w:tcPr>
          <w:p w:rsidR="008C5030" w:rsidRPr="00D10FEB" w:rsidRDefault="008C5030" w:rsidP="00DB6F7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Largely absent; any support to tourism is indirect via general economic reforms (business climate, digital infrastructure).</w:t>
            </w:r>
          </w:p>
        </w:tc>
        <w:tc>
          <w:tcPr>
            <w:tcW w:w="0" w:type="auto"/>
            <w:vAlign w:val="center"/>
            <w:hideMark/>
          </w:tcPr>
          <w:p w:rsidR="008C5030" w:rsidRPr="00D10FEB" w:rsidRDefault="008C5030" w:rsidP="00DB6F7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Indirect Relevance</w:t>
            </w:r>
          </w:p>
        </w:tc>
        <w:tc>
          <w:tcPr>
            <w:tcW w:w="0" w:type="auto"/>
            <w:vAlign w:val="center"/>
            <w:hideMark/>
          </w:tcPr>
          <w:p w:rsidR="008C5030" w:rsidRPr="00D10FEB" w:rsidRDefault="008C5030" w:rsidP="00DB6F7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Simplifying permits for businesses (helps tourism SMEs); e-governance (indirectly benefits tourism services).</w:t>
            </w:r>
          </w:p>
        </w:tc>
      </w:tr>
      <w:tr w:rsidR="008C5030" w:rsidRPr="00D10FEB" w:rsidTr="00DB6F78">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8C5030" w:rsidRPr="00D10FEB" w:rsidRDefault="008C5030" w:rsidP="00DB6F78">
            <w:pPr>
              <w:spacing w:after="120"/>
              <w:rPr>
                <w:rFonts w:ascii="Arial Narrow" w:hAnsi="Arial Narrow"/>
                <w:b w:val="0"/>
                <w:bCs w:val="0"/>
                <w:sz w:val="20"/>
                <w:szCs w:val="20"/>
                <w:lang w:val="en-GB"/>
              </w:rPr>
            </w:pPr>
            <w:r w:rsidRPr="00D10FEB">
              <w:rPr>
                <w:rFonts w:ascii="Arial Narrow" w:hAnsi="Arial Narrow"/>
                <w:b w:val="0"/>
                <w:bCs w:val="0"/>
                <w:sz w:val="20"/>
                <w:szCs w:val="20"/>
                <w:lang w:val="en-GB"/>
              </w:rPr>
              <w:t>P5. Social Cohesion</w:t>
            </w:r>
          </w:p>
        </w:tc>
        <w:tc>
          <w:tcPr>
            <w:tcW w:w="0" w:type="auto"/>
            <w:vAlign w:val="center"/>
            <w:hideMark/>
          </w:tcPr>
          <w:p w:rsidR="008C5030" w:rsidRPr="00D10FEB" w:rsidRDefault="008C5030" w:rsidP="00DB6F7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Broad coverage of education, employment, social inclusion reforms in RA, matching pillar goals on skills, youth, equal opportunity.</w:t>
            </w:r>
          </w:p>
        </w:tc>
        <w:tc>
          <w:tcPr>
            <w:tcW w:w="0" w:type="auto"/>
            <w:vAlign w:val="center"/>
            <w:hideMark/>
          </w:tcPr>
          <w:p w:rsidR="008C5030" w:rsidRPr="00D10FEB" w:rsidRDefault="008C5030" w:rsidP="00DB6F7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 xml:space="preserve">Direct </w:t>
            </w:r>
          </w:p>
        </w:tc>
        <w:tc>
          <w:tcPr>
            <w:tcW w:w="0" w:type="auto"/>
            <w:vAlign w:val="center"/>
            <w:hideMark/>
          </w:tcPr>
          <w:p w:rsidR="008C5030" w:rsidRPr="00D10FEB" w:rsidRDefault="008C5030" w:rsidP="00DB6F7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VET education reform; youth employment programs; women’s entrepreneurship support; expansion of social safety nets.</w:t>
            </w:r>
          </w:p>
        </w:tc>
      </w:tr>
    </w:tbl>
    <w:p w:rsidR="00A93C52" w:rsidRPr="00D10FEB" w:rsidRDefault="00A93C52" w:rsidP="00A43FFD">
      <w:pPr>
        <w:pStyle w:val="Heading2"/>
        <w:rPr>
          <w:rFonts w:eastAsia="Times New Roman"/>
          <w:lang w:val="en-GB" w:eastAsia="en-GB"/>
        </w:rPr>
      </w:pPr>
      <w:bookmarkStart w:id="11" w:name="_Toc221105721"/>
      <w:r w:rsidRPr="00D10FEB">
        <w:rPr>
          <w:rFonts w:eastAsia="Times New Roman"/>
          <w:lang w:val="en-GB" w:eastAsia="en-GB"/>
        </w:rPr>
        <w:t>B</w:t>
      </w:r>
      <w:r w:rsidR="008167CC" w:rsidRPr="00D10FEB">
        <w:rPr>
          <w:rFonts w:eastAsia="Times New Roman"/>
          <w:lang w:val="en-GB" w:eastAsia="en-GB"/>
        </w:rPr>
        <w:t xml:space="preserve">osnia and </w:t>
      </w:r>
      <w:r w:rsidRPr="00D10FEB">
        <w:rPr>
          <w:rFonts w:eastAsia="Times New Roman"/>
          <w:lang w:val="en-GB" w:eastAsia="en-GB"/>
        </w:rPr>
        <w:t>H</w:t>
      </w:r>
      <w:r w:rsidR="008167CC" w:rsidRPr="00D10FEB">
        <w:rPr>
          <w:rFonts w:eastAsia="Times New Roman"/>
          <w:lang w:val="en-GB" w:eastAsia="en-GB"/>
        </w:rPr>
        <w:t>erzegovina</w:t>
      </w:r>
      <w:bookmarkEnd w:id="11"/>
      <w:r w:rsidRPr="00D10FEB">
        <w:rPr>
          <w:rFonts w:eastAsia="Times New Roman"/>
          <w:lang w:val="en-GB" w:eastAsia="en-GB"/>
        </w:rPr>
        <w:t xml:space="preserve"> </w:t>
      </w:r>
    </w:p>
    <w:p w:rsidR="008C5030" w:rsidRPr="00D10FEB" w:rsidRDefault="008C5030" w:rsidP="00A43FFD">
      <w:pPr>
        <w:pStyle w:val="Heading3"/>
        <w:shd w:val="clear" w:color="auto" w:fill="DAE9F7" w:themeFill="text2" w:themeFillTint="1A"/>
        <w:rPr>
          <w:rStyle w:val="Strong"/>
          <w:rFonts w:ascii="Franklin Gothic Heavy" w:hAnsi="Franklin Gothic Heavy"/>
          <w:sz w:val="24"/>
          <w:szCs w:val="24"/>
          <w:lang w:val="en-GB"/>
        </w:rPr>
      </w:pPr>
      <w:bookmarkStart w:id="12" w:name="_Toc221105722"/>
      <w:r w:rsidRPr="00D10FEB">
        <w:rPr>
          <w:rStyle w:val="Strong"/>
          <w:rFonts w:ascii="Franklin Gothic Heavy" w:hAnsi="Franklin Gothic Heavy"/>
          <w:sz w:val="24"/>
          <w:szCs w:val="24"/>
          <w:lang w:val="en-GB"/>
        </w:rPr>
        <w:t>IPA 2025 - 2027</w:t>
      </w:r>
      <w:bookmarkEnd w:id="12"/>
    </w:p>
    <w:p w:rsidR="00A93C52" w:rsidRPr="00D10FEB" w:rsidRDefault="00A93C52" w:rsidP="00436823">
      <w:pPr>
        <w:rPr>
          <w:rFonts w:ascii="Arial Narrow" w:hAnsi="Arial Narrow"/>
          <w:b/>
          <w:bCs/>
          <w:lang w:val="en-GB"/>
        </w:rPr>
      </w:pPr>
      <w:r w:rsidRPr="00D10FEB">
        <w:rPr>
          <w:rFonts w:ascii="Arial Narrow" w:hAnsi="Arial Narrow"/>
          <w:b/>
          <w:bCs/>
          <w:lang w:val="en-GB"/>
        </w:rPr>
        <w:t xml:space="preserve">Action Document for the multiannual action in favour of BiH 2025–2027 (2025–2027). </w:t>
      </w:r>
    </w:p>
    <w:p w:rsidR="00A93C52" w:rsidRPr="00D10FEB" w:rsidRDefault="00A93C52" w:rsidP="008167CC">
      <w:pPr>
        <w:spacing w:after="120"/>
        <w:rPr>
          <w:rFonts w:ascii="Arial Narrow" w:hAnsi="Arial Narrow"/>
          <w:sz w:val="20"/>
          <w:szCs w:val="20"/>
          <w:lang w:val="en-GB"/>
        </w:rPr>
      </w:pPr>
      <w:r w:rsidRPr="00D10FEB">
        <w:rPr>
          <w:rFonts w:ascii="Arial Narrow" w:hAnsi="Arial Narrow"/>
          <w:sz w:val="20"/>
          <w:szCs w:val="20"/>
          <w:lang w:val="en-GB"/>
        </w:rPr>
        <w:t xml:space="preserve">Window(s) covered in the AD: Window 1 (rule of law, rights, democracy); Window 2 (governance, acquis alignment); Window 3 (green agenda: environment, climate, waste); Window 4 (competitiveness &amp; inclusive growth: health, civil protection, mining/CRM, agriculture &amp; fisheries). </w:t>
      </w:r>
    </w:p>
    <w:p w:rsidR="00A93C52" w:rsidRPr="00D10FEB" w:rsidRDefault="00590739" w:rsidP="00B821AA">
      <w:pPr>
        <w:spacing w:after="120"/>
        <w:rPr>
          <w:rFonts w:ascii="Arial Narrow" w:hAnsi="Arial Narrow"/>
          <w:sz w:val="20"/>
          <w:szCs w:val="20"/>
          <w:lang w:val="en-GB"/>
        </w:rPr>
      </w:pPr>
      <w:r w:rsidRPr="00D10FEB">
        <w:rPr>
          <w:rFonts w:ascii="Arial Narrow" w:hAnsi="Arial Narrow"/>
          <w:sz w:val="20"/>
          <w:szCs w:val="20"/>
          <w:lang w:val="en-GB"/>
        </w:rPr>
        <w:t>Total EU contribution</w:t>
      </w:r>
      <w:r w:rsidR="00A93C52" w:rsidRPr="00D10FEB">
        <w:rPr>
          <w:rFonts w:ascii="Arial Narrow" w:hAnsi="Arial Narrow"/>
          <w:sz w:val="20"/>
          <w:szCs w:val="20"/>
          <w:lang w:val="en-GB"/>
        </w:rPr>
        <w:t xml:space="preserve">: EUR 140,500,000 </w:t>
      </w:r>
    </w:p>
    <w:p w:rsidR="00A93C52" w:rsidRPr="00D10FEB" w:rsidRDefault="00A93C52" w:rsidP="003E503C">
      <w:pPr>
        <w:rPr>
          <w:rFonts w:ascii="Arial Narrow" w:hAnsi="Arial Narrow"/>
          <w:b/>
          <w:bCs/>
          <w:sz w:val="20"/>
          <w:szCs w:val="20"/>
          <w:lang w:val="en-GB"/>
        </w:rPr>
      </w:pPr>
      <w:r w:rsidRPr="00D10FEB">
        <w:rPr>
          <w:rFonts w:ascii="Arial Narrow" w:hAnsi="Arial Narrow"/>
          <w:b/>
          <w:bCs/>
          <w:sz w:val="20"/>
          <w:szCs w:val="20"/>
          <w:lang w:val="en-GB"/>
        </w:rPr>
        <w:t>Degree of alignment (by pillar)</w:t>
      </w:r>
    </w:p>
    <w:p w:rsidR="00A93C52" w:rsidRPr="00D10FEB" w:rsidRDefault="00A93C52" w:rsidP="008167CC">
      <w:pPr>
        <w:numPr>
          <w:ilvl w:val="0"/>
          <w:numId w:val="15"/>
        </w:numPr>
        <w:spacing w:after="120"/>
        <w:rPr>
          <w:rFonts w:ascii="Arial Narrow" w:hAnsi="Arial Narrow"/>
          <w:sz w:val="20"/>
          <w:szCs w:val="20"/>
          <w:lang w:val="en-GB"/>
        </w:rPr>
      </w:pPr>
      <w:r w:rsidRPr="00D10FEB">
        <w:rPr>
          <w:rFonts w:ascii="Arial Narrow" w:hAnsi="Arial Narrow"/>
          <w:b/>
          <w:bCs/>
          <w:sz w:val="20"/>
          <w:szCs w:val="20"/>
          <w:lang w:val="en-GB"/>
        </w:rPr>
        <w:t xml:space="preserve">P3 Environmental Quality </w:t>
      </w:r>
      <w:r w:rsidR="00E45573" w:rsidRPr="00D10FEB">
        <w:rPr>
          <w:rFonts w:ascii="Arial Narrow" w:hAnsi="Arial Narrow"/>
          <w:b/>
          <w:bCs/>
          <w:sz w:val="20"/>
          <w:szCs w:val="20"/>
          <w:lang w:val="en-GB"/>
        </w:rPr>
        <w:t>-</w:t>
      </w:r>
      <w:r w:rsidRPr="00D10FEB">
        <w:rPr>
          <w:rFonts w:ascii="Arial Narrow" w:hAnsi="Arial Narrow"/>
          <w:b/>
          <w:bCs/>
          <w:sz w:val="20"/>
          <w:szCs w:val="20"/>
          <w:lang w:val="en-GB"/>
        </w:rPr>
        <w:t xml:space="preserve"> Partial alignment.</w:t>
      </w:r>
      <w:r w:rsidRPr="00D10FEB">
        <w:rPr>
          <w:rFonts w:ascii="Arial Narrow" w:hAnsi="Arial Narrow"/>
          <w:sz w:val="20"/>
          <w:szCs w:val="20"/>
          <w:lang w:val="en-GB"/>
        </w:rPr>
        <w:t xml:space="preserve"> The AD’s MRV/ETS readiness, waste systems and nature-protection reforms contribute to pollution reduction (incl. inland waters) and biodiversity management, which fits EUSAIR P3 actions (esp. 3.1.4). </w:t>
      </w:r>
    </w:p>
    <w:p w:rsidR="00A93C52" w:rsidRPr="00D10FEB" w:rsidRDefault="00A93C52" w:rsidP="008167CC">
      <w:pPr>
        <w:numPr>
          <w:ilvl w:val="0"/>
          <w:numId w:val="15"/>
        </w:numPr>
        <w:spacing w:after="120"/>
        <w:rPr>
          <w:rFonts w:ascii="Arial Narrow" w:hAnsi="Arial Narrow"/>
          <w:sz w:val="20"/>
          <w:szCs w:val="20"/>
          <w:lang w:val="en-GB"/>
        </w:rPr>
      </w:pPr>
      <w:r w:rsidRPr="00D10FEB">
        <w:rPr>
          <w:rFonts w:ascii="Arial Narrow" w:hAnsi="Arial Narrow"/>
          <w:b/>
          <w:bCs/>
          <w:sz w:val="20"/>
          <w:szCs w:val="20"/>
          <w:lang w:val="en-GB"/>
        </w:rPr>
        <w:t xml:space="preserve">P2 Connecting the Region </w:t>
      </w:r>
      <w:r w:rsidR="00E45573" w:rsidRPr="00D10FEB">
        <w:rPr>
          <w:rFonts w:ascii="Arial Narrow" w:hAnsi="Arial Narrow"/>
          <w:b/>
          <w:bCs/>
          <w:sz w:val="20"/>
          <w:szCs w:val="20"/>
          <w:lang w:val="en-GB"/>
        </w:rPr>
        <w:t>-</w:t>
      </w:r>
      <w:r w:rsidRPr="00D10FEB">
        <w:rPr>
          <w:rFonts w:ascii="Arial Narrow" w:hAnsi="Arial Narrow"/>
          <w:b/>
          <w:bCs/>
          <w:sz w:val="20"/>
          <w:szCs w:val="20"/>
          <w:lang w:val="en-GB"/>
        </w:rPr>
        <w:t xml:space="preserve"> Complementary.</w:t>
      </w:r>
      <w:r w:rsidRPr="00D10FEB">
        <w:rPr>
          <w:rFonts w:ascii="Arial Narrow" w:hAnsi="Arial Narrow"/>
          <w:sz w:val="20"/>
          <w:szCs w:val="20"/>
          <w:lang w:val="en-GB"/>
        </w:rPr>
        <w:t xml:space="preserve"> Decarbonisation/green-financing support is helpful, but there’s no direct action on regional energy networks or corridors. </w:t>
      </w:r>
    </w:p>
    <w:p w:rsidR="00A93C52" w:rsidRPr="00D10FEB" w:rsidRDefault="00A93C52" w:rsidP="008167CC">
      <w:pPr>
        <w:numPr>
          <w:ilvl w:val="0"/>
          <w:numId w:val="15"/>
        </w:numPr>
        <w:spacing w:after="120"/>
        <w:rPr>
          <w:rFonts w:ascii="Arial Narrow" w:hAnsi="Arial Narrow"/>
          <w:sz w:val="20"/>
          <w:szCs w:val="20"/>
          <w:lang w:val="en-GB"/>
        </w:rPr>
      </w:pPr>
      <w:r w:rsidRPr="00D10FEB">
        <w:rPr>
          <w:rFonts w:ascii="Arial Narrow" w:hAnsi="Arial Narrow"/>
          <w:b/>
          <w:bCs/>
          <w:sz w:val="20"/>
          <w:szCs w:val="20"/>
          <w:lang w:val="en-GB"/>
        </w:rPr>
        <w:t xml:space="preserve">P5 Social Cohesion </w:t>
      </w:r>
      <w:r w:rsidR="00E45573" w:rsidRPr="00D10FEB">
        <w:rPr>
          <w:rFonts w:ascii="Arial Narrow" w:hAnsi="Arial Narrow"/>
          <w:b/>
          <w:bCs/>
          <w:sz w:val="20"/>
          <w:szCs w:val="20"/>
          <w:lang w:val="en-GB"/>
        </w:rPr>
        <w:t>-</w:t>
      </w:r>
      <w:r w:rsidRPr="00D10FEB">
        <w:rPr>
          <w:rFonts w:ascii="Arial Narrow" w:hAnsi="Arial Narrow"/>
          <w:b/>
          <w:bCs/>
          <w:sz w:val="20"/>
          <w:szCs w:val="20"/>
          <w:lang w:val="en-GB"/>
        </w:rPr>
        <w:t xml:space="preserve"> Complementary.</w:t>
      </w:r>
      <w:r w:rsidRPr="00D10FEB">
        <w:rPr>
          <w:rFonts w:ascii="Arial Narrow" w:hAnsi="Arial Narrow"/>
          <w:sz w:val="20"/>
          <w:szCs w:val="20"/>
          <w:lang w:val="en-GB"/>
        </w:rPr>
        <w:t xml:space="preserve"> Health-prevention pathways enhance social outcomes, but do not implement P5 skills/youth/equalities actions. </w:t>
      </w:r>
    </w:p>
    <w:p w:rsidR="00B821AA" w:rsidRPr="00D10FEB" w:rsidRDefault="00A93C52" w:rsidP="008167CC">
      <w:pPr>
        <w:numPr>
          <w:ilvl w:val="0"/>
          <w:numId w:val="15"/>
        </w:numPr>
        <w:spacing w:after="120"/>
        <w:rPr>
          <w:rFonts w:ascii="Arial Narrow" w:hAnsi="Arial Narrow"/>
          <w:b/>
          <w:bCs/>
          <w:sz w:val="20"/>
          <w:szCs w:val="20"/>
          <w:lang w:val="en-GB"/>
        </w:rPr>
      </w:pPr>
      <w:r w:rsidRPr="00D10FEB">
        <w:rPr>
          <w:rFonts w:ascii="Arial Narrow" w:hAnsi="Arial Narrow"/>
          <w:b/>
          <w:bCs/>
          <w:sz w:val="20"/>
          <w:szCs w:val="20"/>
          <w:lang w:val="en-GB"/>
        </w:rPr>
        <w:t>P1 Blue</w:t>
      </w:r>
      <w:r w:rsidR="00B821AA" w:rsidRPr="00D10FEB">
        <w:rPr>
          <w:rFonts w:ascii="Arial Narrow" w:hAnsi="Arial Narrow"/>
          <w:b/>
          <w:bCs/>
          <w:sz w:val="20"/>
          <w:szCs w:val="20"/>
          <w:lang w:val="en-GB"/>
        </w:rPr>
        <w:t xml:space="preserve"> - No alignment</w:t>
      </w:r>
      <w:r w:rsidRPr="00D10FEB">
        <w:rPr>
          <w:rFonts w:ascii="Arial Narrow" w:hAnsi="Arial Narrow"/>
          <w:b/>
          <w:bCs/>
          <w:sz w:val="20"/>
          <w:szCs w:val="20"/>
          <w:lang w:val="en-GB"/>
        </w:rPr>
        <w:t xml:space="preserve">; </w:t>
      </w:r>
    </w:p>
    <w:p w:rsidR="008C5030" w:rsidRPr="00D10FEB" w:rsidRDefault="00A93C52" w:rsidP="008C5030">
      <w:pPr>
        <w:numPr>
          <w:ilvl w:val="0"/>
          <w:numId w:val="15"/>
        </w:numPr>
        <w:spacing w:after="120"/>
        <w:rPr>
          <w:rFonts w:ascii="Arial Narrow" w:hAnsi="Arial Narrow"/>
          <w:b/>
          <w:bCs/>
          <w:sz w:val="20"/>
          <w:szCs w:val="20"/>
          <w:lang w:val="en-GB"/>
        </w:rPr>
      </w:pPr>
      <w:r w:rsidRPr="00D10FEB">
        <w:rPr>
          <w:rFonts w:ascii="Arial Narrow" w:hAnsi="Arial Narrow"/>
          <w:b/>
          <w:bCs/>
          <w:sz w:val="20"/>
          <w:szCs w:val="20"/>
          <w:lang w:val="en-GB"/>
        </w:rPr>
        <w:t xml:space="preserve">P4 Tourism </w:t>
      </w:r>
      <w:r w:rsidR="00E45573" w:rsidRPr="00D10FEB">
        <w:rPr>
          <w:rFonts w:ascii="Arial Narrow" w:hAnsi="Arial Narrow"/>
          <w:b/>
          <w:bCs/>
          <w:sz w:val="20"/>
          <w:szCs w:val="20"/>
          <w:lang w:val="en-GB"/>
        </w:rPr>
        <w:t>-</w:t>
      </w:r>
      <w:r w:rsidRPr="00D10FEB">
        <w:rPr>
          <w:rFonts w:ascii="Arial Narrow" w:hAnsi="Arial Narrow"/>
          <w:b/>
          <w:bCs/>
          <w:sz w:val="20"/>
          <w:szCs w:val="20"/>
          <w:lang w:val="en-GB"/>
        </w:rPr>
        <w:t xml:space="preserve"> No alignment. </w:t>
      </w:r>
    </w:p>
    <w:p w:rsidR="00D10FEB" w:rsidRPr="00D10FEB" w:rsidRDefault="00D10FEB" w:rsidP="00D10FEB">
      <w:pPr>
        <w:pStyle w:val="Heading3"/>
        <w:shd w:val="clear" w:color="auto" w:fill="DAE9F7" w:themeFill="text2" w:themeFillTint="1A"/>
        <w:rPr>
          <w:rStyle w:val="Strong"/>
          <w:rFonts w:ascii="Franklin Gothic Heavy" w:hAnsi="Franklin Gothic Heavy"/>
          <w:sz w:val="24"/>
          <w:szCs w:val="24"/>
          <w:lang w:val="en-GB"/>
        </w:rPr>
      </w:pPr>
      <w:bookmarkStart w:id="13" w:name="_Toc221105723"/>
      <w:r w:rsidRPr="00D10FEB">
        <w:rPr>
          <w:rStyle w:val="Strong"/>
          <w:rFonts w:ascii="Franklin Gothic Heavy" w:hAnsi="Franklin Gothic Heavy"/>
          <w:sz w:val="24"/>
          <w:szCs w:val="24"/>
          <w:lang w:val="en-GB"/>
        </w:rPr>
        <w:t>Reform Agenda</w:t>
      </w:r>
      <w:bookmarkEnd w:id="13"/>
    </w:p>
    <w:p w:rsidR="00D10FEB" w:rsidRPr="00D10FEB" w:rsidRDefault="00D10FEB" w:rsidP="00D10FEB">
      <w:pPr>
        <w:spacing w:after="120"/>
        <w:rPr>
          <w:rFonts w:ascii="Arial Narrow" w:hAnsi="Arial Narrow"/>
          <w:sz w:val="20"/>
          <w:szCs w:val="20"/>
          <w:lang w:val="en-GB"/>
        </w:rPr>
      </w:pPr>
      <w:r w:rsidRPr="008E22BF">
        <w:rPr>
          <w:rFonts w:ascii="Arial Narrow" w:hAnsi="Arial Narrow"/>
          <w:b/>
          <w:bCs/>
          <w:sz w:val="20"/>
          <w:szCs w:val="20"/>
          <w:lang w:val="en-GB"/>
        </w:rPr>
        <w:t>Pillar 1 – Blue Sustainable Economy</w:t>
      </w:r>
      <w:r w:rsidR="008E22BF">
        <w:rPr>
          <w:rFonts w:ascii="Arial Narrow" w:hAnsi="Arial Narrow"/>
          <w:b/>
          <w:bCs/>
          <w:sz w:val="20"/>
          <w:szCs w:val="20"/>
          <w:lang w:val="en-GB"/>
        </w:rPr>
        <w:t xml:space="preserve"> (No alignment)</w:t>
      </w:r>
      <w:r w:rsidRPr="008E22BF">
        <w:rPr>
          <w:rFonts w:ascii="Arial Narrow" w:hAnsi="Arial Narrow"/>
          <w:b/>
          <w:bCs/>
          <w:sz w:val="20"/>
          <w:szCs w:val="20"/>
          <w:lang w:val="en-GB"/>
        </w:rPr>
        <w:t>:</w:t>
      </w:r>
      <w:r w:rsidRPr="00D10FEB">
        <w:rPr>
          <w:rFonts w:ascii="Arial Narrow" w:hAnsi="Arial Narrow"/>
          <w:sz w:val="20"/>
          <w:szCs w:val="20"/>
          <w:lang w:val="en-GB"/>
        </w:rPr>
        <w:t xml:space="preserve"> </w:t>
      </w:r>
      <w:r w:rsidR="008E22BF" w:rsidRPr="008E22BF">
        <w:rPr>
          <w:rFonts w:ascii="Arial Narrow" w:hAnsi="Arial Narrow"/>
          <w:sz w:val="20"/>
          <w:szCs w:val="20"/>
          <w:lang w:val="en-GB"/>
        </w:rPr>
        <w:t xml:space="preserve">The BiH Reform Agenda contains no blue economy reforms (fisheries, aquaculture, maritime services, marine spatial planning). While BiH has a small Adriatic coastline, the Reform Agenda does not address coastal or marine economy development. </w:t>
      </w:r>
      <w:r w:rsidR="008E22BF">
        <w:rPr>
          <w:rFonts w:ascii="Arial Narrow" w:hAnsi="Arial Narrow"/>
          <w:sz w:val="20"/>
          <w:szCs w:val="20"/>
          <w:lang w:val="en-GB"/>
        </w:rPr>
        <w:t>There</w:t>
      </w:r>
      <w:r w:rsidR="008E22BF" w:rsidRPr="008E22BF">
        <w:rPr>
          <w:rFonts w:ascii="Arial Narrow" w:hAnsi="Arial Narrow"/>
          <w:sz w:val="20"/>
          <w:szCs w:val="20"/>
          <w:lang w:val="en-GB"/>
        </w:rPr>
        <w:t xml:space="preserve"> are no indirect links through green innovation or R&amp;I measures framed toward blue technologies</w:t>
      </w:r>
      <w:r w:rsidRPr="00D10FEB">
        <w:rPr>
          <w:rFonts w:ascii="Arial Narrow" w:hAnsi="Arial Narrow"/>
          <w:sz w:val="20"/>
          <w:szCs w:val="20"/>
          <w:lang w:val="en-GB"/>
        </w:rPr>
        <w:t>.</w:t>
      </w:r>
    </w:p>
    <w:p w:rsidR="00D10FEB" w:rsidRPr="00D10FEB" w:rsidRDefault="00D10FEB" w:rsidP="00D10FEB">
      <w:pPr>
        <w:spacing w:after="120"/>
        <w:rPr>
          <w:rFonts w:ascii="Arial Narrow" w:hAnsi="Arial Narrow"/>
          <w:sz w:val="20"/>
          <w:szCs w:val="20"/>
          <w:lang w:val="en-GB"/>
        </w:rPr>
      </w:pPr>
      <w:r w:rsidRPr="008E22BF">
        <w:rPr>
          <w:rFonts w:ascii="Arial Narrow" w:hAnsi="Arial Narrow"/>
          <w:b/>
          <w:bCs/>
          <w:sz w:val="20"/>
          <w:szCs w:val="20"/>
          <w:lang w:val="en-GB"/>
        </w:rPr>
        <w:t>Pillar 2 – Connecting the Region</w:t>
      </w:r>
      <w:r w:rsidR="008E22BF">
        <w:rPr>
          <w:rFonts w:ascii="Arial Narrow" w:hAnsi="Arial Narrow"/>
          <w:b/>
          <w:bCs/>
          <w:sz w:val="20"/>
          <w:szCs w:val="20"/>
          <w:lang w:val="en-GB"/>
        </w:rPr>
        <w:t xml:space="preserve"> (Partial)</w:t>
      </w:r>
      <w:r w:rsidRPr="008E22BF">
        <w:rPr>
          <w:rFonts w:ascii="Arial Narrow" w:hAnsi="Arial Narrow"/>
          <w:b/>
          <w:bCs/>
          <w:sz w:val="20"/>
          <w:szCs w:val="20"/>
          <w:lang w:val="en-GB"/>
        </w:rPr>
        <w:t>:</w:t>
      </w:r>
      <w:r w:rsidRPr="00D10FEB">
        <w:rPr>
          <w:rFonts w:ascii="Arial Narrow" w:hAnsi="Arial Narrow"/>
          <w:sz w:val="20"/>
          <w:szCs w:val="20"/>
          <w:lang w:val="en-GB"/>
        </w:rPr>
        <w:t xml:space="preserve"> </w:t>
      </w:r>
      <w:r w:rsidR="008E22BF" w:rsidRPr="008E22BF">
        <w:rPr>
          <w:rFonts w:ascii="Arial Narrow" w:hAnsi="Arial Narrow"/>
          <w:sz w:val="20"/>
          <w:szCs w:val="20"/>
          <w:lang w:val="en-GB"/>
        </w:rPr>
        <w:t xml:space="preserve">Transport reforms include ITS deployment targeting 50 km of TEN-T road network, </w:t>
      </w:r>
      <w:proofErr w:type="spellStart"/>
      <w:r w:rsidR="008E22BF" w:rsidRPr="008E22BF">
        <w:rPr>
          <w:rFonts w:ascii="Arial Narrow" w:hAnsi="Arial Narrow"/>
          <w:sz w:val="20"/>
          <w:szCs w:val="20"/>
          <w:lang w:val="en-GB"/>
        </w:rPr>
        <w:t>eFTI</w:t>
      </w:r>
      <w:proofErr w:type="spellEnd"/>
      <w:r w:rsidR="008E22BF" w:rsidRPr="008E22BF">
        <w:rPr>
          <w:rFonts w:ascii="Arial Narrow" w:hAnsi="Arial Narrow"/>
          <w:sz w:val="20"/>
          <w:szCs w:val="20"/>
          <w:lang w:val="en-GB"/>
        </w:rPr>
        <w:t xml:space="preserve"> Regulation alignment, and </w:t>
      </w:r>
      <w:proofErr w:type="spellStart"/>
      <w:r w:rsidR="008E22BF" w:rsidRPr="008E22BF">
        <w:rPr>
          <w:rFonts w:ascii="Arial Narrow" w:hAnsi="Arial Narrow"/>
          <w:sz w:val="20"/>
          <w:szCs w:val="20"/>
          <w:lang w:val="en-GB"/>
        </w:rPr>
        <w:t>eCMR</w:t>
      </w:r>
      <w:proofErr w:type="spellEnd"/>
      <w:r w:rsidR="008E22BF" w:rsidRPr="008E22BF">
        <w:rPr>
          <w:rFonts w:ascii="Arial Narrow" w:hAnsi="Arial Narrow"/>
          <w:sz w:val="20"/>
          <w:szCs w:val="20"/>
          <w:lang w:val="en-GB"/>
        </w:rPr>
        <w:t xml:space="preserve"> Convention ratification. Energy reforms are substantial: electricity market opening, NEMO appointment, TSO/DSO unbundling, market coupling with EU, and full Third Energy Package alignment for gas. These measures correspond to EUSAIR Pillar 2 connectivity and energy integration objectives. However, the Reform Agenda does not reference specific EUSAIR corridor priorities or cross-border interoperability targets</w:t>
      </w:r>
      <w:r w:rsidRPr="00D10FEB">
        <w:rPr>
          <w:rFonts w:ascii="Arial Narrow" w:hAnsi="Arial Narrow"/>
          <w:sz w:val="20"/>
          <w:szCs w:val="20"/>
          <w:lang w:val="en-GB"/>
        </w:rPr>
        <w:t>.</w:t>
      </w:r>
    </w:p>
    <w:p w:rsidR="00D10FEB" w:rsidRPr="00D10FEB" w:rsidRDefault="00D10FEB" w:rsidP="00D10FEB">
      <w:pPr>
        <w:spacing w:after="120"/>
        <w:rPr>
          <w:rFonts w:ascii="Arial Narrow" w:hAnsi="Arial Narrow"/>
          <w:sz w:val="20"/>
          <w:szCs w:val="20"/>
          <w:lang w:val="en-GB"/>
        </w:rPr>
      </w:pPr>
      <w:r w:rsidRPr="008E22BF">
        <w:rPr>
          <w:rFonts w:ascii="Arial Narrow" w:hAnsi="Arial Narrow"/>
          <w:b/>
          <w:bCs/>
          <w:sz w:val="20"/>
          <w:szCs w:val="20"/>
          <w:lang w:val="en-GB"/>
        </w:rPr>
        <w:t>Pillar 3 – Environmental Quality</w:t>
      </w:r>
      <w:r w:rsidR="008E22BF">
        <w:rPr>
          <w:rFonts w:ascii="Arial Narrow" w:hAnsi="Arial Narrow"/>
          <w:b/>
          <w:bCs/>
          <w:sz w:val="20"/>
          <w:szCs w:val="20"/>
          <w:lang w:val="en-GB"/>
        </w:rPr>
        <w:t xml:space="preserve"> (Partial)</w:t>
      </w:r>
      <w:r w:rsidRPr="00D10FEB">
        <w:rPr>
          <w:rFonts w:ascii="Arial Narrow" w:hAnsi="Arial Narrow"/>
          <w:sz w:val="20"/>
          <w:szCs w:val="20"/>
          <w:lang w:val="en-GB"/>
        </w:rPr>
        <w:t xml:space="preserve">: </w:t>
      </w:r>
      <w:r w:rsidR="008E22BF" w:rsidRPr="008E22BF">
        <w:rPr>
          <w:rFonts w:ascii="Arial Narrow" w:hAnsi="Arial Narrow"/>
          <w:sz w:val="20"/>
          <w:szCs w:val="20"/>
          <w:lang w:val="en-GB"/>
        </w:rPr>
        <w:t xml:space="preserve">The decarbonisation agenda is extensive: coal regions just transition roadmap, MRVA implementation, climate legislation aligned with EU Climate Law including neutrality commitment, and ETS preparation. Renewable energy targets include 0.9 GW new solar/wind capacity and 180 MW prosumer installations. Energy efficiency reforms transpose EED and EPBD with a </w:t>
      </w:r>
      <w:proofErr w:type="gramStart"/>
      <w:r w:rsidR="008E22BF" w:rsidRPr="008E22BF">
        <w:rPr>
          <w:rFonts w:ascii="Arial Narrow" w:hAnsi="Arial Narrow"/>
          <w:sz w:val="20"/>
          <w:szCs w:val="20"/>
          <w:lang w:val="en-GB"/>
        </w:rPr>
        <w:t>buildings</w:t>
      </w:r>
      <w:proofErr w:type="gramEnd"/>
      <w:r w:rsidR="008E22BF" w:rsidRPr="008E22BF">
        <w:rPr>
          <w:rFonts w:ascii="Arial Narrow" w:hAnsi="Arial Narrow"/>
          <w:sz w:val="20"/>
          <w:szCs w:val="20"/>
          <w:lang w:val="en-GB"/>
        </w:rPr>
        <w:t xml:space="preserve"> renovation strategy. Environmental action is framed primarily through energy and climate policy. The Reform Agenda does not include specific measures on biodiversity, coastal zone management, or transboundary ecosystem cooperation</w:t>
      </w:r>
      <w:r w:rsidRPr="00D10FEB">
        <w:rPr>
          <w:rFonts w:ascii="Arial Narrow" w:hAnsi="Arial Narrow"/>
          <w:sz w:val="20"/>
          <w:szCs w:val="20"/>
          <w:lang w:val="en-GB"/>
        </w:rPr>
        <w:t>.</w:t>
      </w:r>
    </w:p>
    <w:p w:rsidR="00D10FEB" w:rsidRPr="00D10FEB" w:rsidRDefault="00D10FEB" w:rsidP="00D10FEB">
      <w:pPr>
        <w:spacing w:after="120"/>
        <w:rPr>
          <w:rFonts w:ascii="Arial Narrow" w:hAnsi="Arial Narrow"/>
          <w:sz w:val="20"/>
          <w:szCs w:val="20"/>
          <w:lang w:val="en-GB"/>
        </w:rPr>
      </w:pPr>
      <w:r w:rsidRPr="008E22BF">
        <w:rPr>
          <w:rFonts w:ascii="Arial Narrow" w:hAnsi="Arial Narrow"/>
          <w:b/>
          <w:bCs/>
          <w:sz w:val="20"/>
          <w:szCs w:val="20"/>
          <w:lang w:val="en-GB"/>
        </w:rPr>
        <w:t>Pillar 4 – Sustainable Tourism</w:t>
      </w:r>
      <w:r w:rsidR="008E22BF">
        <w:rPr>
          <w:rFonts w:ascii="Arial Narrow" w:hAnsi="Arial Narrow"/>
          <w:b/>
          <w:bCs/>
          <w:sz w:val="20"/>
          <w:szCs w:val="20"/>
          <w:lang w:val="en-GB"/>
        </w:rPr>
        <w:t xml:space="preserve"> (No alignment)</w:t>
      </w:r>
      <w:r w:rsidRPr="008E22BF">
        <w:rPr>
          <w:rFonts w:ascii="Arial Narrow" w:hAnsi="Arial Narrow"/>
          <w:b/>
          <w:bCs/>
          <w:sz w:val="20"/>
          <w:szCs w:val="20"/>
          <w:lang w:val="en-GB"/>
        </w:rPr>
        <w:t>:</w:t>
      </w:r>
      <w:r w:rsidRPr="00D10FEB">
        <w:rPr>
          <w:rFonts w:ascii="Arial Narrow" w:hAnsi="Arial Narrow"/>
          <w:sz w:val="20"/>
          <w:szCs w:val="20"/>
          <w:lang w:val="en-GB"/>
        </w:rPr>
        <w:t xml:space="preserve"> Tourism is not addressed in the Reform Agenda.</w:t>
      </w:r>
    </w:p>
    <w:p w:rsidR="00D10FEB" w:rsidRDefault="00D10FEB" w:rsidP="00D10FEB">
      <w:pPr>
        <w:spacing w:after="120"/>
        <w:rPr>
          <w:rFonts w:ascii="Arial Narrow" w:hAnsi="Arial Narrow"/>
          <w:sz w:val="20"/>
          <w:szCs w:val="20"/>
          <w:lang w:val="en-GB"/>
        </w:rPr>
      </w:pPr>
      <w:r w:rsidRPr="008E22BF">
        <w:rPr>
          <w:rFonts w:ascii="Arial Narrow" w:hAnsi="Arial Narrow"/>
          <w:b/>
          <w:bCs/>
          <w:sz w:val="20"/>
          <w:szCs w:val="20"/>
          <w:lang w:val="en-GB"/>
        </w:rPr>
        <w:t>Pillar 5 – Improved Social Cohesion</w:t>
      </w:r>
      <w:r w:rsidR="008E22BF">
        <w:rPr>
          <w:rFonts w:ascii="Arial Narrow" w:hAnsi="Arial Narrow"/>
          <w:sz w:val="20"/>
          <w:szCs w:val="20"/>
          <w:lang w:val="en-GB"/>
        </w:rPr>
        <w:t xml:space="preserve"> </w:t>
      </w:r>
      <w:r w:rsidR="008E22BF" w:rsidRPr="008E22BF">
        <w:rPr>
          <w:rFonts w:ascii="Arial Narrow" w:hAnsi="Arial Narrow"/>
          <w:b/>
          <w:bCs/>
          <w:sz w:val="20"/>
          <w:szCs w:val="20"/>
          <w:lang w:val="en-GB"/>
        </w:rPr>
        <w:t>(</w:t>
      </w:r>
      <w:r w:rsidR="008E22BF">
        <w:rPr>
          <w:rFonts w:ascii="Arial Narrow" w:hAnsi="Arial Narrow"/>
          <w:b/>
          <w:bCs/>
          <w:sz w:val="20"/>
          <w:szCs w:val="20"/>
          <w:lang w:val="en-GB"/>
        </w:rPr>
        <w:t>D</w:t>
      </w:r>
      <w:r w:rsidR="008E22BF" w:rsidRPr="008E22BF">
        <w:rPr>
          <w:rFonts w:ascii="Arial Narrow" w:hAnsi="Arial Narrow"/>
          <w:b/>
          <w:bCs/>
          <w:sz w:val="20"/>
          <w:szCs w:val="20"/>
          <w:lang w:val="en-GB"/>
        </w:rPr>
        <w:t>irect)</w:t>
      </w:r>
      <w:r w:rsidRPr="008E22BF">
        <w:rPr>
          <w:rFonts w:ascii="Arial Narrow" w:hAnsi="Arial Narrow"/>
          <w:b/>
          <w:bCs/>
          <w:sz w:val="20"/>
          <w:szCs w:val="20"/>
          <w:lang w:val="en-GB"/>
        </w:rPr>
        <w:t>:</w:t>
      </w:r>
      <w:r w:rsidRPr="00D10FEB">
        <w:rPr>
          <w:rFonts w:ascii="Arial Narrow" w:hAnsi="Arial Narrow"/>
          <w:sz w:val="20"/>
          <w:szCs w:val="20"/>
          <w:lang w:val="en-GB"/>
        </w:rPr>
        <w:t xml:space="preserve"> </w:t>
      </w:r>
      <w:r w:rsidR="008E22BF" w:rsidRPr="008E22BF">
        <w:rPr>
          <w:rFonts w:ascii="Arial Narrow" w:hAnsi="Arial Narrow"/>
          <w:sz w:val="20"/>
          <w:szCs w:val="20"/>
          <w:lang w:val="en-GB"/>
        </w:rPr>
        <w:t xml:space="preserve">The RA broadly matches Pillar 5. Education reforms set ambitious ECEC </w:t>
      </w:r>
      <w:r w:rsidR="00701047" w:rsidRPr="008E22BF">
        <w:rPr>
          <w:rFonts w:ascii="Arial Narrow" w:hAnsi="Arial Narrow"/>
          <w:sz w:val="20"/>
          <w:szCs w:val="20"/>
          <w:lang w:val="en-GB"/>
        </w:rPr>
        <w:t>enrolment</w:t>
      </w:r>
      <w:r w:rsidR="008E22BF" w:rsidRPr="008E22BF">
        <w:rPr>
          <w:rFonts w:ascii="Arial Narrow" w:hAnsi="Arial Narrow"/>
          <w:sz w:val="20"/>
          <w:szCs w:val="20"/>
          <w:lang w:val="en-GB"/>
        </w:rPr>
        <w:t xml:space="preserve"> targets (60% for pre-school year, 50% for ages 3-5, 15% for ages 0-2), introduce curricula aligned with </w:t>
      </w:r>
      <w:proofErr w:type="spellStart"/>
      <w:r w:rsidR="008E22BF" w:rsidRPr="008E22BF">
        <w:rPr>
          <w:rFonts w:ascii="Arial Narrow" w:hAnsi="Arial Narrow"/>
          <w:sz w:val="20"/>
          <w:szCs w:val="20"/>
          <w:lang w:val="en-GB"/>
        </w:rPr>
        <w:t>DigComp</w:t>
      </w:r>
      <w:proofErr w:type="spellEnd"/>
      <w:r w:rsidR="008E22BF" w:rsidRPr="008E22BF">
        <w:rPr>
          <w:rFonts w:ascii="Arial Narrow" w:hAnsi="Arial Narrow"/>
          <w:sz w:val="20"/>
          <w:szCs w:val="20"/>
          <w:lang w:val="en-GB"/>
        </w:rPr>
        <w:t>, and target 40% VET work-based learning. Labour market reforms include PES restructuring, Youth Guarantee rollout with 20% employment target within 6 months, ALMP expansion targeting women and vulnerable groups, and improved job counsellor ratios (1:500). Social protection reforms harmonise parental leave country-wide and implement the social card covering 100% of beneficiaries. These align with EUSAIR Pillar 5 topics on youth engagement, skills acquisition, and equal opportunities</w:t>
      </w:r>
      <w:r w:rsidRPr="00D10FEB">
        <w:rPr>
          <w:rFonts w:ascii="Arial Narrow" w:hAnsi="Arial Narrow"/>
          <w:sz w:val="20"/>
          <w:szCs w:val="20"/>
          <w:lang w:val="en-GB"/>
        </w:rPr>
        <w:t>.</w:t>
      </w:r>
    </w:p>
    <w:p w:rsidR="008E22BF" w:rsidRPr="00D10FEB" w:rsidRDefault="008E22BF" w:rsidP="00D10FEB">
      <w:pPr>
        <w:spacing w:after="120"/>
        <w:rPr>
          <w:rFonts w:ascii="Arial Narrow" w:hAnsi="Arial Narrow"/>
          <w:sz w:val="20"/>
          <w:szCs w:val="20"/>
          <w:lang w:val="en-GB"/>
        </w:rPr>
      </w:pPr>
      <w:r>
        <w:rPr>
          <w:rStyle w:val="Strong"/>
          <w:rFonts w:ascii="Arial Narrow" w:eastAsiaTheme="majorEastAsia" w:hAnsi="Arial Narrow"/>
          <w:sz w:val="20"/>
          <w:szCs w:val="20"/>
          <w:lang w:val="en-GB"/>
        </w:rPr>
        <w:t>Bosnia and Herzegovina</w:t>
      </w:r>
      <w:r w:rsidRPr="00D10FEB">
        <w:rPr>
          <w:rStyle w:val="Strong"/>
          <w:rFonts w:ascii="Arial Narrow" w:eastAsiaTheme="majorEastAsia" w:hAnsi="Arial Narrow"/>
          <w:sz w:val="20"/>
          <w:szCs w:val="20"/>
          <w:lang w:val="en-GB"/>
        </w:rPr>
        <w:t>— indicative WBIF investments</w:t>
      </w:r>
      <w:r>
        <w:rPr>
          <w:rStyle w:val="Strong"/>
          <w:rFonts w:ascii="Arial Narrow" w:eastAsiaTheme="majorEastAsia" w:hAnsi="Arial Narrow"/>
          <w:sz w:val="20"/>
          <w:szCs w:val="20"/>
          <w:lang w:val="en-GB"/>
        </w:rPr>
        <w:t xml:space="preserve">: </w:t>
      </w:r>
      <w:r>
        <w:rPr>
          <w:rFonts w:ascii="Arial Narrow" w:hAnsi="Arial Narrow"/>
          <w:sz w:val="20"/>
          <w:szCs w:val="20"/>
          <w:lang w:val="en-GB"/>
        </w:rPr>
        <w:t>P</w:t>
      </w:r>
      <w:r w:rsidRPr="008E22BF">
        <w:rPr>
          <w:rFonts w:ascii="Arial Narrow" w:hAnsi="Arial Narrow"/>
          <w:sz w:val="20"/>
          <w:szCs w:val="20"/>
          <w:lang w:val="en-GB"/>
        </w:rPr>
        <w:t>repar</w:t>
      </w:r>
      <w:r>
        <w:rPr>
          <w:rFonts w:ascii="Arial Narrow" w:hAnsi="Arial Narrow"/>
          <w:sz w:val="20"/>
          <w:szCs w:val="20"/>
          <w:lang w:val="en-GB"/>
        </w:rPr>
        <w:t>ation of</w:t>
      </w:r>
      <w:r w:rsidRPr="008E22BF">
        <w:rPr>
          <w:rFonts w:ascii="Arial Narrow" w:hAnsi="Arial Narrow"/>
          <w:sz w:val="20"/>
          <w:szCs w:val="20"/>
          <w:lang w:val="en-GB"/>
        </w:rPr>
        <w:t xml:space="preserve"> a draft list of projects in transport, energy, digital and education sectors. The final list will be communicated to the EC upon adoption by the National Investment Committee and Council of Ministers.</w:t>
      </w:r>
    </w:p>
    <w:p w:rsidR="00D10FEB" w:rsidRDefault="00D10FEB" w:rsidP="00D10FEB">
      <w:pPr>
        <w:spacing w:after="120"/>
        <w:jc w:val="both"/>
        <w:rPr>
          <w:rFonts w:ascii="Arial Narrow" w:hAnsi="Arial Narrow"/>
          <w:i/>
          <w:iCs/>
          <w:sz w:val="20"/>
          <w:szCs w:val="20"/>
          <w:lang w:val="en-GB"/>
        </w:rPr>
      </w:pPr>
      <w:r w:rsidRPr="00D10FEB">
        <w:rPr>
          <w:rFonts w:ascii="Arial Narrow" w:hAnsi="Arial Narrow"/>
          <w:i/>
          <w:iCs/>
          <w:sz w:val="20"/>
          <w:szCs w:val="20"/>
          <w:lang w:val="en-GB"/>
        </w:rPr>
        <w:t>(Table 3 summarizes Albania’s alignment by pillar.)</w:t>
      </w:r>
    </w:p>
    <w:tbl>
      <w:tblPr>
        <w:tblStyle w:val="GridTable1Light-Accent1"/>
        <w:tblW w:w="0" w:type="auto"/>
        <w:tblLook w:val="04A0" w:firstRow="1" w:lastRow="0" w:firstColumn="1" w:lastColumn="0" w:noHBand="0" w:noVBand="1"/>
      </w:tblPr>
      <w:tblGrid>
        <w:gridCol w:w="1555"/>
        <w:gridCol w:w="3260"/>
        <w:gridCol w:w="1134"/>
        <w:gridCol w:w="3067"/>
      </w:tblGrid>
      <w:tr w:rsidR="008E22BF" w:rsidRPr="008E22BF" w:rsidTr="008E22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Align w:val="center"/>
            <w:hideMark/>
          </w:tcPr>
          <w:p w:rsidR="008E22BF" w:rsidRPr="008E22BF" w:rsidRDefault="008E22BF" w:rsidP="008E22BF">
            <w:pPr>
              <w:rPr>
                <w:rFonts w:ascii="Arial Narrow" w:hAnsi="Arial Narrow"/>
                <w:sz w:val="20"/>
                <w:szCs w:val="20"/>
              </w:rPr>
            </w:pPr>
            <w:r w:rsidRPr="008E22BF">
              <w:rPr>
                <w:rFonts w:ascii="Arial Narrow" w:hAnsi="Arial Narrow"/>
                <w:sz w:val="20"/>
                <w:szCs w:val="20"/>
              </w:rPr>
              <w:t>EUSAIR Pillar</w:t>
            </w:r>
          </w:p>
        </w:tc>
        <w:tc>
          <w:tcPr>
            <w:tcW w:w="3260" w:type="dxa"/>
            <w:vAlign w:val="center"/>
            <w:hideMark/>
          </w:tcPr>
          <w:p w:rsidR="008E22BF" w:rsidRPr="008E22BF" w:rsidRDefault="008E22BF" w:rsidP="008E22BF">
            <w:pP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8E22BF">
              <w:rPr>
                <w:rFonts w:ascii="Arial Narrow" w:hAnsi="Arial Narrow"/>
                <w:sz w:val="20"/>
                <w:szCs w:val="20"/>
              </w:rPr>
              <w:t>Alignment with BiH RA</w:t>
            </w:r>
          </w:p>
        </w:tc>
        <w:tc>
          <w:tcPr>
            <w:tcW w:w="1134" w:type="dxa"/>
            <w:vAlign w:val="center"/>
            <w:hideMark/>
          </w:tcPr>
          <w:p w:rsidR="008E22BF" w:rsidRPr="008E22BF" w:rsidRDefault="008E22BF" w:rsidP="008E22BF">
            <w:pP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8E22BF">
              <w:rPr>
                <w:rFonts w:ascii="Arial Narrow" w:hAnsi="Arial Narrow"/>
                <w:sz w:val="20"/>
                <w:szCs w:val="20"/>
              </w:rPr>
              <w:t>Alignment Type</w:t>
            </w:r>
          </w:p>
        </w:tc>
        <w:tc>
          <w:tcPr>
            <w:tcW w:w="3067" w:type="dxa"/>
            <w:vAlign w:val="center"/>
            <w:hideMark/>
          </w:tcPr>
          <w:p w:rsidR="008E22BF" w:rsidRPr="008E22BF" w:rsidRDefault="008E22BF" w:rsidP="008E22BF">
            <w:pP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8E22BF">
              <w:rPr>
                <w:rFonts w:ascii="Arial Narrow" w:hAnsi="Arial Narrow"/>
                <w:sz w:val="20"/>
                <w:szCs w:val="20"/>
              </w:rPr>
              <w:t>Examples of RA Reforms</w:t>
            </w:r>
          </w:p>
        </w:tc>
      </w:tr>
      <w:tr w:rsidR="008E22BF" w:rsidRPr="008E22BF" w:rsidTr="008E22BF">
        <w:tc>
          <w:tcPr>
            <w:cnfStyle w:val="001000000000" w:firstRow="0" w:lastRow="0" w:firstColumn="1" w:lastColumn="0" w:oddVBand="0" w:evenVBand="0" w:oddHBand="0" w:evenHBand="0" w:firstRowFirstColumn="0" w:firstRowLastColumn="0" w:lastRowFirstColumn="0" w:lastRowLastColumn="0"/>
            <w:tcW w:w="1555" w:type="dxa"/>
            <w:vAlign w:val="center"/>
            <w:hideMark/>
          </w:tcPr>
          <w:p w:rsidR="008E22BF" w:rsidRPr="008E22BF" w:rsidRDefault="008E22BF" w:rsidP="008E22BF">
            <w:pPr>
              <w:rPr>
                <w:rFonts w:ascii="Arial Narrow" w:hAnsi="Arial Narrow"/>
                <w:b w:val="0"/>
                <w:bCs w:val="0"/>
                <w:sz w:val="20"/>
                <w:szCs w:val="20"/>
              </w:rPr>
            </w:pPr>
            <w:r w:rsidRPr="008E22BF">
              <w:rPr>
                <w:rFonts w:ascii="Arial Narrow" w:hAnsi="Arial Narrow"/>
                <w:b w:val="0"/>
                <w:bCs w:val="0"/>
                <w:sz w:val="20"/>
                <w:szCs w:val="20"/>
              </w:rPr>
              <w:t>P1. Blue Sustainable Economy</w:t>
            </w:r>
          </w:p>
        </w:tc>
        <w:tc>
          <w:tcPr>
            <w:tcW w:w="3260" w:type="dxa"/>
            <w:vAlign w:val="center"/>
            <w:hideMark/>
          </w:tcPr>
          <w:p w:rsidR="008E22BF" w:rsidRPr="008E22BF" w:rsidRDefault="008E22BF" w:rsidP="008E22BF">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8E22BF">
              <w:rPr>
                <w:rFonts w:ascii="Arial Narrow" w:hAnsi="Arial Narrow"/>
                <w:sz w:val="20"/>
                <w:szCs w:val="20"/>
              </w:rPr>
              <w:t>No blue economy measures in RA; no fisheries, aquaculture, or maritime services reforms despite small Adriatic coastline.</w:t>
            </w:r>
          </w:p>
        </w:tc>
        <w:tc>
          <w:tcPr>
            <w:tcW w:w="1134" w:type="dxa"/>
            <w:vAlign w:val="center"/>
            <w:hideMark/>
          </w:tcPr>
          <w:p w:rsidR="008E22BF" w:rsidRPr="008E22BF" w:rsidRDefault="008E22BF" w:rsidP="008E22BF">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8E22BF">
              <w:rPr>
                <w:rFonts w:ascii="Arial Narrow" w:hAnsi="Arial Narrow"/>
                <w:sz w:val="20"/>
                <w:szCs w:val="20"/>
              </w:rPr>
              <w:t>No alignment</w:t>
            </w:r>
          </w:p>
        </w:tc>
        <w:tc>
          <w:tcPr>
            <w:tcW w:w="3067" w:type="dxa"/>
            <w:vAlign w:val="center"/>
            <w:hideMark/>
          </w:tcPr>
          <w:p w:rsidR="008E22BF" w:rsidRPr="008E22BF" w:rsidRDefault="008E22BF" w:rsidP="008E22BF">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8E22BF">
              <w:rPr>
                <w:rFonts w:ascii="Arial Narrow" w:hAnsi="Arial Narrow"/>
                <w:sz w:val="20"/>
                <w:szCs w:val="20"/>
              </w:rPr>
              <w:t>N/A</w:t>
            </w:r>
          </w:p>
        </w:tc>
      </w:tr>
      <w:tr w:rsidR="008E22BF" w:rsidRPr="008E22BF" w:rsidTr="008E22BF">
        <w:tc>
          <w:tcPr>
            <w:cnfStyle w:val="001000000000" w:firstRow="0" w:lastRow="0" w:firstColumn="1" w:lastColumn="0" w:oddVBand="0" w:evenVBand="0" w:oddHBand="0" w:evenHBand="0" w:firstRowFirstColumn="0" w:firstRowLastColumn="0" w:lastRowFirstColumn="0" w:lastRowLastColumn="0"/>
            <w:tcW w:w="1555" w:type="dxa"/>
            <w:vAlign w:val="center"/>
            <w:hideMark/>
          </w:tcPr>
          <w:p w:rsidR="008E22BF" w:rsidRPr="008E22BF" w:rsidRDefault="008E22BF" w:rsidP="008E22BF">
            <w:pPr>
              <w:rPr>
                <w:rFonts w:ascii="Arial Narrow" w:hAnsi="Arial Narrow"/>
                <w:b w:val="0"/>
                <w:bCs w:val="0"/>
                <w:sz w:val="20"/>
                <w:szCs w:val="20"/>
              </w:rPr>
            </w:pPr>
            <w:r w:rsidRPr="008E22BF">
              <w:rPr>
                <w:rFonts w:ascii="Arial Narrow" w:hAnsi="Arial Narrow"/>
                <w:b w:val="0"/>
                <w:bCs w:val="0"/>
                <w:sz w:val="20"/>
                <w:szCs w:val="20"/>
              </w:rPr>
              <w:t>P2. Connecting the Region</w:t>
            </w:r>
          </w:p>
        </w:tc>
        <w:tc>
          <w:tcPr>
            <w:tcW w:w="3260" w:type="dxa"/>
            <w:vAlign w:val="center"/>
            <w:hideMark/>
          </w:tcPr>
          <w:p w:rsidR="008E22BF" w:rsidRPr="008E22BF" w:rsidRDefault="008E22BF" w:rsidP="008E22BF">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8E22BF">
              <w:rPr>
                <w:rFonts w:ascii="Arial Narrow" w:hAnsi="Arial Narrow"/>
                <w:sz w:val="20"/>
                <w:szCs w:val="20"/>
              </w:rPr>
              <w:t>Transport digitalisation and energy market reforms present; no explicit reference to EUSAIR corridors or cross-border interoperability.</w:t>
            </w:r>
          </w:p>
        </w:tc>
        <w:tc>
          <w:tcPr>
            <w:tcW w:w="1134" w:type="dxa"/>
            <w:vAlign w:val="center"/>
            <w:hideMark/>
          </w:tcPr>
          <w:p w:rsidR="008E22BF" w:rsidRPr="008E22BF" w:rsidRDefault="008E22BF" w:rsidP="008E22BF">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8E22BF">
              <w:rPr>
                <w:rFonts w:ascii="Arial Narrow" w:hAnsi="Arial Narrow"/>
                <w:sz w:val="20"/>
                <w:szCs w:val="20"/>
              </w:rPr>
              <w:t>Partial</w:t>
            </w:r>
          </w:p>
        </w:tc>
        <w:tc>
          <w:tcPr>
            <w:tcW w:w="3067" w:type="dxa"/>
            <w:vAlign w:val="center"/>
            <w:hideMark/>
          </w:tcPr>
          <w:p w:rsidR="008E22BF" w:rsidRPr="008E22BF" w:rsidRDefault="008E22BF" w:rsidP="008E22BF">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8E22BF">
              <w:rPr>
                <w:rFonts w:ascii="Arial Narrow" w:hAnsi="Arial Narrow"/>
                <w:sz w:val="20"/>
                <w:szCs w:val="20"/>
              </w:rPr>
              <w:t>ITS on 50 km TEN-T road network; eFTI Regulation alignment; eCMR ratification; NEMO appointment; electricity market opening and EU coupling; TSO/DSO unbundling.</w:t>
            </w:r>
          </w:p>
        </w:tc>
      </w:tr>
      <w:tr w:rsidR="008E22BF" w:rsidRPr="008E22BF" w:rsidTr="008E22BF">
        <w:tc>
          <w:tcPr>
            <w:cnfStyle w:val="001000000000" w:firstRow="0" w:lastRow="0" w:firstColumn="1" w:lastColumn="0" w:oddVBand="0" w:evenVBand="0" w:oddHBand="0" w:evenHBand="0" w:firstRowFirstColumn="0" w:firstRowLastColumn="0" w:lastRowFirstColumn="0" w:lastRowLastColumn="0"/>
            <w:tcW w:w="1555" w:type="dxa"/>
            <w:vAlign w:val="center"/>
            <w:hideMark/>
          </w:tcPr>
          <w:p w:rsidR="008E22BF" w:rsidRPr="008E22BF" w:rsidRDefault="008E22BF" w:rsidP="008E22BF">
            <w:pPr>
              <w:rPr>
                <w:rFonts w:ascii="Arial Narrow" w:hAnsi="Arial Narrow"/>
                <w:b w:val="0"/>
                <w:bCs w:val="0"/>
                <w:sz w:val="20"/>
                <w:szCs w:val="20"/>
              </w:rPr>
            </w:pPr>
            <w:r w:rsidRPr="008E22BF">
              <w:rPr>
                <w:rFonts w:ascii="Arial Narrow" w:hAnsi="Arial Narrow"/>
                <w:b w:val="0"/>
                <w:bCs w:val="0"/>
                <w:sz w:val="20"/>
                <w:szCs w:val="20"/>
              </w:rPr>
              <w:t>P3. Environmental Quality</w:t>
            </w:r>
          </w:p>
        </w:tc>
        <w:tc>
          <w:tcPr>
            <w:tcW w:w="3260" w:type="dxa"/>
            <w:vAlign w:val="center"/>
            <w:hideMark/>
          </w:tcPr>
          <w:p w:rsidR="008E22BF" w:rsidRPr="008E22BF" w:rsidRDefault="008E22BF" w:rsidP="008E22BF">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8E22BF">
              <w:rPr>
                <w:rFonts w:ascii="Arial Narrow" w:hAnsi="Arial Narrow"/>
                <w:sz w:val="20"/>
                <w:szCs w:val="20"/>
              </w:rPr>
              <w:t>Climate and energy focus; decarbonisation agenda substantial but no biodiversity, coastal, or transboundary ecosystem measures.</w:t>
            </w:r>
          </w:p>
        </w:tc>
        <w:tc>
          <w:tcPr>
            <w:tcW w:w="1134" w:type="dxa"/>
            <w:vAlign w:val="center"/>
            <w:hideMark/>
          </w:tcPr>
          <w:p w:rsidR="008E22BF" w:rsidRPr="008E22BF" w:rsidRDefault="008E22BF" w:rsidP="008E22BF">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8E22BF">
              <w:rPr>
                <w:rFonts w:ascii="Arial Narrow" w:hAnsi="Arial Narrow"/>
                <w:sz w:val="20"/>
                <w:szCs w:val="20"/>
              </w:rPr>
              <w:t>Partial</w:t>
            </w:r>
          </w:p>
        </w:tc>
        <w:tc>
          <w:tcPr>
            <w:tcW w:w="3067" w:type="dxa"/>
            <w:vAlign w:val="center"/>
            <w:hideMark/>
          </w:tcPr>
          <w:p w:rsidR="008E22BF" w:rsidRPr="008E22BF" w:rsidRDefault="008E22BF" w:rsidP="008E22BF">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8E22BF">
              <w:rPr>
                <w:rFonts w:ascii="Arial Narrow" w:hAnsi="Arial Narrow"/>
                <w:sz w:val="20"/>
                <w:szCs w:val="20"/>
              </w:rPr>
              <w:t>Coal regions just transition roadmap; MRVA implementation; climate legislation with neutrality commitment; ETS preparation; 0.9 GW renewable capacity target; buildings renovation strategy.</w:t>
            </w:r>
          </w:p>
        </w:tc>
      </w:tr>
      <w:tr w:rsidR="008E22BF" w:rsidRPr="008E22BF" w:rsidTr="008E22BF">
        <w:tc>
          <w:tcPr>
            <w:cnfStyle w:val="001000000000" w:firstRow="0" w:lastRow="0" w:firstColumn="1" w:lastColumn="0" w:oddVBand="0" w:evenVBand="0" w:oddHBand="0" w:evenHBand="0" w:firstRowFirstColumn="0" w:firstRowLastColumn="0" w:lastRowFirstColumn="0" w:lastRowLastColumn="0"/>
            <w:tcW w:w="1555" w:type="dxa"/>
            <w:vAlign w:val="center"/>
            <w:hideMark/>
          </w:tcPr>
          <w:p w:rsidR="008E22BF" w:rsidRPr="008E22BF" w:rsidRDefault="008E22BF" w:rsidP="008E22BF">
            <w:pPr>
              <w:rPr>
                <w:rFonts w:ascii="Arial Narrow" w:hAnsi="Arial Narrow"/>
                <w:b w:val="0"/>
                <w:bCs w:val="0"/>
                <w:sz w:val="20"/>
                <w:szCs w:val="20"/>
              </w:rPr>
            </w:pPr>
            <w:r w:rsidRPr="008E22BF">
              <w:rPr>
                <w:rFonts w:ascii="Arial Narrow" w:hAnsi="Arial Narrow"/>
                <w:b w:val="0"/>
                <w:bCs w:val="0"/>
                <w:sz w:val="20"/>
                <w:szCs w:val="20"/>
              </w:rPr>
              <w:t>P4. Sustainable Tourism</w:t>
            </w:r>
          </w:p>
        </w:tc>
        <w:tc>
          <w:tcPr>
            <w:tcW w:w="3260" w:type="dxa"/>
            <w:vAlign w:val="center"/>
            <w:hideMark/>
          </w:tcPr>
          <w:p w:rsidR="008E22BF" w:rsidRPr="008E22BF" w:rsidRDefault="008E22BF" w:rsidP="008E22BF">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8E22BF">
              <w:rPr>
                <w:rFonts w:ascii="Arial Narrow" w:hAnsi="Arial Narrow"/>
                <w:sz w:val="20"/>
                <w:szCs w:val="20"/>
              </w:rPr>
              <w:t>Not addressed in RA; no tourism strategy, heritage management, or product diversification.</w:t>
            </w:r>
          </w:p>
        </w:tc>
        <w:tc>
          <w:tcPr>
            <w:tcW w:w="1134" w:type="dxa"/>
            <w:vAlign w:val="center"/>
            <w:hideMark/>
          </w:tcPr>
          <w:p w:rsidR="008E22BF" w:rsidRPr="008E22BF" w:rsidRDefault="008E22BF" w:rsidP="008E22BF">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8E22BF">
              <w:rPr>
                <w:rFonts w:ascii="Arial Narrow" w:hAnsi="Arial Narrow"/>
                <w:sz w:val="20"/>
                <w:szCs w:val="20"/>
              </w:rPr>
              <w:t>No alignment</w:t>
            </w:r>
          </w:p>
        </w:tc>
        <w:tc>
          <w:tcPr>
            <w:tcW w:w="3067" w:type="dxa"/>
            <w:vAlign w:val="center"/>
            <w:hideMark/>
          </w:tcPr>
          <w:p w:rsidR="008E22BF" w:rsidRPr="008E22BF" w:rsidRDefault="008E22BF" w:rsidP="008E22BF">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8E22BF">
              <w:rPr>
                <w:rFonts w:ascii="Arial Narrow" w:hAnsi="Arial Narrow"/>
                <w:sz w:val="20"/>
                <w:szCs w:val="20"/>
              </w:rPr>
              <w:t>N/A</w:t>
            </w:r>
          </w:p>
        </w:tc>
      </w:tr>
      <w:tr w:rsidR="008E22BF" w:rsidRPr="008E22BF" w:rsidTr="008E22BF">
        <w:tc>
          <w:tcPr>
            <w:cnfStyle w:val="001000000000" w:firstRow="0" w:lastRow="0" w:firstColumn="1" w:lastColumn="0" w:oddVBand="0" w:evenVBand="0" w:oddHBand="0" w:evenHBand="0" w:firstRowFirstColumn="0" w:firstRowLastColumn="0" w:lastRowFirstColumn="0" w:lastRowLastColumn="0"/>
            <w:tcW w:w="1555" w:type="dxa"/>
            <w:vAlign w:val="center"/>
            <w:hideMark/>
          </w:tcPr>
          <w:p w:rsidR="008E22BF" w:rsidRPr="008E22BF" w:rsidRDefault="008E22BF" w:rsidP="008E22BF">
            <w:pPr>
              <w:rPr>
                <w:rFonts w:ascii="Arial Narrow" w:hAnsi="Arial Narrow"/>
                <w:b w:val="0"/>
                <w:bCs w:val="0"/>
                <w:sz w:val="20"/>
                <w:szCs w:val="20"/>
              </w:rPr>
            </w:pPr>
            <w:r w:rsidRPr="008E22BF">
              <w:rPr>
                <w:rFonts w:ascii="Arial Narrow" w:hAnsi="Arial Narrow"/>
                <w:b w:val="0"/>
                <w:bCs w:val="0"/>
                <w:sz w:val="20"/>
                <w:szCs w:val="20"/>
              </w:rPr>
              <w:t>P5. Social Cohesion</w:t>
            </w:r>
          </w:p>
        </w:tc>
        <w:tc>
          <w:tcPr>
            <w:tcW w:w="3260" w:type="dxa"/>
            <w:vAlign w:val="center"/>
            <w:hideMark/>
          </w:tcPr>
          <w:p w:rsidR="008E22BF" w:rsidRPr="008E22BF" w:rsidRDefault="008E22BF" w:rsidP="008E22BF">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8E22BF">
              <w:rPr>
                <w:rFonts w:ascii="Arial Narrow" w:hAnsi="Arial Narrow"/>
                <w:sz w:val="20"/>
                <w:szCs w:val="20"/>
              </w:rPr>
              <w:t>Broad coverage of education, employment, and social protection reforms matching pillar goals on skills, youth, equal opportunity.</w:t>
            </w:r>
          </w:p>
        </w:tc>
        <w:tc>
          <w:tcPr>
            <w:tcW w:w="1134" w:type="dxa"/>
            <w:vAlign w:val="center"/>
            <w:hideMark/>
          </w:tcPr>
          <w:p w:rsidR="008E22BF" w:rsidRPr="008E22BF" w:rsidRDefault="008E22BF" w:rsidP="008E22BF">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8E22BF">
              <w:rPr>
                <w:rFonts w:ascii="Arial Narrow" w:hAnsi="Arial Narrow"/>
                <w:sz w:val="20"/>
                <w:szCs w:val="20"/>
              </w:rPr>
              <w:t>Direct</w:t>
            </w:r>
          </w:p>
        </w:tc>
        <w:tc>
          <w:tcPr>
            <w:tcW w:w="3067" w:type="dxa"/>
            <w:vAlign w:val="center"/>
            <w:hideMark/>
          </w:tcPr>
          <w:p w:rsidR="008E22BF" w:rsidRPr="008E22BF" w:rsidRDefault="008E22BF" w:rsidP="008E22BF">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8E22BF">
              <w:rPr>
                <w:rFonts w:ascii="Arial Narrow" w:hAnsi="Arial Narrow"/>
                <w:sz w:val="20"/>
                <w:szCs w:val="20"/>
              </w:rPr>
              <w:t>ECEC enrollment targets (60%/50%/15% by age group); VET work-based learning (40% target); Youth Guarantee rollout; PES reform and ALMP expansion; parental leave harmonisation; social card implementation covering 100% of beneficiaries.</w:t>
            </w:r>
          </w:p>
        </w:tc>
      </w:tr>
    </w:tbl>
    <w:p w:rsidR="008C5030" w:rsidRPr="00D10FEB" w:rsidRDefault="008D2B9F" w:rsidP="00A43FFD">
      <w:pPr>
        <w:pStyle w:val="Heading2"/>
        <w:rPr>
          <w:lang w:val="en-GB"/>
        </w:rPr>
      </w:pPr>
      <w:bookmarkStart w:id="14" w:name="_Toc221105724"/>
      <w:r w:rsidRPr="00D10FEB">
        <w:rPr>
          <w:lang w:val="en-GB"/>
        </w:rPr>
        <w:t>North Macedonia</w:t>
      </w:r>
      <w:bookmarkEnd w:id="14"/>
      <w:r w:rsidRPr="00D10FEB">
        <w:rPr>
          <w:lang w:val="en-GB"/>
        </w:rPr>
        <w:t xml:space="preserve"> </w:t>
      </w:r>
    </w:p>
    <w:p w:rsidR="008D2B9F" w:rsidRPr="00D10FEB" w:rsidRDefault="008C5030" w:rsidP="00A43FFD">
      <w:pPr>
        <w:pStyle w:val="Heading3"/>
        <w:shd w:val="clear" w:color="auto" w:fill="DAE9F7" w:themeFill="text2" w:themeFillTint="1A"/>
        <w:rPr>
          <w:rStyle w:val="Strong"/>
          <w:rFonts w:ascii="Franklin Gothic Heavy" w:hAnsi="Franklin Gothic Heavy"/>
          <w:sz w:val="24"/>
          <w:szCs w:val="24"/>
          <w:lang w:val="en-GB"/>
        </w:rPr>
      </w:pPr>
      <w:bookmarkStart w:id="15" w:name="_Toc221105725"/>
      <w:r w:rsidRPr="00D10FEB">
        <w:rPr>
          <w:rStyle w:val="Strong"/>
          <w:rFonts w:ascii="Franklin Gothic Heavy" w:hAnsi="Franklin Gothic Heavy"/>
          <w:sz w:val="24"/>
          <w:szCs w:val="24"/>
          <w:lang w:val="en-GB"/>
        </w:rPr>
        <w:t xml:space="preserve">IPA </w:t>
      </w:r>
      <w:r w:rsidR="008D2B9F" w:rsidRPr="00D10FEB">
        <w:rPr>
          <w:rStyle w:val="Strong"/>
          <w:rFonts w:ascii="Franklin Gothic Heavy" w:hAnsi="Franklin Gothic Heavy"/>
          <w:sz w:val="24"/>
          <w:szCs w:val="24"/>
          <w:lang w:val="en-GB"/>
        </w:rPr>
        <w:t>2025–2027</w:t>
      </w:r>
      <w:bookmarkEnd w:id="15"/>
    </w:p>
    <w:p w:rsidR="00590739" w:rsidRPr="00D10FEB" w:rsidRDefault="008D2B9F" w:rsidP="00436823">
      <w:pPr>
        <w:rPr>
          <w:rFonts w:ascii="Arial Narrow" w:hAnsi="Arial Narrow"/>
          <w:b/>
          <w:bCs/>
          <w:lang w:val="en-GB"/>
        </w:rPr>
      </w:pPr>
      <w:r w:rsidRPr="00D10FEB">
        <w:rPr>
          <w:rFonts w:ascii="Arial Narrow" w:hAnsi="Arial Narrow"/>
          <w:b/>
          <w:bCs/>
          <w:lang w:val="en-GB"/>
        </w:rPr>
        <w:t xml:space="preserve">Action Document for the multiannual action in favour of North Macedonia 2025–2027 </w:t>
      </w:r>
    </w:p>
    <w:p w:rsidR="00590739" w:rsidRPr="00D10FEB" w:rsidRDefault="00590739" w:rsidP="00590739">
      <w:pPr>
        <w:spacing w:after="120"/>
        <w:rPr>
          <w:rFonts w:ascii="Arial Narrow" w:hAnsi="Arial Narrow"/>
          <w:sz w:val="20"/>
          <w:szCs w:val="20"/>
          <w:lang w:val="en-GB"/>
        </w:rPr>
      </w:pPr>
      <w:r w:rsidRPr="00D10FEB">
        <w:rPr>
          <w:rFonts w:ascii="Arial Narrow" w:hAnsi="Arial Narrow"/>
          <w:sz w:val="20"/>
          <w:szCs w:val="20"/>
          <w:lang w:val="en-GB"/>
        </w:rPr>
        <w:t>Window(s) covered in the AD</w:t>
      </w:r>
      <w:r w:rsidR="008D2B9F" w:rsidRPr="00D10FEB">
        <w:rPr>
          <w:rFonts w:ascii="Arial Narrow" w:hAnsi="Arial Narrow"/>
          <w:sz w:val="20"/>
          <w:szCs w:val="20"/>
          <w:lang w:val="en-GB"/>
        </w:rPr>
        <w:t xml:space="preserve">: </w:t>
      </w:r>
      <w:r w:rsidRPr="00D10FEB">
        <w:rPr>
          <w:rFonts w:ascii="Arial Narrow" w:hAnsi="Arial Narrow"/>
          <w:sz w:val="20"/>
          <w:szCs w:val="20"/>
          <w:lang w:val="en-GB"/>
        </w:rPr>
        <w:t>Window 1 (rule of law, rights, democracy); Window 2 (governance, acquis alignment); Window 4 (competitiveness &amp; inclusive growth: health, civil protection, mining/CRM, agriculture &amp; fisheries)</w:t>
      </w:r>
      <w:r w:rsidR="008D2B9F" w:rsidRPr="00D10FEB">
        <w:rPr>
          <w:rFonts w:ascii="Arial Narrow" w:hAnsi="Arial Narrow"/>
          <w:sz w:val="20"/>
          <w:szCs w:val="20"/>
          <w:lang w:val="en-GB"/>
        </w:rPr>
        <w:t xml:space="preserve"> (note: W3 not targeted in this AD) </w:t>
      </w:r>
    </w:p>
    <w:p w:rsidR="00590739" w:rsidRPr="00D10FEB" w:rsidRDefault="008D2B9F" w:rsidP="00590739">
      <w:pPr>
        <w:spacing w:after="120"/>
        <w:rPr>
          <w:rFonts w:ascii="Arial Narrow" w:hAnsi="Arial Narrow"/>
          <w:sz w:val="20"/>
          <w:szCs w:val="20"/>
          <w:lang w:val="en-GB"/>
        </w:rPr>
      </w:pPr>
      <w:r w:rsidRPr="00D10FEB">
        <w:rPr>
          <w:rFonts w:ascii="Arial Narrow" w:hAnsi="Arial Narrow"/>
          <w:sz w:val="20"/>
          <w:szCs w:val="20"/>
          <w:lang w:val="en-GB"/>
        </w:rPr>
        <w:t xml:space="preserve">Total EU contribution: </w:t>
      </w:r>
      <w:r w:rsidR="00590739" w:rsidRPr="00D10FEB">
        <w:rPr>
          <w:rFonts w:ascii="Arial Narrow" w:hAnsi="Arial Narrow"/>
          <w:sz w:val="20"/>
          <w:szCs w:val="20"/>
          <w:lang w:val="en-GB"/>
        </w:rPr>
        <w:t xml:space="preserve">EUR </w:t>
      </w:r>
      <w:r w:rsidRPr="00D10FEB">
        <w:rPr>
          <w:rFonts w:ascii="Arial Narrow" w:hAnsi="Arial Narrow"/>
          <w:sz w:val="20"/>
          <w:szCs w:val="20"/>
          <w:lang w:val="en-GB"/>
        </w:rPr>
        <w:t xml:space="preserve">67,000,000. </w:t>
      </w:r>
    </w:p>
    <w:p w:rsidR="008D2B9F" w:rsidRPr="00D10FEB" w:rsidRDefault="008D2B9F" w:rsidP="00590739">
      <w:pPr>
        <w:spacing w:after="120"/>
        <w:rPr>
          <w:rFonts w:ascii="Arial Narrow" w:hAnsi="Arial Narrow"/>
          <w:b/>
          <w:bCs/>
          <w:sz w:val="20"/>
          <w:szCs w:val="20"/>
          <w:lang w:val="en-GB"/>
        </w:rPr>
      </w:pPr>
      <w:r w:rsidRPr="00D10FEB">
        <w:rPr>
          <w:rFonts w:ascii="Arial Narrow" w:hAnsi="Arial Narrow"/>
          <w:b/>
          <w:bCs/>
          <w:sz w:val="20"/>
          <w:szCs w:val="20"/>
          <w:lang w:val="en-GB"/>
        </w:rPr>
        <w:t>Degree of alignment (by pillar)</w:t>
      </w:r>
    </w:p>
    <w:p w:rsidR="008D2B9F" w:rsidRPr="00D10FEB" w:rsidRDefault="008D2B9F" w:rsidP="00010640">
      <w:pPr>
        <w:pStyle w:val="ListParagraph"/>
        <w:numPr>
          <w:ilvl w:val="0"/>
          <w:numId w:val="21"/>
        </w:numPr>
        <w:rPr>
          <w:rFonts w:ascii="Arial Narrow" w:eastAsia="Times New Roman" w:hAnsi="Arial Narrow" w:cs="Times New Roman"/>
          <w:kern w:val="0"/>
          <w:sz w:val="20"/>
          <w:szCs w:val="20"/>
          <w:lang w:val="en-GB" w:eastAsia="en-GB"/>
          <w14:ligatures w14:val="none"/>
        </w:rPr>
      </w:pPr>
      <w:r w:rsidRPr="00D10FEB">
        <w:rPr>
          <w:rFonts w:ascii="Arial Narrow" w:eastAsia="Times New Roman" w:hAnsi="Arial Narrow" w:cs="Times New Roman"/>
          <w:b/>
          <w:bCs/>
          <w:kern w:val="0"/>
          <w:sz w:val="20"/>
          <w:szCs w:val="20"/>
          <w:lang w:val="en-GB" w:eastAsia="en-GB"/>
          <w14:ligatures w14:val="none"/>
        </w:rPr>
        <w:t xml:space="preserve">P5 Social Cohesion </w:t>
      </w:r>
      <w:r w:rsidR="00E45573" w:rsidRPr="00D10FEB">
        <w:rPr>
          <w:rFonts w:ascii="Arial Narrow" w:eastAsia="Times New Roman" w:hAnsi="Arial Narrow" w:cs="Times New Roman"/>
          <w:b/>
          <w:bCs/>
          <w:kern w:val="0"/>
          <w:sz w:val="20"/>
          <w:szCs w:val="20"/>
          <w:lang w:val="en-GB" w:eastAsia="en-GB"/>
          <w14:ligatures w14:val="none"/>
        </w:rPr>
        <w:t>-</w:t>
      </w:r>
      <w:r w:rsidRPr="00D10FEB">
        <w:rPr>
          <w:rFonts w:ascii="Arial Narrow" w:eastAsia="Times New Roman" w:hAnsi="Arial Narrow" w:cs="Times New Roman"/>
          <w:b/>
          <w:bCs/>
          <w:kern w:val="0"/>
          <w:sz w:val="20"/>
          <w:szCs w:val="20"/>
          <w:lang w:val="en-GB" w:eastAsia="en-GB"/>
          <w14:ligatures w14:val="none"/>
        </w:rPr>
        <w:t xml:space="preserve"> Partial alignment.</w:t>
      </w:r>
      <w:r w:rsidRPr="00D10FEB">
        <w:rPr>
          <w:rFonts w:ascii="Arial Narrow" w:eastAsia="Times New Roman" w:hAnsi="Arial Narrow" w:cs="Times New Roman"/>
          <w:kern w:val="0"/>
          <w:sz w:val="20"/>
          <w:szCs w:val="20"/>
          <w:lang w:val="en-GB" w:eastAsia="en-GB"/>
          <w14:ligatures w14:val="none"/>
        </w:rPr>
        <w:t xml:space="preserve"> </w:t>
      </w:r>
      <w:r w:rsidR="00010640" w:rsidRPr="00D10FEB">
        <w:rPr>
          <w:rFonts w:ascii="Arial Narrow" w:eastAsia="Times New Roman" w:hAnsi="Arial Narrow" w:cs="Times New Roman"/>
          <w:kern w:val="0"/>
          <w:sz w:val="20"/>
          <w:szCs w:val="20"/>
          <w:lang w:val="en-GB" w:eastAsia="en-GB"/>
          <w14:ligatures w14:val="none"/>
        </w:rPr>
        <w:t>The AD backs education/skills reforms and establishes Centres for Excellence in VET, teacher development and inclusive education measures-this fits EUSAIR Topic 5.2 (skills for future labour markets)</w:t>
      </w:r>
      <w:r w:rsidRPr="00D10FEB">
        <w:rPr>
          <w:rFonts w:ascii="Arial Narrow" w:eastAsia="Times New Roman" w:hAnsi="Arial Narrow" w:cs="Times New Roman"/>
          <w:kern w:val="0"/>
          <w:sz w:val="20"/>
          <w:szCs w:val="20"/>
          <w:lang w:val="en-GB" w:eastAsia="en-GB"/>
          <w14:ligatures w14:val="none"/>
        </w:rPr>
        <w:t xml:space="preserve">, but the AD is national rather than macro-regional. </w:t>
      </w:r>
    </w:p>
    <w:p w:rsidR="00010640" w:rsidRPr="00D10FEB" w:rsidRDefault="00010640" w:rsidP="00010640">
      <w:pPr>
        <w:numPr>
          <w:ilvl w:val="0"/>
          <w:numId w:val="21"/>
        </w:numPr>
        <w:spacing w:after="120"/>
        <w:rPr>
          <w:rFonts w:ascii="Arial Narrow" w:hAnsi="Arial Narrow"/>
          <w:b/>
          <w:bCs/>
          <w:sz w:val="20"/>
          <w:szCs w:val="20"/>
          <w:lang w:val="en-GB"/>
        </w:rPr>
      </w:pPr>
      <w:r w:rsidRPr="00D10FEB">
        <w:rPr>
          <w:rFonts w:ascii="Arial Narrow" w:hAnsi="Arial Narrow"/>
          <w:b/>
          <w:bCs/>
          <w:sz w:val="20"/>
          <w:szCs w:val="20"/>
          <w:lang w:val="en-GB"/>
        </w:rPr>
        <w:t xml:space="preserve">P1 Blue - No alignment; </w:t>
      </w:r>
    </w:p>
    <w:p w:rsidR="00010640" w:rsidRPr="00D10FEB" w:rsidRDefault="00010640" w:rsidP="00010640">
      <w:pPr>
        <w:numPr>
          <w:ilvl w:val="0"/>
          <w:numId w:val="21"/>
        </w:numPr>
        <w:spacing w:after="120"/>
        <w:rPr>
          <w:rFonts w:ascii="Arial Narrow" w:hAnsi="Arial Narrow"/>
          <w:b/>
          <w:bCs/>
          <w:sz w:val="20"/>
          <w:szCs w:val="20"/>
          <w:lang w:val="en-GB"/>
        </w:rPr>
      </w:pPr>
      <w:r w:rsidRPr="00D10FEB">
        <w:rPr>
          <w:rFonts w:ascii="Arial Narrow" w:hAnsi="Arial Narrow"/>
          <w:b/>
          <w:bCs/>
          <w:sz w:val="20"/>
          <w:szCs w:val="20"/>
          <w:lang w:val="en-GB"/>
        </w:rPr>
        <w:t>P2 Connectivity - No alignment.</w:t>
      </w:r>
    </w:p>
    <w:p w:rsidR="00010640" w:rsidRPr="00D10FEB" w:rsidRDefault="00010640" w:rsidP="00010640">
      <w:pPr>
        <w:numPr>
          <w:ilvl w:val="0"/>
          <w:numId w:val="21"/>
        </w:numPr>
        <w:spacing w:after="120"/>
        <w:rPr>
          <w:rFonts w:ascii="Arial Narrow" w:hAnsi="Arial Narrow"/>
          <w:b/>
          <w:bCs/>
          <w:sz w:val="20"/>
          <w:szCs w:val="20"/>
          <w:lang w:val="en-GB"/>
        </w:rPr>
      </w:pPr>
      <w:r w:rsidRPr="00D10FEB">
        <w:rPr>
          <w:rFonts w:ascii="Arial Narrow" w:hAnsi="Arial Narrow"/>
          <w:b/>
          <w:bCs/>
          <w:sz w:val="20"/>
          <w:szCs w:val="20"/>
          <w:lang w:val="en-GB"/>
        </w:rPr>
        <w:t>P3 Envioronemt - No alignment.</w:t>
      </w:r>
    </w:p>
    <w:p w:rsidR="00010640" w:rsidRPr="00D10FEB" w:rsidRDefault="00010640" w:rsidP="00010640">
      <w:pPr>
        <w:numPr>
          <w:ilvl w:val="0"/>
          <w:numId w:val="21"/>
        </w:numPr>
        <w:spacing w:after="120"/>
        <w:rPr>
          <w:rFonts w:ascii="Arial Narrow" w:hAnsi="Arial Narrow"/>
          <w:b/>
          <w:bCs/>
          <w:sz w:val="20"/>
          <w:szCs w:val="20"/>
          <w:lang w:val="en-GB"/>
        </w:rPr>
      </w:pPr>
      <w:r w:rsidRPr="00D10FEB">
        <w:rPr>
          <w:rFonts w:ascii="Arial Narrow" w:hAnsi="Arial Narrow"/>
          <w:b/>
          <w:bCs/>
          <w:sz w:val="20"/>
          <w:szCs w:val="20"/>
          <w:lang w:val="en-GB"/>
        </w:rPr>
        <w:t xml:space="preserve">P4 Tourism - No alignment. </w:t>
      </w:r>
    </w:p>
    <w:p w:rsidR="008C5030" w:rsidRPr="00D10FEB" w:rsidRDefault="008C5030" w:rsidP="00A43FFD">
      <w:pPr>
        <w:pStyle w:val="Heading3"/>
        <w:shd w:val="clear" w:color="auto" w:fill="DAE9F7" w:themeFill="text2" w:themeFillTint="1A"/>
        <w:rPr>
          <w:rStyle w:val="Strong"/>
          <w:rFonts w:ascii="Franklin Gothic Heavy" w:hAnsi="Franklin Gothic Heavy"/>
          <w:sz w:val="24"/>
          <w:szCs w:val="24"/>
          <w:lang w:val="en-GB"/>
        </w:rPr>
      </w:pPr>
      <w:bookmarkStart w:id="16" w:name="_Toc221105726"/>
      <w:r w:rsidRPr="00D10FEB">
        <w:rPr>
          <w:rStyle w:val="Strong"/>
          <w:rFonts w:ascii="Franklin Gothic Heavy" w:hAnsi="Franklin Gothic Heavy"/>
          <w:sz w:val="24"/>
          <w:szCs w:val="24"/>
          <w:lang w:val="en-GB"/>
        </w:rPr>
        <w:t>Reform Agenda</w:t>
      </w:r>
      <w:bookmarkEnd w:id="16"/>
    </w:p>
    <w:p w:rsidR="008C5030" w:rsidRPr="00D10FEB" w:rsidRDefault="008C5030" w:rsidP="008C5030">
      <w:pPr>
        <w:pStyle w:val="p1"/>
        <w:spacing w:before="0" w:beforeAutospacing="0" w:after="120" w:afterAutospacing="0"/>
        <w:jc w:val="both"/>
        <w:rPr>
          <w:rFonts w:ascii="Arial Narrow" w:hAnsi="Arial Narrow"/>
          <w:sz w:val="20"/>
          <w:szCs w:val="20"/>
          <w:lang w:val="en-GB"/>
        </w:rPr>
      </w:pPr>
      <w:r w:rsidRPr="00D10FEB">
        <w:rPr>
          <w:rStyle w:val="s1"/>
          <w:rFonts w:ascii="Arial Narrow" w:eastAsiaTheme="majorEastAsia" w:hAnsi="Arial Narrow"/>
          <w:b/>
          <w:bCs/>
          <w:sz w:val="20"/>
          <w:szCs w:val="20"/>
          <w:lang w:val="en-GB"/>
        </w:rPr>
        <w:t>Pillar 1 – Blue Sustainable Economy (Partial):</w:t>
      </w:r>
      <w:r w:rsidRPr="00D10FEB">
        <w:rPr>
          <w:rFonts w:ascii="Arial Narrow" w:hAnsi="Arial Narrow"/>
          <w:sz w:val="20"/>
          <w:szCs w:val="20"/>
          <w:lang w:val="en-GB"/>
        </w:rPr>
        <w:t xml:space="preserve"> As a landlocked country, North Macedonia has no marine-economy reforms, but Pillar 1 also covers green technologies and innovation, which the Reform Agenda advances through competitiveness, R&amp;D incentives, digitisation, renewables, and resource-efficiency measures. These provide a partial fit. Full alignment is limited by geography, though freshwater ecosystem management and participation in regional green-innovation networks could strengthen it.</w:t>
      </w:r>
    </w:p>
    <w:p w:rsidR="008C5030" w:rsidRPr="00D10FEB" w:rsidRDefault="008C5030" w:rsidP="008C5030">
      <w:pPr>
        <w:pStyle w:val="p1"/>
        <w:spacing w:before="0" w:beforeAutospacing="0" w:after="120" w:afterAutospacing="0"/>
        <w:jc w:val="both"/>
        <w:rPr>
          <w:rFonts w:ascii="Arial Narrow" w:hAnsi="Arial Narrow"/>
          <w:sz w:val="20"/>
          <w:szCs w:val="20"/>
          <w:lang w:val="en-GB"/>
        </w:rPr>
      </w:pPr>
      <w:r w:rsidRPr="00D10FEB">
        <w:rPr>
          <w:rStyle w:val="s1"/>
          <w:rFonts w:ascii="Arial Narrow" w:eastAsiaTheme="majorEastAsia" w:hAnsi="Arial Narrow"/>
          <w:b/>
          <w:bCs/>
          <w:sz w:val="20"/>
          <w:szCs w:val="20"/>
          <w:lang w:val="en-GB"/>
        </w:rPr>
        <w:t>Pillar 2 – Connecting the Region (Direct):</w:t>
      </w:r>
      <w:r w:rsidRPr="00D10FEB">
        <w:rPr>
          <w:rFonts w:ascii="Arial Narrow" w:hAnsi="Arial Narrow"/>
          <w:sz w:val="20"/>
          <w:szCs w:val="20"/>
          <w:lang w:val="en-GB"/>
        </w:rPr>
        <w:t xml:space="preserve"> Alignment is strong in transport and energy. The agenda restructures rail, upgrades Corridor VIII/X, improves travel times, deploys ITS, and raises road safety to meet TEN-T standards. Energy reforms pursue unbundling, market coupling, renewables, efficiency, and decarbonisation legislation, mirroring Pillar 2 topics. Digital connectivity further supports regional integration.</w:t>
      </w:r>
    </w:p>
    <w:p w:rsidR="008C5030" w:rsidRPr="00D10FEB" w:rsidRDefault="008C5030" w:rsidP="008C5030">
      <w:pPr>
        <w:pStyle w:val="p1"/>
        <w:spacing w:before="0" w:beforeAutospacing="0" w:after="120" w:afterAutospacing="0"/>
        <w:jc w:val="both"/>
        <w:rPr>
          <w:rFonts w:ascii="Arial Narrow" w:hAnsi="Arial Narrow"/>
          <w:sz w:val="20"/>
          <w:szCs w:val="20"/>
          <w:lang w:val="en-GB"/>
        </w:rPr>
      </w:pPr>
      <w:r w:rsidRPr="00D10FEB">
        <w:rPr>
          <w:rStyle w:val="s1"/>
          <w:rFonts w:ascii="Arial Narrow" w:eastAsiaTheme="majorEastAsia" w:hAnsi="Arial Narrow"/>
          <w:b/>
          <w:bCs/>
          <w:sz w:val="20"/>
          <w:szCs w:val="20"/>
          <w:lang w:val="en-GB"/>
        </w:rPr>
        <w:t>Pillar 3 – Environmental Quality (Partial):</w:t>
      </w:r>
      <w:r w:rsidRPr="00D10FEB">
        <w:rPr>
          <w:rFonts w:ascii="Arial Narrow" w:hAnsi="Arial Narrow"/>
          <w:sz w:val="20"/>
          <w:szCs w:val="20"/>
          <w:lang w:val="en-GB"/>
        </w:rPr>
        <w:t xml:space="preserve"> Actions target air-quality improvement, industrial emissions, wastewater, climate strategies, and EU acquis harmonisation, matching Pillar 3’s pollution-reduction and resilience </w:t>
      </w:r>
      <w:proofErr w:type="gramStart"/>
      <w:r w:rsidRPr="00D10FEB">
        <w:rPr>
          <w:rFonts w:ascii="Arial Narrow" w:hAnsi="Arial Narrow"/>
          <w:sz w:val="20"/>
          <w:szCs w:val="20"/>
          <w:lang w:val="en-GB"/>
        </w:rPr>
        <w:t>aims</w:t>
      </w:r>
      <w:proofErr w:type="gramEnd"/>
      <w:r w:rsidRPr="00D10FEB">
        <w:rPr>
          <w:rFonts w:ascii="Arial Narrow" w:hAnsi="Arial Narrow"/>
          <w:sz w:val="20"/>
          <w:szCs w:val="20"/>
          <w:lang w:val="en-GB"/>
        </w:rPr>
        <w:t>. Biodiversity and transnational ecosystem cooperation are less explicit. Stronger cross-border work on nature protection, river-basin management, and shared data platforms would improve alignment.</w:t>
      </w:r>
    </w:p>
    <w:p w:rsidR="008C5030" w:rsidRPr="00D10FEB" w:rsidRDefault="008C5030" w:rsidP="008C5030">
      <w:pPr>
        <w:pStyle w:val="p1"/>
        <w:spacing w:before="0" w:beforeAutospacing="0" w:after="120" w:afterAutospacing="0"/>
        <w:jc w:val="both"/>
        <w:rPr>
          <w:rFonts w:ascii="Arial Narrow" w:hAnsi="Arial Narrow"/>
          <w:sz w:val="20"/>
          <w:szCs w:val="20"/>
          <w:lang w:val="en-GB"/>
        </w:rPr>
      </w:pPr>
      <w:r w:rsidRPr="00D10FEB">
        <w:rPr>
          <w:rStyle w:val="s1"/>
          <w:rFonts w:ascii="Arial Narrow" w:eastAsiaTheme="majorEastAsia" w:hAnsi="Arial Narrow"/>
          <w:b/>
          <w:bCs/>
          <w:sz w:val="20"/>
          <w:szCs w:val="20"/>
          <w:lang w:val="en-GB"/>
        </w:rPr>
        <w:t>Pillar 4 – Sustainable Tourism (Indirect):</w:t>
      </w:r>
      <w:r w:rsidRPr="00D10FEB">
        <w:rPr>
          <w:rFonts w:ascii="Arial Narrow" w:hAnsi="Arial Narrow"/>
          <w:sz w:val="20"/>
          <w:szCs w:val="20"/>
          <w:lang w:val="en-GB"/>
        </w:rPr>
        <w:t xml:space="preserve"> Tourism reforms are not a focus. Indirect links arise through formalisation efforts (inspections against informality), cultural-heritage management, and digitalisation that can benefit the sector. There is no dedicated sustainable-tourism strategy or regional product development; embedding EUSAIR projects and joint promotion could convert indirect links into concrete actions.</w:t>
      </w:r>
    </w:p>
    <w:p w:rsidR="008C5030" w:rsidRPr="00D10FEB" w:rsidRDefault="008C5030" w:rsidP="008C5030">
      <w:pPr>
        <w:pStyle w:val="p1"/>
        <w:spacing w:before="0" w:beforeAutospacing="0" w:after="120" w:afterAutospacing="0"/>
        <w:jc w:val="both"/>
        <w:rPr>
          <w:rFonts w:ascii="Arial Narrow" w:hAnsi="Arial Narrow"/>
          <w:sz w:val="20"/>
          <w:szCs w:val="20"/>
          <w:lang w:val="en-GB"/>
        </w:rPr>
      </w:pPr>
      <w:r w:rsidRPr="00D10FEB">
        <w:rPr>
          <w:rStyle w:val="s1"/>
          <w:rFonts w:ascii="Arial Narrow" w:eastAsiaTheme="majorEastAsia" w:hAnsi="Arial Narrow"/>
          <w:b/>
          <w:bCs/>
          <w:sz w:val="20"/>
          <w:szCs w:val="20"/>
          <w:lang w:val="en-GB"/>
        </w:rPr>
        <w:t>Pillar 5 – Improved Social Cohesion (Direct):</w:t>
      </w:r>
      <w:r w:rsidRPr="00D10FEB">
        <w:rPr>
          <w:rFonts w:ascii="Arial Narrow" w:hAnsi="Arial Narrow"/>
          <w:sz w:val="20"/>
          <w:szCs w:val="20"/>
          <w:lang w:val="en-GB"/>
        </w:rPr>
        <w:t xml:space="preserve"> The agenda prioritises education reform, active labour policies, social protection, gender equality, and inclusion, aligning closely with Pillar 5. Youth Guarantee measures and skills initiatives support green/digital transitions and regional labour-mobility goals. Participation in macro-regional youth and skills exchanges can deepen this already strong match.</w:t>
      </w:r>
    </w:p>
    <w:p w:rsidR="008C5030" w:rsidRPr="00D10FEB" w:rsidRDefault="008C5030" w:rsidP="008C5030">
      <w:pPr>
        <w:pStyle w:val="p1"/>
        <w:spacing w:before="0" w:beforeAutospacing="0" w:after="120" w:afterAutospacing="0"/>
        <w:jc w:val="both"/>
        <w:rPr>
          <w:rFonts w:ascii="Arial Narrow" w:hAnsi="Arial Narrow"/>
          <w:sz w:val="20"/>
          <w:szCs w:val="20"/>
          <w:lang w:val="en-GB"/>
        </w:rPr>
      </w:pPr>
      <w:r w:rsidRPr="00D10FEB">
        <w:rPr>
          <w:rFonts w:ascii="Arial Narrow" w:hAnsi="Arial Narrow"/>
          <w:b/>
          <w:bCs/>
          <w:sz w:val="20"/>
          <w:szCs w:val="20"/>
          <w:lang w:val="en-GB"/>
        </w:rPr>
        <w:t>North Macedonia — indicative WBIF investments.</w:t>
      </w:r>
      <w:r w:rsidRPr="00D10FEB">
        <w:rPr>
          <w:rFonts w:ascii="Arial Narrow" w:hAnsi="Arial Narrow"/>
          <w:sz w:val="20"/>
          <w:szCs w:val="20"/>
          <w:lang w:val="en-GB"/>
        </w:rPr>
        <w:t xml:space="preserve"> The Reform Agenda aligns its list with the government’s updated project pipeline and complements ongoing WBIF grants, notably rehabilitation and reconstruction of bridges on Corridor X and rehabilitation of three motorway sections at the VIII/X intersection (Skopje–</w:t>
      </w:r>
      <w:proofErr w:type="spellStart"/>
      <w:r w:rsidRPr="00D10FEB">
        <w:rPr>
          <w:rFonts w:ascii="Arial Narrow" w:hAnsi="Arial Narrow"/>
          <w:sz w:val="20"/>
          <w:szCs w:val="20"/>
          <w:lang w:val="en-GB"/>
        </w:rPr>
        <w:t>Petrovec</w:t>
      </w:r>
      <w:proofErr w:type="spellEnd"/>
      <w:r w:rsidRPr="00D10FEB">
        <w:rPr>
          <w:rFonts w:ascii="Arial Narrow" w:hAnsi="Arial Narrow"/>
          <w:sz w:val="20"/>
          <w:szCs w:val="20"/>
          <w:lang w:val="en-GB"/>
        </w:rPr>
        <w:t>; Skopje–</w:t>
      </w:r>
      <w:proofErr w:type="spellStart"/>
      <w:r w:rsidRPr="00D10FEB">
        <w:rPr>
          <w:rFonts w:ascii="Arial Narrow" w:hAnsi="Arial Narrow"/>
          <w:sz w:val="20"/>
          <w:szCs w:val="20"/>
          <w:lang w:val="en-GB"/>
        </w:rPr>
        <w:t>Miladinovci</w:t>
      </w:r>
      <w:proofErr w:type="spellEnd"/>
      <w:r w:rsidRPr="00D10FEB">
        <w:rPr>
          <w:rFonts w:ascii="Arial Narrow" w:hAnsi="Arial Narrow"/>
          <w:sz w:val="20"/>
          <w:szCs w:val="20"/>
          <w:lang w:val="en-GB"/>
        </w:rPr>
        <w:t xml:space="preserve">; </w:t>
      </w:r>
      <w:proofErr w:type="spellStart"/>
      <w:r w:rsidRPr="00D10FEB">
        <w:rPr>
          <w:rFonts w:ascii="Arial Narrow" w:hAnsi="Arial Narrow"/>
          <w:sz w:val="20"/>
          <w:szCs w:val="20"/>
          <w:lang w:val="en-GB"/>
        </w:rPr>
        <w:t>Miladinovci</w:t>
      </w:r>
      <w:proofErr w:type="spellEnd"/>
      <w:r w:rsidRPr="00D10FEB">
        <w:rPr>
          <w:rFonts w:ascii="Arial Narrow" w:hAnsi="Arial Narrow"/>
          <w:sz w:val="20"/>
          <w:szCs w:val="20"/>
          <w:lang w:val="en-GB"/>
        </w:rPr>
        <w:t>–</w:t>
      </w:r>
      <w:proofErr w:type="spellStart"/>
      <w:r w:rsidRPr="00D10FEB">
        <w:rPr>
          <w:rFonts w:ascii="Arial Narrow" w:hAnsi="Arial Narrow"/>
          <w:sz w:val="20"/>
          <w:szCs w:val="20"/>
          <w:lang w:val="en-GB"/>
        </w:rPr>
        <w:t>Petrovec</w:t>
      </w:r>
      <w:proofErr w:type="spellEnd"/>
      <w:r w:rsidRPr="00D10FEB">
        <w:rPr>
          <w:rFonts w:ascii="Arial Narrow" w:hAnsi="Arial Narrow"/>
          <w:sz w:val="20"/>
          <w:szCs w:val="20"/>
          <w:lang w:val="en-GB"/>
        </w:rPr>
        <w:t>). Looking ahead, it plans rail and road upgrades on Corridors X and VIII and the necessary ITS “soft” components to ensure efficient connectivity.</w:t>
      </w:r>
    </w:p>
    <w:p w:rsidR="008C5030" w:rsidRPr="00D10FEB" w:rsidRDefault="008C5030" w:rsidP="008C5030">
      <w:pPr>
        <w:spacing w:after="120"/>
        <w:jc w:val="both"/>
        <w:rPr>
          <w:rFonts w:ascii="Arial Narrow" w:hAnsi="Arial Narrow"/>
          <w:i/>
          <w:iCs/>
          <w:sz w:val="20"/>
          <w:szCs w:val="20"/>
          <w:lang w:val="en-GB"/>
        </w:rPr>
      </w:pPr>
      <w:r w:rsidRPr="00D10FEB">
        <w:rPr>
          <w:rFonts w:ascii="Arial Narrow" w:hAnsi="Arial Narrow"/>
          <w:i/>
          <w:iCs/>
          <w:sz w:val="20"/>
          <w:szCs w:val="20"/>
          <w:lang w:val="en-GB"/>
        </w:rPr>
        <w:t xml:space="preserve">(Table </w:t>
      </w:r>
      <w:r w:rsidR="00D10FEB" w:rsidRPr="00D10FEB">
        <w:rPr>
          <w:rFonts w:ascii="Arial Narrow" w:hAnsi="Arial Narrow"/>
          <w:i/>
          <w:iCs/>
          <w:sz w:val="20"/>
          <w:szCs w:val="20"/>
          <w:lang w:val="en-GB"/>
        </w:rPr>
        <w:t>4</w:t>
      </w:r>
      <w:r w:rsidRPr="00D10FEB">
        <w:rPr>
          <w:rFonts w:ascii="Arial Narrow" w:hAnsi="Arial Narrow"/>
          <w:i/>
          <w:iCs/>
          <w:sz w:val="20"/>
          <w:szCs w:val="20"/>
          <w:lang w:val="en-GB"/>
        </w:rPr>
        <w:t xml:space="preserve"> summarizes North Macedonia’s alignment.)</w:t>
      </w:r>
    </w:p>
    <w:tbl>
      <w:tblPr>
        <w:tblStyle w:val="GridTable1Light-Accent1"/>
        <w:tblW w:w="0" w:type="auto"/>
        <w:tblLook w:val="04A0" w:firstRow="1" w:lastRow="0" w:firstColumn="1" w:lastColumn="0" w:noHBand="0" w:noVBand="1"/>
      </w:tblPr>
      <w:tblGrid>
        <w:gridCol w:w="1493"/>
        <w:gridCol w:w="3118"/>
        <w:gridCol w:w="1123"/>
        <w:gridCol w:w="3282"/>
      </w:tblGrid>
      <w:tr w:rsidR="008C5030" w:rsidRPr="00D10FEB" w:rsidTr="00DB6F7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8C5030" w:rsidRPr="00D10FEB" w:rsidRDefault="008C5030" w:rsidP="00DB6F78">
            <w:pPr>
              <w:spacing w:after="120"/>
              <w:rPr>
                <w:rFonts w:ascii="Arial Narrow" w:hAnsi="Arial Narrow"/>
                <w:sz w:val="20"/>
                <w:szCs w:val="20"/>
                <w:lang w:val="en-GB"/>
              </w:rPr>
            </w:pPr>
            <w:r w:rsidRPr="00D10FEB">
              <w:rPr>
                <w:rFonts w:ascii="Arial Narrow" w:hAnsi="Arial Narrow"/>
                <w:sz w:val="20"/>
                <w:szCs w:val="20"/>
                <w:lang w:val="en-GB"/>
              </w:rPr>
              <w:t>EUSAIR Pillar</w:t>
            </w:r>
          </w:p>
        </w:tc>
        <w:tc>
          <w:tcPr>
            <w:tcW w:w="0" w:type="auto"/>
            <w:vAlign w:val="center"/>
            <w:hideMark/>
          </w:tcPr>
          <w:p w:rsidR="008C5030" w:rsidRPr="00D10FEB" w:rsidRDefault="008C5030" w:rsidP="00DB6F78">
            <w:pPr>
              <w:spacing w:after="120"/>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Alignment with North Macedonia RA</w:t>
            </w:r>
          </w:p>
        </w:tc>
        <w:tc>
          <w:tcPr>
            <w:tcW w:w="0" w:type="auto"/>
            <w:vAlign w:val="center"/>
            <w:hideMark/>
          </w:tcPr>
          <w:p w:rsidR="008C5030" w:rsidRPr="00D10FEB" w:rsidRDefault="008C5030" w:rsidP="00DB6F78">
            <w:pPr>
              <w:spacing w:after="120"/>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Alignment Type</w:t>
            </w:r>
          </w:p>
        </w:tc>
        <w:tc>
          <w:tcPr>
            <w:tcW w:w="0" w:type="auto"/>
            <w:vAlign w:val="center"/>
            <w:hideMark/>
          </w:tcPr>
          <w:p w:rsidR="008C5030" w:rsidRPr="00D10FEB" w:rsidRDefault="008C5030" w:rsidP="00DB6F78">
            <w:pPr>
              <w:spacing w:after="120"/>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Examples of RA Reforms</w:t>
            </w:r>
          </w:p>
        </w:tc>
      </w:tr>
      <w:tr w:rsidR="008C5030" w:rsidRPr="00D10FEB" w:rsidTr="00DB6F78">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8C5030" w:rsidRPr="00D10FEB" w:rsidRDefault="008C5030" w:rsidP="00DB6F78">
            <w:pPr>
              <w:spacing w:after="120"/>
              <w:rPr>
                <w:rFonts w:ascii="Arial Narrow" w:hAnsi="Arial Narrow"/>
                <w:b w:val="0"/>
                <w:bCs w:val="0"/>
                <w:sz w:val="20"/>
                <w:szCs w:val="20"/>
                <w:lang w:val="en-GB"/>
              </w:rPr>
            </w:pPr>
            <w:r w:rsidRPr="00D10FEB">
              <w:rPr>
                <w:rFonts w:ascii="Arial Narrow" w:hAnsi="Arial Narrow"/>
                <w:b w:val="0"/>
                <w:bCs w:val="0"/>
                <w:sz w:val="20"/>
                <w:szCs w:val="20"/>
                <w:lang w:val="en-GB"/>
              </w:rPr>
              <w:t>P1. Blue Sustainable Economy</w:t>
            </w:r>
          </w:p>
        </w:tc>
        <w:tc>
          <w:tcPr>
            <w:tcW w:w="0" w:type="auto"/>
            <w:vAlign w:val="center"/>
            <w:hideMark/>
          </w:tcPr>
          <w:p w:rsidR="008C5030" w:rsidRPr="00D10FEB" w:rsidRDefault="008C5030" w:rsidP="00DB6F7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Reflected through innovation and green technology efforts (no marine aspect due to geography).</w:t>
            </w:r>
          </w:p>
        </w:tc>
        <w:tc>
          <w:tcPr>
            <w:tcW w:w="0" w:type="auto"/>
            <w:vAlign w:val="center"/>
            <w:hideMark/>
          </w:tcPr>
          <w:p w:rsidR="008C5030" w:rsidRPr="00D10FEB" w:rsidRDefault="008C5030" w:rsidP="00DB6F7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 xml:space="preserve">Partial </w:t>
            </w:r>
          </w:p>
        </w:tc>
        <w:tc>
          <w:tcPr>
            <w:tcW w:w="0" w:type="auto"/>
            <w:vAlign w:val="center"/>
            <w:hideMark/>
          </w:tcPr>
          <w:p w:rsidR="008C5030" w:rsidRPr="00D10FEB" w:rsidRDefault="008C5030" w:rsidP="00DB6F7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Innovation ecosystem reforms; support for renewable energy tech and circular economy (as part of competitiveness).</w:t>
            </w:r>
          </w:p>
        </w:tc>
      </w:tr>
      <w:tr w:rsidR="008C5030" w:rsidRPr="00D10FEB" w:rsidTr="00DB6F78">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8C5030" w:rsidRPr="00D10FEB" w:rsidRDefault="008C5030" w:rsidP="00DB6F78">
            <w:pPr>
              <w:spacing w:after="120"/>
              <w:rPr>
                <w:rFonts w:ascii="Arial Narrow" w:hAnsi="Arial Narrow"/>
                <w:b w:val="0"/>
                <w:bCs w:val="0"/>
                <w:sz w:val="20"/>
                <w:szCs w:val="20"/>
                <w:lang w:val="en-GB"/>
              </w:rPr>
            </w:pPr>
            <w:r w:rsidRPr="00D10FEB">
              <w:rPr>
                <w:rFonts w:ascii="Arial Narrow" w:hAnsi="Arial Narrow"/>
                <w:b w:val="0"/>
                <w:bCs w:val="0"/>
                <w:sz w:val="20"/>
                <w:szCs w:val="20"/>
                <w:lang w:val="en-GB"/>
              </w:rPr>
              <w:t>P2. Connecting the Region</w:t>
            </w:r>
          </w:p>
        </w:tc>
        <w:tc>
          <w:tcPr>
            <w:tcW w:w="0" w:type="auto"/>
            <w:vAlign w:val="center"/>
            <w:hideMark/>
          </w:tcPr>
          <w:p w:rsidR="008C5030" w:rsidRPr="00D10FEB" w:rsidRDefault="008C5030" w:rsidP="00DB6F7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Comprehensive coverage in transport (Corridor infrastructure, ITS) and energy (market reform, renewables) domains.</w:t>
            </w:r>
          </w:p>
        </w:tc>
        <w:tc>
          <w:tcPr>
            <w:tcW w:w="0" w:type="auto"/>
            <w:vAlign w:val="center"/>
            <w:hideMark/>
          </w:tcPr>
          <w:p w:rsidR="008C5030" w:rsidRPr="00D10FEB" w:rsidRDefault="008C5030" w:rsidP="00DB6F7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Direct</w:t>
            </w:r>
          </w:p>
        </w:tc>
        <w:tc>
          <w:tcPr>
            <w:tcW w:w="0" w:type="auto"/>
            <w:vAlign w:val="center"/>
            <w:hideMark/>
          </w:tcPr>
          <w:p w:rsidR="008C5030" w:rsidRPr="00D10FEB" w:rsidRDefault="008C5030" w:rsidP="00DB6F7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 xml:space="preserve">Rail operator restructuring; ITS implementation on Corridor X; electricity market coupling with </w:t>
            </w:r>
            <w:proofErr w:type="spellStart"/>
            <w:r w:rsidRPr="00D10FEB">
              <w:rPr>
                <w:rFonts w:ascii="Arial Narrow" w:hAnsi="Arial Narrow"/>
                <w:sz w:val="20"/>
                <w:szCs w:val="20"/>
                <w:lang w:val="en-GB"/>
              </w:rPr>
              <w:t>neighbors</w:t>
            </w:r>
            <w:proofErr w:type="spellEnd"/>
            <w:r w:rsidRPr="00D10FEB">
              <w:rPr>
                <w:rFonts w:ascii="Arial Narrow" w:hAnsi="Arial Narrow"/>
                <w:sz w:val="20"/>
                <w:szCs w:val="20"/>
                <w:lang w:val="en-GB"/>
              </w:rPr>
              <w:t>; new solar/wind investments.</w:t>
            </w:r>
          </w:p>
        </w:tc>
      </w:tr>
      <w:tr w:rsidR="008C5030" w:rsidRPr="00D10FEB" w:rsidTr="00DB6F78">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8C5030" w:rsidRPr="00D10FEB" w:rsidRDefault="008C5030" w:rsidP="00DB6F78">
            <w:pPr>
              <w:spacing w:after="120"/>
              <w:rPr>
                <w:rFonts w:ascii="Arial Narrow" w:hAnsi="Arial Narrow"/>
                <w:b w:val="0"/>
                <w:bCs w:val="0"/>
                <w:sz w:val="20"/>
                <w:szCs w:val="20"/>
                <w:lang w:val="en-GB"/>
              </w:rPr>
            </w:pPr>
            <w:r w:rsidRPr="00D10FEB">
              <w:rPr>
                <w:rFonts w:ascii="Arial Narrow" w:hAnsi="Arial Narrow"/>
                <w:b w:val="0"/>
                <w:bCs w:val="0"/>
                <w:sz w:val="20"/>
                <w:szCs w:val="20"/>
                <w:lang w:val="en-GB"/>
              </w:rPr>
              <w:t>P3. Environmental Quality</w:t>
            </w:r>
          </w:p>
        </w:tc>
        <w:tc>
          <w:tcPr>
            <w:tcW w:w="0" w:type="auto"/>
            <w:vAlign w:val="center"/>
            <w:hideMark/>
          </w:tcPr>
          <w:p w:rsidR="008C5030" w:rsidRPr="00D10FEB" w:rsidRDefault="008C5030" w:rsidP="00DB6F7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Addressed partly via climate policy and pollution reduction; other environmental measures present in general but not specifically macro-regional.</w:t>
            </w:r>
          </w:p>
        </w:tc>
        <w:tc>
          <w:tcPr>
            <w:tcW w:w="0" w:type="auto"/>
            <w:vAlign w:val="center"/>
            <w:hideMark/>
          </w:tcPr>
          <w:p w:rsidR="008C5030" w:rsidRPr="00D10FEB" w:rsidRDefault="008C5030" w:rsidP="00DB6F7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 xml:space="preserve">Partial </w:t>
            </w:r>
          </w:p>
        </w:tc>
        <w:tc>
          <w:tcPr>
            <w:tcW w:w="0" w:type="auto"/>
            <w:vAlign w:val="center"/>
            <w:hideMark/>
          </w:tcPr>
          <w:p w:rsidR="008C5030" w:rsidRPr="00D10FEB" w:rsidRDefault="008C5030" w:rsidP="00DB6F7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Air quality improvement plan; Climate Strategy adoption; strengthening protected areas (forests, national parks).</w:t>
            </w:r>
          </w:p>
        </w:tc>
      </w:tr>
      <w:tr w:rsidR="008C5030" w:rsidRPr="00D10FEB" w:rsidTr="00DB6F78">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8C5030" w:rsidRPr="00D10FEB" w:rsidRDefault="008C5030" w:rsidP="00DB6F78">
            <w:pPr>
              <w:spacing w:after="120"/>
              <w:rPr>
                <w:rFonts w:ascii="Arial Narrow" w:hAnsi="Arial Narrow"/>
                <w:b w:val="0"/>
                <w:bCs w:val="0"/>
                <w:sz w:val="20"/>
                <w:szCs w:val="20"/>
                <w:lang w:val="en-GB"/>
              </w:rPr>
            </w:pPr>
            <w:r w:rsidRPr="00D10FEB">
              <w:rPr>
                <w:rFonts w:ascii="Arial Narrow" w:hAnsi="Arial Narrow"/>
                <w:b w:val="0"/>
                <w:bCs w:val="0"/>
                <w:sz w:val="20"/>
                <w:szCs w:val="20"/>
                <w:lang w:val="en-GB"/>
              </w:rPr>
              <w:t>P4. Sustainable Tourism</w:t>
            </w:r>
          </w:p>
        </w:tc>
        <w:tc>
          <w:tcPr>
            <w:tcW w:w="0" w:type="auto"/>
            <w:vAlign w:val="center"/>
            <w:hideMark/>
          </w:tcPr>
          <w:p w:rsidR="008C5030" w:rsidRPr="00D10FEB" w:rsidRDefault="008C5030" w:rsidP="00DB6F7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Little to no direct focus; only implicit improvements via formalizing tourism businesses and digital reforms.</w:t>
            </w:r>
          </w:p>
        </w:tc>
        <w:tc>
          <w:tcPr>
            <w:tcW w:w="0" w:type="auto"/>
            <w:vAlign w:val="center"/>
            <w:hideMark/>
          </w:tcPr>
          <w:p w:rsidR="008C5030" w:rsidRPr="00D10FEB" w:rsidRDefault="008C5030" w:rsidP="00DB6F7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Indirect Relevance</w:t>
            </w:r>
          </w:p>
        </w:tc>
        <w:tc>
          <w:tcPr>
            <w:tcW w:w="0" w:type="auto"/>
            <w:vAlign w:val="center"/>
            <w:hideMark/>
          </w:tcPr>
          <w:p w:rsidR="008C5030" w:rsidRPr="00D10FEB" w:rsidRDefault="008C5030" w:rsidP="00DB6F7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Campaign against informal tourism operators; e-permitting and digital skills that can help tourism SMEs.</w:t>
            </w:r>
          </w:p>
        </w:tc>
      </w:tr>
      <w:tr w:rsidR="008C5030" w:rsidRPr="00D10FEB" w:rsidTr="00DB6F78">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8C5030" w:rsidRPr="00D10FEB" w:rsidRDefault="008C5030" w:rsidP="00DB6F78">
            <w:pPr>
              <w:spacing w:after="120"/>
              <w:rPr>
                <w:rFonts w:ascii="Arial Narrow" w:hAnsi="Arial Narrow"/>
                <w:b w:val="0"/>
                <w:bCs w:val="0"/>
                <w:sz w:val="20"/>
                <w:szCs w:val="20"/>
                <w:lang w:val="en-GB"/>
              </w:rPr>
            </w:pPr>
            <w:r w:rsidRPr="00D10FEB">
              <w:rPr>
                <w:rFonts w:ascii="Arial Narrow" w:hAnsi="Arial Narrow"/>
                <w:b w:val="0"/>
                <w:bCs w:val="0"/>
                <w:sz w:val="20"/>
                <w:szCs w:val="20"/>
                <w:lang w:val="en-GB"/>
              </w:rPr>
              <w:t>P5. Social Cohesion</w:t>
            </w:r>
          </w:p>
        </w:tc>
        <w:tc>
          <w:tcPr>
            <w:tcW w:w="0" w:type="auto"/>
            <w:vAlign w:val="center"/>
            <w:hideMark/>
          </w:tcPr>
          <w:p w:rsidR="008C5030" w:rsidRPr="00D10FEB" w:rsidRDefault="008C5030" w:rsidP="00DB6F7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 xml:space="preserve">Strongly reflected in education overhaul, active </w:t>
            </w:r>
            <w:proofErr w:type="spellStart"/>
            <w:r w:rsidRPr="00D10FEB">
              <w:rPr>
                <w:rFonts w:ascii="Arial Narrow" w:hAnsi="Arial Narrow"/>
                <w:sz w:val="20"/>
                <w:szCs w:val="20"/>
                <w:lang w:val="en-GB"/>
              </w:rPr>
              <w:t>labor</w:t>
            </w:r>
            <w:proofErr w:type="spellEnd"/>
            <w:r w:rsidRPr="00D10FEB">
              <w:rPr>
                <w:rFonts w:ascii="Arial Narrow" w:hAnsi="Arial Narrow"/>
                <w:sz w:val="20"/>
                <w:szCs w:val="20"/>
                <w:lang w:val="en-GB"/>
              </w:rPr>
              <w:t xml:space="preserve"> measures, and social inclusion policies aligning with pillar goals.</w:t>
            </w:r>
          </w:p>
        </w:tc>
        <w:tc>
          <w:tcPr>
            <w:tcW w:w="0" w:type="auto"/>
            <w:vAlign w:val="center"/>
            <w:hideMark/>
          </w:tcPr>
          <w:p w:rsidR="008C5030" w:rsidRPr="00D10FEB" w:rsidRDefault="008C5030" w:rsidP="00DB6F7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Direct</w:t>
            </w:r>
          </w:p>
        </w:tc>
        <w:tc>
          <w:tcPr>
            <w:tcW w:w="0" w:type="auto"/>
            <w:vAlign w:val="center"/>
            <w:hideMark/>
          </w:tcPr>
          <w:p w:rsidR="008C5030" w:rsidRPr="00D10FEB" w:rsidRDefault="008C5030" w:rsidP="00DB6F7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New Education Strategy implementation; Youth Guarantee program; expanded health insurance and welfare coverage; anti-discrimination initiatives.</w:t>
            </w:r>
          </w:p>
        </w:tc>
      </w:tr>
    </w:tbl>
    <w:p w:rsidR="008C5030" w:rsidRPr="00D10FEB" w:rsidRDefault="008D2B9F" w:rsidP="00A43FFD">
      <w:pPr>
        <w:pStyle w:val="Heading2"/>
        <w:rPr>
          <w:lang w:val="en-GB"/>
        </w:rPr>
      </w:pPr>
      <w:bookmarkStart w:id="17" w:name="_Toc221105727"/>
      <w:r w:rsidRPr="00D10FEB">
        <w:rPr>
          <w:lang w:val="en-GB"/>
        </w:rPr>
        <w:t>Montenegro</w:t>
      </w:r>
      <w:bookmarkEnd w:id="17"/>
      <w:r w:rsidRPr="00D10FEB">
        <w:rPr>
          <w:lang w:val="en-GB"/>
        </w:rPr>
        <w:t xml:space="preserve"> </w:t>
      </w:r>
    </w:p>
    <w:p w:rsidR="008D2B9F" w:rsidRPr="00D10FEB" w:rsidRDefault="008C5030" w:rsidP="00A43FFD">
      <w:pPr>
        <w:pStyle w:val="Heading3"/>
        <w:shd w:val="clear" w:color="auto" w:fill="DAE9F7" w:themeFill="text2" w:themeFillTint="1A"/>
        <w:rPr>
          <w:rStyle w:val="Strong"/>
          <w:rFonts w:ascii="Franklin Gothic Heavy" w:hAnsi="Franklin Gothic Heavy"/>
          <w:sz w:val="24"/>
          <w:szCs w:val="24"/>
          <w:lang w:val="en-GB"/>
        </w:rPr>
      </w:pPr>
      <w:bookmarkStart w:id="18" w:name="_Toc221105728"/>
      <w:r w:rsidRPr="00D10FEB">
        <w:rPr>
          <w:rStyle w:val="Strong"/>
          <w:rFonts w:ascii="Franklin Gothic Heavy" w:hAnsi="Franklin Gothic Heavy"/>
          <w:sz w:val="24"/>
          <w:szCs w:val="24"/>
          <w:lang w:val="en-GB"/>
        </w:rPr>
        <w:t xml:space="preserve">IPA </w:t>
      </w:r>
      <w:r w:rsidR="008D2B9F" w:rsidRPr="00D10FEB">
        <w:rPr>
          <w:rStyle w:val="Strong"/>
          <w:rFonts w:ascii="Franklin Gothic Heavy" w:hAnsi="Franklin Gothic Heavy"/>
          <w:sz w:val="24"/>
          <w:szCs w:val="24"/>
          <w:lang w:val="en-GB"/>
        </w:rPr>
        <w:t>2025–2027</w:t>
      </w:r>
      <w:bookmarkEnd w:id="18"/>
    </w:p>
    <w:p w:rsidR="00436823" w:rsidRPr="00D10FEB" w:rsidRDefault="008D2B9F" w:rsidP="00436823">
      <w:pPr>
        <w:rPr>
          <w:rFonts w:ascii="Arial Narrow" w:hAnsi="Arial Narrow"/>
          <w:b/>
          <w:bCs/>
          <w:lang w:val="en-GB"/>
        </w:rPr>
      </w:pPr>
      <w:r w:rsidRPr="00D10FEB">
        <w:rPr>
          <w:rFonts w:ascii="Arial Narrow" w:hAnsi="Arial Narrow"/>
          <w:b/>
          <w:bCs/>
          <w:lang w:val="en-GB"/>
        </w:rPr>
        <w:t xml:space="preserve">Action Document for the multiannual action in favour of Montenegro 2025–2027 </w:t>
      </w:r>
    </w:p>
    <w:p w:rsidR="00436823" w:rsidRPr="00D10FEB" w:rsidRDefault="00436823" w:rsidP="00436823">
      <w:pPr>
        <w:spacing w:after="120"/>
        <w:rPr>
          <w:rFonts w:ascii="Arial Narrow" w:hAnsi="Arial Narrow"/>
          <w:sz w:val="20"/>
          <w:szCs w:val="20"/>
          <w:lang w:val="en-GB"/>
        </w:rPr>
      </w:pPr>
      <w:r w:rsidRPr="00D10FEB">
        <w:rPr>
          <w:rFonts w:ascii="Arial Narrow" w:hAnsi="Arial Narrow"/>
          <w:sz w:val="20"/>
          <w:szCs w:val="20"/>
          <w:lang w:val="en-GB"/>
        </w:rPr>
        <w:t>Window(s) covered in the AD: Window 1 (rule of law, rights, democracy); Window 2 (governance, acquis alignment)</w:t>
      </w:r>
    </w:p>
    <w:p w:rsidR="00436823" w:rsidRPr="00D10FEB" w:rsidRDefault="008D2B9F" w:rsidP="00436823">
      <w:pPr>
        <w:spacing w:after="120"/>
        <w:rPr>
          <w:rFonts w:ascii="Arial Narrow" w:hAnsi="Arial Narrow"/>
          <w:sz w:val="20"/>
          <w:szCs w:val="20"/>
          <w:lang w:val="en-GB"/>
        </w:rPr>
      </w:pPr>
      <w:r w:rsidRPr="00D10FEB">
        <w:rPr>
          <w:rFonts w:ascii="Arial Narrow" w:hAnsi="Arial Narrow"/>
          <w:sz w:val="20"/>
          <w:szCs w:val="20"/>
          <w:lang w:val="en-GB"/>
        </w:rPr>
        <w:t xml:space="preserve">Total EU contribution: </w:t>
      </w:r>
      <w:r w:rsidR="00436823" w:rsidRPr="00D10FEB">
        <w:rPr>
          <w:rFonts w:ascii="Arial Narrow" w:hAnsi="Arial Narrow"/>
          <w:sz w:val="20"/>
          <w:szCs w:val="20"/>
          <w:lang w:val="en-GB"/>
        </w:rPr>
        <w:t xml:space="preserve">EUR </w:t>
      </w:r>
      <w:r w:rsidRPr="00D10FEB">
        <w:rPr>
          <w:rFonts w:ascii="Arial Narrow" w:hAnsi="Arial Narrow"/>
          <w:sz w:val="20"/>
          <w:szCs w:val="20"/>
          <w:lang w:val="en-GB"/>
        </w:rPr>
        <w:t xml:space="preserve">45,000,000. </w:t>
      </w:r>
    </w:p>
    <w:p w:rsidR="00436823" w:rsidRPr="00D10FEB" w:rsidRDefault="00436823" w:rsidP="00436823">
      <w:pPr>
        <w:spacing w:after="120"/>
        <w:rPr>
          <w:rFonts w:ascii="Arial Narrow" w:hAnsi="Arial Narrow"/>
          <w:sz w:val="20"/>
          <w:szCs w:val="20"/>
          <w:lang w:val="en-GB"/>
        </w:rPr>
      </w:pPr>
      <w:r w:rsidRPr="00D10FEB">
        <w:rPr>
          <w:rFonts w:ascii="Arial Narrow" w:hAnsi="Arial Narrow"/>
          <w:sz w:val="20"/>
          <w:szCs w:val="20"/>
          <w:lang w:val="en-GB"/>
        </w:rPr>
        <w:t xml:space="preserve">Window 1 and Window 2 -- </w:t>
      </w:r>
      <w:r w:rsidRPr="00D10FEB">
        <w:rPr>
          <w:rFonts w:ascii="Arial Narrow" w:hAnsi="Arial Narrow"/>
          <w:b/>
          <w:bCs/>
          <w:sz w:val="20"/>
          <w:szCs w:val="20"/>
          <w:lang w:val="en-GB"/>
        </w:rPr>
        <w:t>Not assessed (method scope).</w:t>
      </w:r>
      <w:r w:rsidRPr="00D10FEB">
        <w:rPr>
          <w:rFonts w:ascii="Arial Narrow" w:hAnsi="Arial Narrow"/>
          <w:sz w:val="20"/>
          <w:szCs w:val="20"/>
          <w:lang w:val="en-GB"/>
        </w:rPr>
        <w:t xml:space="preserve"> </w:t>
      </w:r>
    </w:p>
    <w:p w:rsidR="008C5030" w:rsidRPr="00D10FEB" w:rsidRDefault="008C5030" w:rsidP="00A43FFD">
      <w:pPr>
        <w:pStyle w:val="Heading3"/>
        <w:shd w:val="clear" w:color="auto" w:fill="DAE9F7" w:themeFill="text2" w:themeFillTint="1A"/>
        <w:rPr>
          <w:rStyle w:val="Strong"/>
          <w:rFonts w:ascii="Franklin Gothic Heavy" w:hAnsi="Franklin Gothic Heavy"/>
          <w:sz w:val="24"/>
          <w:szCs w:val="24"/>
          <w:lang w:val="en-GB"/>
        </w:rPr>
      </w:pPr>
      <w:bookmarkStart w:id="19" w:name="_Toc221105729"/>
      <w:r w:rsidRPr="00D10FEB">
        <w:rPr>
          <w:rStyle w:val="Strong"/>
          <w:rFonts w:ascii="Franklin Gothic Heavy" w:hAnsi="Franklin Gothic Heavy"/>
          <w:sz w:val="24"/>
          <w:szCs w:val="24"/>
          <w:lang w:val="en-GB"/>
        </w:rPr>
        <w:t>Reform Agenda</w:t>
      </w:r>
      <w:bookmarkEnd w:id="19"/>
    </w:p>
    <w:p w:rsidR="008C5030" w:rsidRPr="00D10FEB" w:rsidRDefault="008C5030" w:rsidP="008C5030">
      <w:pPr>
        <w:pStyle w:val="p1"/>
        <w:spacing w:before="0" w:beforeAutospacing="0" w:after="120" w:afterAutospacing="0"/>
        <w:jc w:val="both"/>
        <w:rPr>
          <w:rFonts w:ascii="Arial Narrow" w:hAnsi="Arial Narrow"/>
          <w:sz w:val="20"/>
          <w:szCs w:val="20"/>
          <w:lang w:val="en-GB"/>
        </w:rPr>
      </w:pPr>
      <w:r w:rsidRPr="00D10FEB">
        <w:rPr>
          <w:rStyle w:val="s1"/>
          <w:rFonts w:ascii="Arial Narrow" w:eastAsiaTheme="majorEastAsia" w:hAnsi="Arial Narrow"/>
          <w:b/>
          <w:bCs/>
          <w:sz w:val="20"/>
          <w:szCs w:val="20"/>
          <w:lang w:val="en-GB"/>
        </w:rPr>
        <w:t>Pillar 1 – Blue Sustainable Economy (Partial):</w:t>
      </w:r>
      <w:r w:rsidRPr="00D10FEB">
        <w:rPr>
          <w:rFonts w:ascii="Arial Narrow" w:hAnsi="Arial Narrow"/>
          <w:sz w:val="20"/>
          <w:szCs w:val="20"/>
          <w:lang w:val="en-GB"/>
        </w:rPr>
        <w:t xml:space="preserve"> Montenegro’s RA advances innovation, SME support, and green/circular economy measures, which align with Pillar 1’s technology and sustainability aims. However, there are </w:t>
      </w:r>
      <w:r w:rsidRPr="00D10FEB">
        <w:rPr>
          <w:rStyle w:val="s1"/>
          <w:rFonts w:ascii="Arial Narrow" w:eastAsiaTheme="majorEastAsia" w:hAnsi="Arial Narrow"/>
          <w:sz w:val="20"/>
          <w:szCs w:val="20"/>
          <w:lang w:val="en-GB"/>
        </w:rPr>
        <w:t>no explicit fisheries/marine</w:t>
      </w:r>
      <w:r w:rsidRPr="00D10FEB">
        <w:rPr>
          <w:rFonts w:ascii="Arial Narrow" w:hAnsi="Arial Narrow"/>
          <w:sz w:val="20"/>
          <w:szCs w:val="20"/>
          <w:lang w:val="en-GB"/>
        </w:rPr>
        <w:t xml:space="preserve"> measures. Alignment is therefore partial; adding marine spatial planning or sustainable aquaculture would strengthen it.</w:t>
      </w:r>
    </w:p>
    <w:p w:rsidR="008C5030" w:rsidRPr="00D10FEB" w:rsidRDefault="008C5030" w:rsidP="008C5030">
      <w:pPr>
        <w:pStyle w:val="p1"/>
        <w:spacing w:before="0" w:beforeAutospacing="0" w:after="120" w:afterAutospacing="0"/>
        <w:jc w:val="both"/>
        <w:rPr>
          <w:rFonts w:ascii="Arial Narrow" w:hAnsi="Arial Narrow"/>
          <w:sz w:val="20"/>
          <w:szCs w:val="20"/>
          <w:lang w:val="en-GB"/>
        </w:rPr>
      </w:pPr>
      <w:r w:rsidRPr="00D10FEB">
        <w:rPr>
          <w:rStyle w:val="s1"/>
          <w:rFonts w:ascii="Arial Narrow" w:eastAsiaTheme="majorEastAsia" w:hAnsi="Arial Narrow"/>
          <w:b/>
          <w:bCs/>
          <w:sz w:val="20"/>
          <w:szCs w:val="20"/>
          <w:lang w:val="en-GB"/>
        </w:rPr>
        <w:t>Pillar 2 – Connecting the Region (Direct):</w:t>
      </w:r>
      <w:r w:rsidRPr="00D10FEB">
        <w:rPr>
          <w:rFonts w:ascii="Arial Narrow" w:hAnsi="Arial Narrow"/>
          <w:sz w:val="20"/>
          <w:szCs w:val="20"/>
          <w:lang w:val="en-GB"/>
        </w:rPr>
        <w:t xml:space="preserve"> Strong match in transport and energy. The RA pursues highway/rail modernisation, </w:t>
      </w:r>
      <w:r w:rsidRPr="00D10FEB">
        <w:rPr>
          <w:rStyle w:val="s1"/>
          <w:rFonts w:ascii="Arial Narrow" w:eastAsiaTheme="majorEastAsia" w:hAnsi="Arial Narrow"/>
          <w:sz w:val="20"/>
          <w:szCs w:val="20"/>
          <w:lang w:val="en-GB"/>
        </w:rPr>
        <w:t>ITS and e-freight deployment</w:t>
      </w:r>
      <w:r w:rsidRPr="00D10FEB">
        <w:rPr>
          <w:rFonts w:ascii="Arial Narrow" w:hAnsi="Arial Narrow"/>
          <w:sz w:val="20"/>
          <w:szCs w:val="20"/>
          <w:lang w:val="en-GB"/>
        </w:rPr>
        <w:t>, Transport Community standards, renewables expansion, coal phase-down, efficiency, and carbon-pricing readiness. These mirror EUSAIR flagship priorities and decarbonisation topics; continued embedding into the Adriatic-Ionian corridor plans is advised.</w:t>
      </w:r>
    </w:p>
    <w:p w:rsidR="008C5030" w:rsidRPr="00D10FEB" w:rsidRDefault="008C5030" w:rsidP="008C5030">
      <w:pPr>
        <w:pStyle w:val="p1"/>
        <w:spacing w:before="0" w:beforeAutospacing="0" w:after="120" w:afterAutospacing="0"/>
        <w:jc w:val="both"/>
        <w:rPr>
          <w:rFonts w:ascii="Arial Narrow" w:hAnsi="Arial Narrow"/>
          <w:sz w:val="20"/>
          <w:szCs w:val="20"/>
          <w:lang w:val="en-GB"/>
        </w:rPr>
      </w:pPr>
      <w:r w:rsidRPr="00D10FEB">
        <w:rPr>
          <w:rStyle w:val="s1"/>
          <w:rFonts w:ascii="Arial Narrow" w:eastAsiaTheme="majorEastAsia" w:hAnsi="Arial Narrow"/>
          <w:b/>
          <w:bCs/>
          <w:sz w:val="20"/>
          <w:szCs w:val="20"/>
          <w:lang w:val="en-GB"/>
        </w:rPr>
        <w:t>Pillar 3 – Environmental Quality (Partial):</w:t>
      </w:r>
      <w:r w:rsidRPr="00D10FEB">
        <w:rPr>
          <w:rFonts w:ascii="Arial Narrow" w:hAnsi="Arial Narrow"/>
          <w:sz w:val="20"/>
          <w:szCs w:val="20"/>
          <w:lang w:val="en-GB"/>
        </w:rPr>
        <w:t xml:space="preserve"> The RA implements Green Agenda actions on </w:t>
      </w:r>
      <w:r w:rsidRPr="00D10FEB">
        <w:rPr>
          <w:rStyle w:val="s1"/>
          <w:rFonts w:ascii="Arial Narrow" w:eastAsiaTheme="majorEastAsia" w:hAnsi="Arial Narrow"/>
          <w:sz w:val="20"/>
          <w:szCs w:val="20"/>
          <w:lang w:val="en-GB"/>
        </w:rPr>
        <w:t>air/water pollution control, wastewater, monitoring, and climate adaptation</w:t>
      </w:r>
      <w:r w:rsidRPr="00D10FEB">
        <w:rPr>
          <w:rFonts w:ascii="Arial Narrow" w:hAnsi="Arial Narrow"/>
          <w:sz w:val="20"/>
          <w:szCs w:val="20"/>
          <w:lang w:val="en-GB"/>
        </w:rPr>
        <w:t>, which fit Pillar 3. Biodiversity, coastal/marine protection, and ecosystem resilience are underplayed. Explicit participation in EUSAIR marine litter, biodiversity monitoring, and joint data platforms would improve alignment.</w:t>
      </w:r>
    </w:p>
    <w:p w:rsidR="008C5030" w:rsidRPr="00D10FEB" w:rsidRDefault="008C5030" w:rsidP="008C5030">
      <w:pPr>
        <w:pStyle w:val="p1"/>
        <w:spacing w:before="0" w:beforeAutospacing="0" w:after="120" w:afterAutospacing="0"/>
        <w:jc w:val="both"/>
        <w:rPr>
          <w:rFonts w:ascii="Arial Narrow" w:hAnsi="Arial Narrow"/>
          <w:sz w:val="20"/>
          <w:szCs w:val="20"/>
          <w:lang w:val="en-GB"/>
        </w:rPr>
      </w:pPr>
      <w:r w:rsidRPr="00D10FEB">
        <w:rPr>
          <w:rStyle w:val="s1"/>
          <w:rFonts w:ascii="Arial Narrow" w:eastAsiaTheme="majorEastAsia" w:hAnsi="Arial Narrow"/>
          <w:b/>
          <w:bCs/>
          <w:sz w:val="20"/>
          <w:szCs w:val="20"/>
          <w:lang w:val="en-GB"/>
        </w:rPr>
        <w:t>Pillar 4 – Sustainable Tourism (Indirect):</w:t>
      </w:r>
      <w:r w:rsidRPr="00D10FEB">
        <w:rPr>
          <w:rFonts w:ascii="Arial Narrow" w:hAnsi="Arial Narrow"/>
          <w:sz w:val="20"/>
          <w:szCs w:val="20"/>
          <w:lang w:val="en-GB"/>
        </w:rPr>
        <w:t xml:space="preserve"> Tourism is critical for Montenegro but not directly prioritised in the RA. Indirect links arise via </w:t>
      </w:r>
      <w:r w:rsidRPr="00D10FEB">
        <w:rPr>
          <w:rStyle w:val="s1"/>
          <w:rFonts w:ascii="Arial Narrow" w:eastAsiaTheme="majorEastAsia" w:hAnsi="Arial Narrow"/>
          <w:sz w:val="20"/>
          <w:szCs w:val="20"/>
          <w:lang w:val="en-GB"/>
        </w:rPr>
        <w:t>formalisation/inspections</w:t>
      </w:r>
      <w:r w:rsidRPr="00D10FEB">
        <w:rPr>
          <w:rFonts w:ascii="Arial Narrow" w:hAnsi="Arial Narrow"/>
          <w:sz w:val="20"/>
          <w:szCs w:val="20"/>
          <w:lang w:val="en-GB"/>
        </w:rPr>
        <w:t xml:space="preserve"> and economy-wide </w:t>
      </w:r>
      <w:r w:rsidRPr="00D10FEB">
        <w:rPr>
          <w:rStyle w:val="s1"/>
          <w:rFonts w:ascii="Arial Narrow" w:eastAsiaTheme="majorEastAsia" w:hAnsi="Arial Narrow"/>
          <w:sz w:val="20"/>
          <w:szCs w:val="20"/>
          <w:lang w:val="en-GB"/>
        </w:rPr>
        <w:t>digitalisation</w:t>
      </w:r>
      <w:r w:rsidRPr="00D10FEB">
        <w:rPr>
          <w:rFonts w:ascii="Arial Narrow" w:hAnsi="Arial Narrow"/>
          <w:sz w:val="20"/>
          <w:szCs w:val="20"/>
          <w:lang w:val="en-GB"/>
        </w:rPr>
        <w:t xml:space="preserve"> that can benefit the sector. Absence of sustainable-tourism measures, diversification, or heritage management keeps alignment indirect; adopting EUSAIR standards and regional product initiatives would close the gap.</w:t>
      </w:r>
    </w:p>
    <w:p w:rsidR="008C5030" w:rsidRPr="00D10FEB" w:rsidRDefault="008C5030" w:rsidP="008C5030">
      <w:pPr>
        <w:pStyle w:val="p1"/>
        <w:spacing w:before="0" w:beforeAutospacing="0" w:after="120" w:afterAutospacing="0"/>
        <w:jc w:val="both"/>
        <w:rPr>
          <w:rFonts w:ascii="Arial Narrow" w:hAnsi="Arial Narrow"/>
          <w:sz w:val="20"/>
          <w:szCs w:val="20"/>
          <w:lang w:val="en-GB"/>
        </w:rPr>
      </w:pPr>
      <w:r w:rsidRPr="00D10FEB">
        <w:rPr>
          <w:rStyle w:val="s1"/>
          <w:rFonts w:ascii="Arial Narrow" w:eastAsiaTheme="majorEastAsia" w:hAnsi="Arial Narrow"/>
          <w:b/>
          <w:bCs/>
          <w:sz w:val="20"/>
          <w:szCs w:val="20"/>
          <w:lang w:val="en-GB"/>
        </w:rPr>
        <w:t>Pillar 5 – Improved Social Cohesion (Direct):</w:t>
      </w:r>
      <w:r w:rsidRPr="00D10FEB">
        <w:rPr>
          <w:rFonts w:ascii="Arial Narrow" w:hAnsi="Arial Narrow"/>
          <w:sz w:val="20"/>
          <w:szCs w:val="20"/>
          <w:lang w:val="en-GB"/>
        </w:rPr>
        <w:t xml:space="preserve"> The RA strongly aligns through </w:t>
      </w:r>
      <w:r w:rsidRPr="00D10FEB">
        <w:rPr>
          <w:rStyle w:val="s1"/>
          <w:rFonts w:ascii="Arial Narrow" w:eastAsiaTheme="majorEastAsia" w:hAnsi="Arial Narrow"/>
          <w:sz w:val="20"/>
          <w:szCs w:val="20"/>
          <w:lang w:val="en-GB"/>
        </w:rPr>
        <w:t>education and skills reforms, labour activation, apprenticeships, youth measures, social protection, gender equality, and inclusion</w:t>
      </w:r>
      <w:r w:rsidRPr="00D10FEB">
        <w:rPr>
          <w:rFonts w:ascii="Arial Narrow" w:hAnsi="Arial Narrow"/>
          <w:sz w:val="20"/>
          <w:szCs w:val="20"/>
          <w:lang w:val="en-GB"/>
        </w:rPr>
        <w:t>. These map closely to Pillar 5 topics on future-skills and equal opportunities. Continued participation in regional youth/skills initiatives will sustain the full match.</w:t>
      </w:r>
    </w:p>
    <w:p w:rsidR="008C5030" w:rsidRPr="00D10FEB" w:rsidRDefault="008C5030" w:rsidP="008C5030">
      <w:pPr>
        <w:spacing w:after="120"/>
        <w:jc w:val="both"/>
        <w:rPr>
          <w:rFonts w:ascii="Arial Narrow" w:hAnsi="Arial Narrow"/>
          <w:sz w:val="20"/>
          <w:szCs w:val="20"/>
          <w:lang w:val="en-GB"/>
        </w:rPr>
      </w:pPr>
      <w:r w:rsidRPr="00D10FEB">
        <w:rPr>
          <w:rFonts w:ascii="Arial Narrow" w:hAnsi="Arial Narrow"/>
          <w:b/>
          <w:bCs/>
          <w:sz w:val="20"/>
          <w:szCs w:val="20"/>
          <w:lang w:val="en-GB"/>
        </w:rPr>
        <w:t>Montenegro — indicative WBIF investments.</w:t>
      </w:r>
      <w:r w:rsidRPr="00D10FEB">
        <w:rPr>
          <w:rFonts w:ascii="Arial Narrow" w:hAnsi="Arial Narrow"/>
          <w:sz w:val="20"/>
          <w:szCs w:val="20"/>
          <w:lang w:val="en-GB"/>
        </w:rPr>
        <w:t xml:space="preserve"> Transport focuses on completing the core TEN</w:t>
      </w:r>
      <w:r w:rsidRPr="00D10FEB">
        <w:rPr>
          <w:rFonts w:ascii="Cambria Math" w:hAnsi="Cambria Math" w:cs="Cambria Math"/>
          <w:sz w:val="20"/>
          <w:szCs w:val="20"/>
          <w:lang w:val="en-GB"/>
        </w:rPr>
        <w:t>‑</w:t>
      </w:r>
      <w:r w:rsidRPr="00D10FEB">
        <w:rPr>
          <w:rFonts w:ascii="Arial Narrow" w:hAnsi="Arial Narrow"/>
          <w:sz w:val="20"/>
          <w:szCs w:val="20"/>
          <w:lang w:val="en-GB"/>
        </w:rPr>
        <w:t>T Road/Rail Route 4, notably the Bar–</w:t>
      </w:r>
      <w:proofErr w:type="spellStart"/>
      <w:r w:rsidRPr="00D10FEB">
        <w:rPr>
          <w:rFonts w:ascii="Arial Narrow" w:hAnsi="Arial Narrow"/>
          <w:sz w:val="20"/>
          <w:szCs w:val="20"/>
          <w:lang w:val="en-GB"/>
        </w:rPr>
        <w:t>Boljare</w:t>
      </w:r>
      <w:proofErr w:type="spellEnd"/>
      <w:r w:rsidRPr="00D10FEB">
        <w:rPr>
          <w:rFonts w:ascii="Arial Narrow" w:hAnsi="Arial Narrow"/>
          <w:sz w:val="20"/>
          <w:szCs w:val="20"/>
          <w:lang w:val="en-GB"/>
        </w:rPr>
        <w:t xml:space="preserve"> highway and Bar–</w:t>
      </w:r>
      <w:proofErr w:type="spellStart"/>
      <w:r w:rsidRPr="00D10FEB">
        <w:rPr>
          <w:rFonts w:ascii="Arial Narrow" w:hAnsi="Arial Narrow"/>
          <w:sz w:val="20"/>
          <w:szCs w:val="20"/>
          <w:lang w:val="en-GB"/>
        </w:rPr>
        <w:t>Vrbnica</w:t>
      </w:r>
      <w:proofErr w:type="spellEnd"/>
      <w:r w:rsidRPr="00D10FEB">
        <w:rPr>
          <w:rFonts w:ascii="Arial Narrow" w:hAnsi="Arial Narrow"/>
          <w:sz w:val="20"/>
          <w:szCs w:val="20"/>
          <w:lang w:val="en-GB"/>
        </w:rPr>
        <w:t xml:space="preserve"> railway. Energy priorities are rehabilitation/new build in transmission and distribution, including grid digitalisation. The digital list currently includes broadband and data</w:t>
      </w:r>
      <w:r w:rsidRPr="00D10FEB">
        <w:rPr>
          <w:rFonts w:ascii="Cambria Math" w:hAnsi="Cambria Math" w:cs="Cambria Math"/>
          <w:sz w:val="20"/>
          <w:szCs w:val="20"/>
          <w:lang w:val="en-GB"/>
        </w:rPr>
        <w:t>‑</w:t>
      </w:r>
      <w:r w:rsidRPr="00D10FEB">
        <w:rPr>
          <w:rFonts w:ascii="Arial Narrow" w:hAnsi="Arial Narrow"/>
          <w:sz w:val="20"/>
          <w:szCs w:val="20"/>
          <w:lang w:val="en-GB"/>
        </w:rPr>
        <w:t>centre/disaster</w:t>
      </w:r>
      <w:r w:rsidRPr="00D10FEB">
        <w:rPr>
          <w:rFonts w:ascii="Cambria Math" w:hAnsi="Cambria Math" w:cs="Cambria Math"/>
          <w:sz w:val="20"/>
          <w:szCs w:val="20"/>
          <w:lang w:val="en-GB"/>
        </w:rPr>
        <w:t>‑</w:t>
      </w:r>
      <w:r w:rsidRPr="00D10FEB">
        <w:rPr>
          <w:rFonts w:ascii="Arial Narrow" w:hAnsi="Arial Narrow"/>
          <w:sz w:val="20"/>
          <w:szCs w:val="20"/>
          <w:lang w:val="en-GB"/>
        </w:rPr>
        <w:t>recovery projects, with a call to expand the digital pipeline using WBIF TA; overall, Montenegro must prioritise because the pipeline exceeds the likely allocation.</w:t>
      </w:r>
    </w:p>
    <w:p w:rsidR="008C5030" w:rsidRPr="00D10FEB" w:rsidRDefault="008C5030" w:rsidP="008C5030">
      <w:pPr>
        <w:spacing w:after="120"/>
        <w:jc w:val="both"/>
        <w:rPr>
          <w:rFonts w:ascii="Arial Narrow" w:hAnsi="Arial Narrow"/>
          <w:i/>
          <w:iCs/>
          <w:sz w:val="20"/>
          <w:szCs w:val="20"/>
          <w:lang w:val="en-GB"/>
        </w:rPr>
      </w:pPr>
      <w:r w:rsidRPr="00D10FEB">
        <w:rPr>
          <w:rFonts w:ascii="Arial Narrow" w:hAnsi="Arial Narrow"/>
          <w:i/>
          <w:iCs/>
          <w:sz w:val="20"/>
          <w:szCs w:val="20"/>
          <w:lang w:val="en-GB"/>
        </w:rPr>
        <w:t xml:space="preserve">(Table </w:t>
      </w:r>
      <w:r w:rsidR="00D10FEB" w:rsidRPr="00D10FEB">
        <w:rPr>
          <w:rFonts w:ascii="Arial Narrow" w:hAnsi="Arial Narrow"/>
          <w:i/>
          <w:iCs/>
          <w:sz w:val="20"/>
          <w:szCs w:val="20"/>
          <w:lang w:val="en-GB"/>
        </w:rPr>
        <w:t>5</w:t>
      </w:r>
      <w:r w:rsidRPr="00D10FEB">
        <w:rPr>
          <w:rFonts w:ascii="Arial Narrow" w:hAnsi="Arial Narrow"/>
          <w:i/>
          <w:iCs/>
          <w:sz w:val="20"/>
          <w:szCs w:val="20"/>
          <w:lang w:val="en-GB"/>
        </w:rPr>
        <w:t xml:space="preserve"> summarizes Montenegro’s alignment by pillar.)</w:t>
      </w:r>
    </w:p>
    <w:tbl>
      <w:tblPr>
        <w:tblStyle w:val="GridTable1Light-Accent1"/>
        <w:tblW w:w="0" w:type="auto"/>
        <w:tblLook w:val="04A0" w:firstRow="1" w:lastRow="0" w:firstColumn="1" w:lastColumn="0" w:noHBand="0" w:noVBand="1"/>
      </w:tblPr>
      <w:tblGrid>
        <w:gridCol w:w="1528"/>
        <w:gridCol w:w="3157"/>
        <w:gridCol w:w="1139"/>
        <w:gridCol w:w="3192"/>
      </w:tblGrid>
      <w:tr w:rsidR="008C5030" w:rsidRPr="00D10FEB" w:rsidTr="00DB6F78">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8C5030" w:rsidRPr="00D10FEB" w:rsidRDefault="008C5030" w:rsidP="00DB6F78">
            <w:pPr>
              <w:spacing w:after="120"/>
              <w:rPr>
                <w:rFonts w:ascii="Arial Narrow" w:hAnsi="Arial Narrow"/>
                <w:sz w:val="20"/>
                <w:szCs w:val="20"/>
                <w:lang w:val="en-GB"/>
              </w:rPr>
            </w:pPr>
            <w:r w:rsidRPr="00D10FEB">
              <w:rPr>
                <w:rFonts w:ascii="Arial Narrow" w:hAnsi="Arial Narrow"/>
                <w:sz w:val="20"/>
                <w:szCs w:val="20"/>
                <w:lang w:val="en-GB"/>
              </w:rPr>
              <w:t>EUSAIR Pillar</w:t>
            </w:r>
          </w:p>
        </w:tc>
        <w:tc>
          <w:tcPr>
            <w:tcW w:w="0" w:type="auto"/>
            <w:vAlign w:val="center"/>
            <w:hideMark/>
          </w:tcPr>
          <w:p w:rsidR="008C5030" w:rsidRPr="00D10FEB" w:rsidRDefault="008C5030" w:rsidP="00DB6F78">
            <w:pPr>
              <w:spacing w:after="120"/>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Alignment with Montenegro RA</w:t>
            </w:r>
          </w:p>
        </w:tc>
        <w:tc>
          <w:tcPr>
            <w:tcW w:w="0" w:type="auto"/>
            <w:vAlign w:val="center"/>
            <w:hideMark/>
          </w:tcPr>
          <w:p w:rsidR="008C5030" w:rsidRPr="00D10FEB" w:rsidRDefault="008C5030" w:rsidP="00DB6F78">
            <w:pPr>
              <w:spacing w:after="120"/>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Alignment Type</w:t>
            </w:r>
          </w:p>
        </w:tc>
        <w:tc>
          <w:tcPr>
            <w:tcW w:w="0" w:type="auto"/>
            <w:vAlign w:val="center"/>
            <w:hideMark/>
          </w:tcPr>
          <w:p w:rsidR="008C5030" w:rsidRPr="00D10FEB" w:rsidRDefault="008C5030" w:rsidP="00DB6F78">
            <w:pPr>
              <w:spacing w:after="120"/>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Examples of RA Reforms</w:t>
            </w:r>
          </w:p>
        </w:tc>
      </w:tr>
      <w:tr w:rsidR="008C5030" w:rsidRPr="00D10FEB" w:rsidTr="00DB6F78">
        <w:trPr>
          <w:trHeight w:val="5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8C5030" w:rsidRPr="00D10FEB" w:rsidRDefault="008C5030" w:rsidP="00DB6F78">
            <w:pPr>
              <w:spacing w:after="120"/>
              <w:rPr>
                <w:rFonts w:ascii="Arial Narrow" w:hAnsi="Arial Narrow"/>
                <w:b w:val="0"/>
                <w:bCs w:val="0"/>
                <w:sz w:val="20"/>
                <w:szCs w:val="20"/>
                <w:lang w:val="en-GB"/>
              </w:rPr>
            </w:pPr>
            <w:r w:rsidRPr="00D10FEB">
              <w:rPr>
                <w:rFonts w:ascii="Arial Narrow" w:hAnsi="Arial Narrow"/>
                <w:b w:val="0"/>
                <w:bCs w:val="0"/>
                <w:sz w:val="20"/>
                <w:szCs w:val="20"/>
                <w:lang w:val="en-GB"/>
              </w:rPr>
              <w:t>P1. Blue Sustainable Economy</w:t>
            </w:r>
          </w:p>
        </w:tc>
        <w:tc>
          <w:tcPr>
            <w:tcW w:w="0" w:type="auto"/>
            <w:vAlign w:val="center"/>
            <w:hideMark/>
          </w:tcPr>
          <w:p w:rsidR="008C5030" w:rsidRPr="00D10FEB" w:rsidRDefault="008C5030" w:rsidP="00DB6F7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Some support through innovation and green competitiveness policies; no direct marine/fisheries reforms.</w:t>
            </w:r>
          </w:p>
        </w:tc>
        <w:tc>
          <w:tcPr>
            <w:tcW w:w="0" w:type="auto"/>
            <w:vAlign w:val="center"/>
            <w:hideMark/>
          </w:tcPr>
          <w:p w:rsidR="008C5030" w:rsidRPr="00D10FEB" w:rsidRDefault="008C5030" w:rsidP="00DB6F7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 xml:space="preserve">Partial </w:t>
            </w:r>
          </w:p>
        </w:tc>
        <w:tc>
          <w:tcPr>
            <w:tcW w:w="0" w:type="auto"/>
            <w:vAlign w:val="center"/>
            <w:hideMark/>
          </w:tcPr>
          <w:p w:rsidR="008C5030" w:rsidRPr="00D10FEB" w:rsidRDefault="008C5030" w:rsidP="00DB6F7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“Green economy” initiatives for businesses; innovation fund for SMEs (could include blue tech).</w:t>
            </w:r>
          </w:p>
        </w:tc>
      </w:tr>
      <w:tr w:rsidR="008C5030" w:rsidRPr="00D10FEB" w:rsidTr="00DB6F78">
        <w:trPr>
          <w:trHeight w:val="5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8C5030" w:rsidRPr="00D10FEB" w:rsidRDefault="008C5030" w:rsidP="00DB6F78">
            <w:pPr>
              <w:spacing w:after="120"/>
              <w:rPr>
                <w:rFonts w:ascii="Arial Narrow" w:hAnsi="Arial Narrow"/>
                <w:b w:val="0"/>
                <w:bCs w:val="0"/>
                <w:sz w:val="20"/>
                <w:szCs w:val="20"/>
                <w:lang w:val="en-GB"/>
              </w:rPr>
            </w:pPr>
            <w:r w:rsidRPr="00D10FEB">
              <w:rPr>
                <w:rFonts w:ascii="Arial Narrow" w:hAnsi="Arial Narrow"/>
                <w:b w:val="0"/>
                <w:bCs w:val="0"/>
                <w:sz w:val="20"/>
                <w:szCs w:val="20"/>
                <w:lang w:val="en-GB"/>
              </w:rPr>
              <w:t>P2. Connecting the Region</w:t>
            </w:r>
          </w:p>
        </w:tc>
        <w:tc>
          <w:tcPr>
            <w:tcW w:w="0" w:type="auto"/>
            <w:vAlign w:val="center"/>
            <w:hideMark/>
          </w:tcPr>
          <w:p w:rsidR="008C5030" w:rsidRPr="00D10FEB" w:rsidRDefault="008C5030" w:rsidP="00DB6F7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Very strong reflection in transport modernization and energy transition reforms.</w:t>
            </w:r>
          </w:p>
        </w:tc>
        <w:tc>
          <w:tcPr>
            <w:tcW w:w="0" w:type="auto"/>
            <w:vAlign w:val="center"/>
            <w:hideMark/>
          </w:tcPr>
          <w:p w:rsidR="008C5030" w:rsidRPr="00D10FEB" w:rsidRDefault="008C5030" w:rsidP="00DB6F7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Direct</w:t>
            </w:r>
          </w:p>
        </w:tc>
        <w:tc>
          <w:tcPr>
            <w:tcW w:w="0" w:type="auto"/>
            <w:vAlign w:val="center"/>
            <w:hideMark/>
          </w:tcPr>
          <w:p w:rsidR="008C5030" w:rsidRPr="00D10FEB" w:rsidRDefault="008C5030" w:rsidP="00DB6F7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Implementing ITS for roads &amp; rail; investing in Corridor routes; integrating electricity market (Energy Community reforms).</w:t>
            </w:r>
          </w:p>
        </w:tc>
      </w:tr>
      <w:tr w:rsidR="008C5030" w:rsidRPr="00D10FEB" w:rsidTr="00DB6F78">
        <w:trPr>
          <w:trHeight w:val="5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8C5030" w:rsidRPr="00D10FEB" w:rsidRDefault="008C5030" w:rsidP="00DB6F78">
            <w:pPr>
              <w:spacing w:after="120"/>
              <w:rPr>
                <w:rFonts w:ascii="Arial Narrow" w:hAnsi="Arial Narrow"/>
                <w:b w:val="0"/>
                <w:bCs w:val="0"/>
                <w:sz w:val="20"/>
                <w:szCs w:val="20"/>
                <w:lang w:val="en-GB"/>
              </w:rPr>
            </w:pPr>
            <w:r w:rsidRPr="00D10FEB">
              <w:rPr>
                <w:rFonts w:ascii="Arial Narrow" w:hAnsi="Arial Narrow"/>
                <w:b w:val="0"/>
                <w:bCs w:val="0"/>
                <w:sz w:val="20"/>
                <w:szCs w:val="20"/>
                <w:lang w:val="en-GB"/>
              </w:rPr>
              <w:t>P3. Environmental Quality</w:t>
            </w:r>
          </w:p>
        </w:tc>
        <w:tc>
          <w:tcPr>
            <w:tcW w:w="0" w:type="auto"/>
            <w:vAlign w:val="center"/>
            <w:hideMark/>
          </w:tcPr>
          <w:p w:rsidR="008C5030" w:rsidRPr="00D10FEB" w:rsidRDefault="008C5030" w:rsidP="00DB6F7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Partially addressed via climate action and pollution control; biodiversity/coastal protection not explicitly covered.</w:t>
            </w:r>
          </w:p>
        </w:tc>
        <w:tc>
          <w:tcPr>
            <w:tcW w:w="0" w:type="auto"/>
            <w:vAlign w:val="center"/>
            <w:hideMark/>
          </w:tcPr>
          <w:p w:rsidR="008C5030" w:rsidRPr="00D10FEB" w:rsidRDefault="008C5030" w:rsidP="00DB6F7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 xml:space="preserve">Partial </w:t>
            </w:r>
          </w:p>
        </w:tc>
        <w:tc>
          <w:tcPr>
            <w:tcW w:w="0" w:type="auto"/>
            <w:vAlign w:val="center"/>
            <w:hideMark/>
          </w:tcPr>
          <w:p w:rsidR="008C5030" w:rsidRPr="00D10FEB" w:rsidRDefault="008C5030" w:rsidP="00DB6F7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Green Agenda measures (carbon pricing prep, industrial emissions cuts); coastal spatial planning to curb illegal construction.</w:t>
            </w:r>
          </w:p>
        </w:tc>
      </w:tr>
      <w:tr w:rsidR="008C5030" w:rsidRPr="00D10FEB" w:rsidTr="00DB6F78">
        <w:trPr>
          <w:trHeight w:val="5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8C5030" w:rsidRPr="00D10FEB" w:rsidRDefault="008C5030" w:rsidP="00DB6F78">
            <w:pPr>
              <w:spacing w:after="120"/>
              <w:rPr>
                <w:rFonts w:ascii="Arial Narrow" w:hAnsi="Arial Narrow"/>
                <w:b w:val="0"/>
                <w:bCs w:val="0"/>
                <w:sz w:val="20"/>
                <w:szCs w:val="20"/>
                <w:lang w:val="en-GB"/>
              </w:rPr>
            </w:pPr>
            <w:r w:rsidRPr="00D10FEB">
              <w:rPr>
                <w:rFonts w:ascii="Arial Narrow" w:hAnsi="Arial Narrow"/>
                <w:b w:val="0"/>
                <w:bCs w:val="0"/>
                <w:sz w:val="20"/>
                <w:szCs w:val="20"/>
                <w:lang w:val="en-GB"/>
              </w:rPr>
              <w:t>P4. Sustainable Tourism</w:t>
            </w:r>
          </w:p>
        </w:tc>
        <w:tc>
          <w:tcPr>
            <w:tcW w:w="0" w:type="auto"/>
            <w:vAlign w:val="center"/>
            <w:hideMark/>
          </w:tcPr>
          <w:p w:rsidR="008C5030" w:rsidRPr="00D10FEB" w:rsidRDefault="008C5030" w:rsidP="00DB6F7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Largely not addressed except through tangential measures (e.g. formalizing tourism sector, digital business services).</w:t>
            </w:r>
          </w:p>
        </w:tc>
        <w:tc>
          <w:tcPr>
            <w:tcW w:w="0" w:type="auto"/>
            <w:vAlign w:val="center"/>
            <w:hideMark/>
          </w:tcPr>
          <w:p w:rsidR="008C5030" w:rsidRPr="00D10FEB" w:rsidRDefault="008C5030" w:rsidP="00DB6F7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Indirect Relevance</w:t>
            </w:r>
          </w:p>
        </w:tc>
        <w:tc>
          <w:tcPr>
            <w:tcW w:w="0" w:type="auto"/>
            <w:vAlign w:val="center"/>
            <w:hideMark/>
          </w:tcPr>
          <w:p w:rsidR="008C5030" w:rsidRPr="00D10FEB" w:rsidRDefault="008C5030" w:rsidP="00DB6F7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Inspections to reduce informal tourism economy; e-government services for business (indirect benefit to tourism operators).</w:t>
            </w:r>
          </w:p>
        </w:tc>
      </w:tr>
      <w:tr w:rsidR="008C5030" w:rsidRPr="00D10FEB" w:rsidTr="00DB6F78">
        <w:trPr>
          <w:trHeight w:val="5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8C5030" w:rsidRPr="00D10FEB" w:rsidRDefault="008C5030" w:rsidP="00DB6F78">
            <w:pPr>
              <w:spacing w:after="120"/>
              <w:rPr>
                <w:rFonts w:ascii="Arial Narrow" w:hAnsi="Arial Narrow"/>
                <w:b w:val="0"/>
                <w:bCs w:val="0"/>
                <w:sz w:val="20"/>
                <w:szCs w:val="20"/>
                <w:lang w:val="en-GB"/>
              </w:rPr>
            </w:pPr>
            <w:r w:rsidRPr="00D10FEB">
              <w:rPr>
                <w:rFonts w:ascii="Arial Narrow" w:hAnsi="Arial Narrow"/>
                <w:b w:val="0"/>
                <w:bCs w:val="0"/>
                <w:sz w:val="20"/>
                <w:szCs w:val="20"/>
                <w:lang w:val="en-GB"/>
              </w:rPr>
              <w:t>P5. Social Cohesion</w:t>
            </w:r>
          </w:p>
        </w:tc>
        <w:tc>
          <w:tcPr>
            <w:tcW w:w="0" w:type="auto"/>
            <w:vAlign w:val="center"/>
            <w:hideMark/>
          </w:tcPr>
          <w:p w:rsidR="008C5030" w:rsidRPr="00D10FEB" w:rsidRDefault="008C5030" w:rsidP="00DB6F7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Broadly covered with education, employment and social inclusion reforms in line with pillar objectives.</w:t>
            </w:r>
          </w:p>
        </w:tc>
        <w:tc>
          <w:tcPr>
            <w:tcW w:w="0" w:type="auto"/>
            <w:vAlign w:val="center"/>
            <w:hideMark/>
          </w:tcPr>
          <w:p w:rsidR="008C5030" w:rsidRPr="00D10FEB" w:rsidRDefault="008C5030" w:rsidP="00DB6F7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Direct</w:t>
            </w:r>
          </w:p>
        </w:tc>
        <w:tc>
          <w:tcPr>
            <w:tcW w:w="0" w:type="auto"/>
            <w:vAlign w:val="center"/>
            <w:hideMark/>
          </w:tcPr>
          <w:p w:rsidR="008C5030" w:rsidRPr="00D10FEB" w:rsidRDefault="008C5030" w:rsidP="00DB6F7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Education and Skills Strategy implementation; youth employment action plan; expanding childcare and social assistance programs.</w:t>
            </w:r>
          </w:p>
        </w:tc>
      </w:tr>
    </w:tbl>
    <w:p w:rsidR="008D2B9F" w:rsidRPr="00D10FEB" w:rsidRDefault="008D2B9F" w:rsidP="00A43FFD">
      <w:pPr>
        <w:pStyle w:val="Heading2"/>
        <w:rPr>
          <w:lang w:val="en-GB"/>
        </w:rPr>
      </w:pPr>
      <w:bookmarkStart w:id="20" w:name="_Toc221105730"/>
      <w:r w:rsidRPr="00D10FEB">
        <w:rPr>
          <w:lang w:val="en-GB"/>
        </w:rPr>
        <w:t>Serbia</w:t>
      </w:r>
      <w:bookmarkEnd w:id="20"/>
    </w:p>
    <w:p w:rsidR="00A43FFD" w:rsidRPr="00D10FEB" w:rsidRDefault="00A43FFD" w:rsidP="00A43FFD">
      <w:pPr>
        <w:pStyle w:val="Heading3"/>
        <w:shd w:val="clear" w:color="auto" w:fill="DAE9F7" w:themeFill="text2" w:themeFillTint="1A"/>
        <w:rPr>
          <w:rStyle w:val="Strong"/>
          <w:rFonts w:ascii="Franklin Gothic Heavy" w:hAnsi="Franklin Gothic Heavy"/>
          <w:sz w:val="24"/>
          <w:szCs w:val="24"/>
          <w:lang w:val="en-GB"/>
        </w:rPr>
      </w:pPr>
      <w:bookmarkStart w:id="21" w:name="_Toc221105731"/>
      <w:r w:rsidRPr="00D10FEB">
        <w:rPr>
          <w:rStyle w:val="Strong"/>
          <w:rFonts w:ascii="Franklin Gothic Heavy" w:hAnsi="Franklin Gothic Heavy"/>
          <w:sz w:val="24"/>
          <w:szCs w:val="24"/>
          <w:lang w:val="en-GB"/>
        </w:rPr>
        <w:t>IPA 2025–2027</w:t>
      </w:r>
      <w:bookmarkEnd w:id="21"/>
    </w:p>
    <w:p w:rsidR="00436823" w:rsidRPr="00D10FEB" w:rsidRDefault="008D2B9F" w:rsidP="00436823">
      <w:pPr>
        <w:rPr>
          <w:rFonts w:ascii="Arial Narrow" w:hAnsi="Arial Narrow"/>
          <w:b/>
          <w:bCs/>
          <w:lang w:val="en-GB"/>
        </w:rPr>
      </w:pPr>
      <w:r w:rsidRPr="00D10FEB">
        <w:rPr>
          <w:rFonts w:ascii="Arial Narrow" w:hAnsi="Arial Narrow"/>
          <w:b/>
          <w:bCs/>
          <w:lang w:val="en-GB"/>
        </w:rPr>
        <w:t xml:space="preserve">Action Document for the multiannual action in favour of Serbia 2025–2027 </w:t>
      </w:r>
    </w:p>
    <w:p w:rsidR="00436823" w:rsidRPr="00D10FEB" w:rsidRDefault="00436823" w:rsidP="00DA15E5">
      <w:pPr>
        <w:spacing w:after="120"/>
        <w:rPr>
          <w:rFonts w:ascii="Arial Narrow" w:hAnsi="Arial Narrow"/>
          <w:sz w:val="20"/>
          <w:szCs w:val="20"/>
          <w:lang w:val="en-GB"/>
        </w:rPr>
      </w:pPr>
      <w:r w:rsidRPr="00D10FEB">
        <w:rPr>
          <w:rFonts w:ascii="Arial Narrow" w:hAnsi="Arial Narrow"/>
          <w:sz w:val="20"/>
          <w:szCs w:val="20"/>
          <w:lang w:val="en-GB"/>
        </w:rPr>
        <w:t>Window(s) covered in the AD: Window 1 (rule of law, rights, democracy); Window 2 (governance, acquis alignment)</w:t>
      </w:r>
    </w:p>
    <w:p w:rsidR="008D2B9F" w:rsidRPr="00D10FEB" w:rsidRDefault="008D2B9F" w:rsidP="00DA15E5">
      <w:pPr>
        <w:spacing w:after="120"/>
        <w:rPr>
          <w:rFonts w:ascii="Arial Narrow" w:hAnsi="Arial Narrow"/>
          <w:sz w:val="20"/>
          <w:szCs w:val="20"/>
          <w:lang w:val="en-GB"/>
        </w:rPr>
      </w:pPr>
      <w:r w:rsidRPr="00D10FEB">
        <w:rPr>
          <w:rFonts w:ascii="Arial Narrow" w:hAnsi="Arial Narrow"/>
          <w:sz w:val="20"/>
          <w:szCs w:val="20"/>
          <w:lang w:val="en-GB"/>
        </w:rPr>
        <w:t xml:space="preserve">Total EU contribution: </w:t>
      </w:r>
      <w:r w:rsidR="00436823" w:rsidRPr="00D10FEB">
        <w:rPr>
          <w:rFonts w:ascii="Arial Narrow" w:hAnsi="Arial Narrow"/>
          <w:sz w:val="20"/>
          <w:szCs w:val="20"/>
          <w:lang w:val="en-GB"/>
        </w:rPr>
        <w:t xml:space="preserve">EUR </w:t>
      </w:r>
      <w:r w:rsidRPr="00D10FEB">
        <w:rPr>
          <w:rFonts w:ascii="Arial Narrow" w:hAnsi="Arial Narrow"/>
          <w:sz w:val="20"/>
          <w:szCs w:val="20"/>
          <w:lang w:val="en-GB"/>
        </w:rPr>
        <w:t xml:space="preserve">139,400,000. </w:t>
      </w:r>
    </w:p>
    <w:p w:rsidR="008D2B9F" w:rsidRPr="00D10FEB" w:rsidRDefault="00436823" w:rsidP="008D2B9F">
      <w:pPr>
        <w:numPr>
          <w:ilvl w:val="0"/>
          <w:numId w:val="27"/>
        </w:numPr>
        <w:spacing w:before="100" w:beforeAutospacing="1" w:after="100" w:afterAutospacing="1"/>
        <w:rPr>
          <w:rFonts w:ascii="Arial Narrow" w:hAnsi="Arial Narrow"/>
          <w:sz w:val="20"/>
          <w:szCs w:val="20"/>
          <w:lang w:val="en-GB"/>
        </w:rPr>
      </w:pPr>
      <w:r w:rsidRPr="00D10FEB">
        <w:rPr>
          <w:rFonts w:ascii="Arial Narrow" w:hAnsi="Arial Narrow"/>
          <w:b/>
          <w:bCs/>
          <w:sz w:val="20"/>
          <w:szCs w:val="20"/>
          <w:lang w:val="en-GB"/>
        </w:rPr>
        <w:t xml:space="preserve">EUSAIR Pillar </w:t>
      </w:r>
      <w:r w:rsidR="008D2B9F" w:rsidRPr="00D10FEB">
        <w:rPr>
          <w:rFonts w:ascii="Arial Narrow" w:hAnsi="Arial Narrow"/>
          <w:b/>
          <w:bCs/>
          <w:sz w:val="20"/>
          <w:szCs w:val="20"/>
          <w:lang w:val="en-GB"/>
        </w:rPr>
        <w:t xml:space="preserve">2 </w:t>
      </w:r>
      <w:r w:rsidRPr="00D10FEB">
        <w:rPr>
          <w:rFonts w:ascii="Arial Narrow" w:hAnsi="Arial Narrow"/>
          <w:b/>
          <w:bCs/>
          <w:sz w:val="20"/>
          <w:szCs w:val="20"/>
          <w:lang w:val="en-GB"/>
        </w:rPr>
        <w:t xml:space="preserve">Connecting the Region (Topics 2.2 &amp; 2.5) </w:t>
      </w:r>
      <w:r w:rsidR="00E45573" w:rsidRPr="00D10FEB">
        <w:rPr>
          <w:rFonts w:ascii="Arial Narrow" w:hAnsi="Arial Narrow"/>
          <w:b/>
          <w:bCs/>
          <w:sz w:val="20"/>
          <w:szCs w:val="20"/>
          <w:lang w:val="en-GB"/>
        </w:rPr>
        <w:t>-</w:t>
      </w:r>
      <w:r w:rsidR="008D2B9F" w:rsidRPr="00D10FEB">
        <w:rPr>
          <w:rFonts w:ascii="Arial Narrow" w:hAnsi="Arial Narrow"/>
          <w:b/>
          <w:bCs/>
          <w:sz w:val="20"/>
          <w:szCs w:val="20"/>
          <w:lang w:val="en-GB"/>
        </w:rPr>
        <w:t xml:space="preserve"> Partial alignment.</w:t>
      </w:r>
      <w:r w:rsidR="008D2B9F" w:rsidRPr="00D10FEB">
        <w:rPr>
          <w:rFonts w:ascii="Arial Narrow" w:hAnsi="Arial Narrow"/>
          <w:sz w:val="20"/>
          <w:szCs w:val="20"/>
          <w:lang w:val="en-GB"/>
        </w:rPr>
        <w:t xml:space="preserve"> </w:t>
      </w:r>
      <w:r w:rsidR="00DA15E5" w:rsidRPr="00D10FEB">
        <w:rPr>
          <w:rFonts w:ascii="Arial Narrow" w:hAnsi="Arial Narrow"/>
          <w:sz w:val="20"/>
          <w:szCs w:val="20"/>
          <w:lang w:val="en-GB"/>
        </w:rPr>
        <w:t>The AD includes digitalising transport infrastructure, ITS, e-freight pilots, and preparing alternative-fuels infrastructure (AFIR-consistent). These echo EUSAIR 2.2.3 (ICT infrastructure along logistics chains) and 2.5.5 (hydrogen/clean energy technologies)</w:t>
      </w:r>
      <w:r w:rsidR="008D2B9F" w:rsidRPr="00D10FEB">
        <w:rPr>
          <w:rFonts w:ascii="Arial Narrow" w:hAnsi="Arial Narrow"/>
          <w:sz w:val="20"/>
          <w:szCs w:val="20"/>
          <w:lang w:val="en-GB"/>
        </w:rPr>
        <w:t xml:space="preserve">. </w:t>
      </w:r>
    </w:p>
    <w:p w:rsidR="008D2B9F" w:rsidRPr="00D10FEB" w:rsidRDefault="00DA15E5" w:rsidP="008D2B9F">
      <w:pPr>
        <w:numPr>
          <w:ilvl w:val="0"/>
          <w:numId w:val="27"/>
        </w:numPr>
        <w:spacing w:before="100" w:beforeAutospacing="1" w:after="100" w:afterAutospacing="1"/>
        <w:rPr>
          <w:rFonts w:ascii="Arial Narrow" w:hAnsi="Arial Narrow"/>
          <w:sz w:val="20"/>
          <w:szCs w:val="20"/>
          <w:lang w:val="en-GB"/>
        </w:rPr>
      </w:pPr>
      <w:r w:rsidRPr="00D10FEB">
        <w:rPr>
          <w:rFonts w:ascii="Arial Narrow" w:hAnsi="Arial Narrow"/>
          <w:b/>
          <w:bCs/>
          <w:sz w:val="20"/>
          <w:szCs w:val="20"/>
          <w:lang w:val="en-GB"/>
        </w:rPr>
        <w:t xml:space="preserve">EUSAIR Pillar </w:t>
      </w:r>
      <w:r w:rsidR="008D2B9F" w:rsidRPr="00D10FEB">
        <w:rPr>
          <w:rFonts w:ascii="Arial Narrow" w:hAnsi="Arial Narrow"/>
          <w:b/>
          <w:bCs/>
          <w:sz w:val="20"/>
          <w:szCs w:val="20"/>
          <w:lang w:val="en-GB"/>
        </w:rPr>
        <w:t xml:space="preserve">3 </w:t>
      </w:r>
      <w:r w:rsidRPr="00D10FEB">
        <w:rPr>
          <w:rFonts w:ascii="Arial Narrow" w:hAnsi="Arial Narrow"/>
          <w:b/>
          <w:bCs/>
          <w:sz w:val="20"/>
          <w:szCs w:val="20"/>
          <w:lang w:val="en-GB"/>
        </w:rPr>
        <w:t xml:space="preserve">Environmental Quality </w:t>
      </w:r>
      <w:r w:rsidR="00E45573" w:rsidRPr="00D10FEB">
        <w:rPr>
          <w:rFonts w:ascii="Arial Narrow" w:hAnsi="Arial Narrow"/>
          <w:b/>
          <w:bCs/>
          <w:sz w:val="20"/>
          <w:szCs w:val="20"/>
          <w:lang w:val="en-GB"/>
        </w:rPr>
        <w:t>-</w:t>
      </w:r>
      <w:r w:rsidR="008D2B9F" w:rsidRPr="00D10FEB">
        <w:rPr>
          <w:rFonts w:ascii="Arial Narrow" w:hAnsi="Arial Narrow"/>
          <w:b/>
          <w:bCs/>
          <w:sz w:val="20"/>
          <w:szCs w:val="20"/>
          <w:lang w:val="en-GB"/>
        </w:rPr>
        <w:t xml:space="preserve"> Complementary.</w:t>
      </w:r>
      <w:r w:rsidRPr="00D10FEB">
        <w:rPr>
          <w:rFonts w:ascii="Arial Narrow" w:hAnsi="Arial Narrow"/>
          <w:sz w:val="20"/>
          <w:szCs w:val="20"/>
          <w:lang w:val="en-GB"/>
        </w:rPr>
        <w:t xml:space="preserve"> The AD targets alignment and capacity for environment/climate (Ch.27) rather than concrete transboundary pollution-reduction actions</w:t>
      </w:r>
      <w:r w:rsidR="008D2B9F" w:rsidRPr="00D10FEB">
        <w:rPr>
          <w:rFonts w:ascii="Arial Narrow" w:hAnsi="Arial Narrow"/>
          <w:sz w:val="20"/>
          <w:szCs w:val="20"/>
          <w:lang w:val="en-GB"/>
        </w:rPr>
        <w:t xml:space="preserve">. </w:t>
      </w:r>
    </w:p>
    <w:p w:rsidR="00DA15E5" w:rsidRPr="00D10FEB" w:rsidRDefault="00DA15E5" w:rsidP="00DA15E5">
      <w:pPr>
        <w:numPr>
          <w:ilvl w:val="0"/>
          <w:numId w:val="27"/>
        </w:numPr>
        <w:spacing w:before="100" w:beforeAutospacing="1" w:after="100" w:afterAutospacing="1"/>
        <w:rPr>
          <w:rFonts w:ascii="Arial Narrow" w:hAnsi="Arial Narrow"/>
          <w:b/>
          <w:bCs/>
          <w:sz w:val="20"/>
          <w:szCs w:val="20"/>
          <w:lang w:val="en-GB"/>
        </w:rPr>
      </w:pPr>
      <w:r w:rsidRPr="00D10FEB">
        <w:rPr>
          <w:rFonts w:ascii="Arial Narrow" w:hAnsi="Arial Narrow"/>
          <w:b/>
          <w:bCs/>
          <w:sz w:val="20"/>
          <w:szCs w:val="20"/>
          <w:lang w:val="en-GB"/>
        </w:rPr>
        <w:t>Pillar 1: No alignment.</w:t>
      </w:r>
    </w:p>
    <w:p w:rsidR="00DA15E5" w:rsidRPr="00D10FEB" w:rsidRDefault="00DA15E5" w:rsidP="00DA15E5">
      <w:pPr>
        <w:numPr>
          <w:ilvl w:val="0"/>
          <w:numId w:val="27"/>
        </w:numPr>
        <w:spacing w:before="100" w:beforeAutospacing="1" w:after="100" w:afterAutospacing="1"/>
        <w:rPr>
          <w:rFonts w:ascii="Arial Narrow" w:hAnsi="Arial Narrow"/>
          <w:b/>
          <w:bCs/>
          <w:sz w:val="20"/>
          <w:szCs w:val="20"/>
          <w:lang w:val="en-GB"/>
        </w:rPr>
      </w:pPr>
      <w:r w:rsidRPr="00D10FEB">
        <w:rPr>
          <w:rFonts w:ascii="Arial Narrow" w:hAnsi="Arial Narrow"/>
          <w:b/>
          <w:bCs/>
          <w:sz w:val="20"/>
          <w:szCs w:val="20"/>
          <w:lang w:val="en-GB"/>
        </w:rPr>
        <w:t>Pillar 4: No alignment.</w:t>
      </w:r>
    </w:p>
    <w:p w:rsidR="00DA15E5" w:rsidRPr="00D10FEB" w:rsidRDefault="00DA15E5" w:rsidP="00DA15E5">
      <w:pPr>
        <w:numPr>
          <w:ilvl w:val="0"/>
          <w:numId w:val="27"/>
        </w:numPr>
        <w:spacing w:before="100" w:beforeAutospacing="1" w:after="100" w:afterAutospacing="1"/>
        <w:rPr>
          <w:rFonts w:ascii="Arial Narrow" w:hAnsi="Arial Narrow"/>
          <w:b/>
          <w:bCs/>
          <w:sz w:val="20"/>
          <w:szCs w:val="20"/>
          <w:lang w:val="en-GB"/>
        </w:rPr>
      </w:pPr>
      <w:r w:rsidRPr="00D10FEB">
        <w:rPr>
          <w:rFonts w:ascii="Arial Narrow" w:hAnsi="Arial Narrow"/>
          <w:b/>
          <w:bCs/>
          <w:sz w:val="20"/>
          <w:szCs w:val="20"/>
          <w:lang w:val="en-GB"/>
        </w:rPr>
        <w:t>Pillar 5: No alignment.</w:t>
      </w:r>
    </w:p>
    <w:p w:rsidR="008C5030" w:rsidRPr="00D10FEB" w:rsidRDefault="008C5030" w:rsidP="00A43FFD">
      <w:pPr>
        <w:pStyle w:val="Heading3"/>
        <w:shd w:val="clear" w:color="auto" w:fill="DAE9F7" w:themeFill="text2" w:themeFillTint="1A"/>
        <w:rPr>
          <w:rStyle w:val="Strong"/>
          <w:rFonts w:ascii="Franklin Gothic Heavy" w:hAnsi="Franklin Gothic Heavy"/>
          <w:sz w:val="24"/>
          <w:szCs w:val="24"/>
          <w:lang w:val="en-GB"/>
        </w:rPr>
      </w:pPr>
      <w:bookmarkStart w:id="22" w:name="_Toc221105732"/>
      <w:r w:rsidRPr="00D10FEB">
        <w:rPr>
          <w:rStyle w:val="Strong"/>
          <w:rFonts w:ascii="Franklin Gothic Heavy" w:hAnsi="Franklin Gothic Heavy"/>
          <w:sz w:val="24"/>
          <w:szCs w:val="24"/>
          <w:lang w:val="en-GB"/>
        </w:rPr>
        <w:t>Reform Agenda</w:t>
      </w:r>
      <w:bookmarkEnd w:id="22"/>
    </w:p>
    <w:p w:rsidR="008C5030" w:rsidRPr="00D10FEB" w:rsidRDefault="008C5030" w:rsidP="008C5030">
      <w:pPr>
        <w:pStyle w:val="p1"/>
        <w:spacing w:before="0" w:beforeAutospacing="0" w:after="120" w:afterAutospacing="0"/>
        <w:jc w:val="both"/>
        <w:rPr>
          <w:rFonts w:ascii="Arial Narrow" w:hAnsi="Arial Narrow"/>
          <w:sz w:val="20"/>
          <w:szCs w:val="20"/>
          <w:lang w:val="en-GB"/>
        </w:rPr>
      </w:pPr>
      <w:r w:rsidRPr="00D10FEB">
        <w:rPr>
          <w:rStyle w:val="s1"/>
          <w:rFonts w:ascii="Arial Narrow" w:eastAsiaTheme="majorEastAsia" w:hAnsi="Arial Narrow"/>
          <w:b/>
          <w:bCs/>
          <w:sz w:val="20"/>
          <w:szCs w:val="20"/>
          <w:lang w:val="en-GB"/>
        </w:rPr>
        <w:t>Pillar 1 – Blue Sustainable Economy (Partial):</w:t>
      </w:r>
      <w:r w:rsidRPr="00D10FEB">
        <w:rPr>
          <w:rFonts w:ascii="Arial Narrow" w:hAnsi="Arial Narrow"/>
          <w:sz w:val="20"/>
          <w:szCs w:val="20"/>
          <w:lang w:val="en-GB"/>
        </w:rPr>
        <w:t xml:space="preserve"> Serbia is landlocked and lacks marine-economy reforms, so alignment is mostly conceptual. The Reform Agenda prioritises innovation, green transition, circular economy, and bioeconomy, which fits Pillar 1’s technology and sustainability aims. Any “blue” link is indirect (e.g., Danube waterway management). No explicit blue-economy projects are present.</w:t>
      </w:r>
    </w:p>
    <w:p w:rsidR="008C5030" w:rsidRPr="00D10FEB" w:rsidRDefault="008C5030" w:rsidP="008C5030">
      <w:pPr>
        <w:pStyle w:val="p1"/>
        <w:spacing w:before="0" w:beforeAutospacing="0" w:after="120" w:afterAutospacing="0"/>
        <w:jc w:val="both"/>
        <w:rPr>
          <w:rFonts w:ascii="Arial Narrow" w:hAnsi="Arial Narrow"/>
          <w:sz w:val="20"/>
          <w:szCs w:val="20"/>
          <w:lang w:val="en-GB"/>
        </w:rPr>
      </w:pPr>
      <w:r w:rsidRPr="00D10FEB">
        <w:rPr>
          <w:rStyle w:val="s1"/>
          <w:rFonts w:ascii="Arial Narrow" w:eastAsiaTheme="majorEastAsia" w:hAnsi="Arial Narrow"/>
          <w:b/>
          <w:bCs/>
          <w:sz w:val="20"/>
          <w:szCs w:val="20"/>
          <w:lang w:val="en-GB"/>
        </w:rPr>
        <w:t>Pillar 2 – Connecting the Region (Direct):</w:t>
      </w:r>
      <w:r w:rsidRPr="00D10FEB">
        <w:rPr>
          <w:rFonts w:ascii="Arial Narrow" w:hAnsi="Arial Narrow"/>
          <w:sz w:val="20"/>
          <w:szCs w:val="20"/>
          <w:lang w:val="en-GB"/>
        </w:rPr>
        <w:t xml:space="preserve"> Alignment is strong in transport and energy. Serbia upgrades Corridor X and key rail segments (e.g., Belgrade–</w:t>
      </w:r>
      <w:proofErr w:type="spellStart"/>
      <w:r w:rsidRPr="00D10FEB">
        <w:rPr>
          <w:rFonts w:ascii="Arial Narrow" w:hAnsi="Arial Narrow"/>
          <w:sz w:val="20"/>
          <w:szCs w:val="20"/>
          <w:lang w:val="en-GB"/>
        </w:rPr>
        <w:t>Niš</w:t>
      </w:r>
      <w:proofErr w:type="spellEnd"/>
      <w:r w:rsidRPr="00D10FEB">
        <w:rPr>
          <w:rFonts w:ascii="Arial Narrow" w:hAnsi="Arial Narrow"/>
          <w:sz w:val="20"/>
          <w:szCs w:val="20"/>
          <w:lang w:val="en-GB"/>
        </w:rPr>
        <w:t>), expands Danube inland-waterway capacity, and deploys ITS and e-freight pilots. Energy reforms unbundle markets, scale renewables, improve efficiency, and advance interconnections, supporting regional integration and decarbonisation. Digital infrastructure investments reinforce connectivity. Coordinating national project timelines with EUSAIR priority lists would deepen embedding.</w:t>
      </w:r>
    </w:p>
    <w:p w:rsidR="008C5030" w:rsidRPr="00D10FEB" w:rsidRDefault="008C5030" w:rsidP="008C5030">
      <w:pPr>
        <w:pStyle w:val="p1"/>
        <w:spacing w:before="0" w:beforeAutospacing="0" w:after="120" w:afterAutospacing="0"/>
        <w:jc w:val="both"/>
        <w:rPr>
          <w:rFonts w:ascii="Arial Narrow" w:hAnsi="Arial Narrow"/>
          <w:sz w:val="20"/>
          <w:szCs w:val="20"/>
          <w:lang w:val="en-GB"/>
        </w:rPr>
      </w:pPr>
      <w:r w:rsidRPr="00D10FEB">
        <w:rPr>
          <w:rStyle w:val="s1"/>
          <w:rFonts w:ascii="Arial Narrow" w:eastAsiaTheme="majorEastAsia" w:hAnsi="Arial Narrow"/>
          <w:b/>
          <w:bCs/>
          <w:sz w:val="20"/>
          <w:szCs w:val="20"/>
          <w:lang w:val="en-GB"/>
        </w:rPr>
        <w:t>Pillar 3 – Environmental Quality (Partial):</w:t>
      </w:r>
      <w:r w:rsidRPr="00D10FEB">
        <w:rPr>
          <w:rFonts w:ascii="Arial Narrow" w:hAnsi="Arial Narrow"/>
          <w:sz w:val="20"/>
          <w:szCs w:val="20"/>
          <w:lang w:val="en-GB"/>
        </w:rPr>
        <w:t xml:space="preserve"> The agenda targets pollution control, air-quality plans, industrial emissions, wastewater, and climate adaptation, matching Pillar 3’s quality and resilience goals. Biodiversity and transnational ecosystem management are less developed. Regional hazardous-waste work contributes indirectly. Stronger cross-border nature protection and data-sharing initiatives would improve alignment.</w:t>
      </w:r>
    </w:p>
    <w:p w:rsidR="008C5030" w:rsidRPr="00D10FEB" w:rsidRDefault="008C5030" w:rsidP="008C5030">
      <w:pPr>
        <w:pStyle w:val="p1"/>
        <w:spacing w:before="0" w:beforeAutospacing="0" w:after="120" w:afterAutospacing="0"/>
        <w:jc w:val="both"/>
        <w:rPr>
          <w:rFonts w:ascii="Arial Narrow" w:hAnsi="Arial Narrow"/>
          <w:sz w:val="20"/>
          <w:szCs w:val="20"/>
          <w:lang w:val="en-GB"/>
        </w:rPr>
      </w:pPr>
      <w:r w:rsidRPr="00D10FEB">
        <w:rPr>
          <w:rStyle w:val="s1"/>
          <w:rFonts w:ascii="Arial Narrow" w:eastAsiaTheme="majorEastAsia" w:hAnsi="Arial Narrow"/>
          <w:b/>
          <w:bCs/>
          <w:sz w:val="20"/>
          <w:szCs w:val="20"/>
          <w:lang w:val="en-GB"/>
        </w:rPr>
        <w:t>Pillar 4 – Sustainable Tourism (Indirect):</w:t>
      </w:r>
      <w:r w:rsidRPr="00D10FEB">
        <w:rPr>
          <w:rFonts w:ascii="Arial Narrow" w:hAnsi="Arial Narrow"/>
          <w:sz w:val="20"/>
          <w:szCs w:val="20"/>
          <w:lang w:val="en-GB"/>
        </w:rPr>
        <w:t xml:space="preserve"> Tourism is not a focus of the Reform Agenda. Indirect links arise via green/digital transition measures, business-environment reforms, and better cultural-heritage management. There is no dedicated sustainable-tourism strategy or product diversification. Tapping EUSAIR regional tourism initiatives could convert implicit links into concrete actions.</w:t>
      </w:r>
    </w:p>
    <w:p w:rsidR="008C5030" w:rsidRPr="00D10FEB" w:rsidRDefault="008C5030" w:rsidP="008C5030">
      <w:pPr>
        <w:pStyle w:val="p1"/>
        <w:spacing w:before="0" w:beforeAutospacing="0" w:after="120" w:afterAutospacing="0"/>
        <w:jc w:val="both"/>
        <w:rPr>
          <w:rFonts w:ascii="Arial Narrow" w:hAnsi="Arial Narrow"/>
          <w:sz w:val="20"/>
          <w:szCs w:val="20"/>
          <w:lang w:val="en-GB"/>
        </w:rPr>
      </w:pPr>
      <w:r w:rsidRPr="00D10FEB">
        <w:rPr>
          <w:rStyle w:val="s1"/>
          <w:rFonts w:ascii="Arial Narrow" w:eastAsiaTheme="majorEastAsia" w:hAnsi="Arial Narrow"/>
          <w:b/>
          <w:bCs/>
          <w:sz w:val="20"/>
          <w:szCs w:val="20"/>
          <w:lang w:val="en-GB"/>
        </w:rPr>
        <w:t>Pillar 5 – Improved Social Cohesion (Direct):</w:t>
      </w:r>
      <w:r w:rsidRPr="00D10FEB">
        <w:rPr>
          <w:rFonts w:ascii="Arial Narrow" w:hAnsi="Arial Narrow"/>
          <w:sz w:val="20"/>
          <w:szCs w:val="20"/>
          <w:lang w:val="en-GB"/>
        </w:rPr>
        <w:t xml:space="preserve"> Alignment is high. Reforms modernise education, expand dual training, raise labour participation (women and youth), and improve service delivery, health, and pensions. Upskilling for green/digital transitions and regional recognition of qualifications support Common Regional Market goals and Pillar 5 cooperation. Continued engagement with EUSAIR social platforms will sustain depth and scale.</w:t>
      </w:r>
    </w:p>
    <w:p w:rsidR="008C5030" w:rsidRPr="00D10FEB" w:rsidRDefault="008C5030" w:rsidP="008C5030">
      <w:pPr>
        <w:pStyle w:val="p1"/>
        <w:spacing w:before="0" w:beforeAutospacing="0" w:after="120" w:afterAutospacing="0"/>
        <w:jc w:val="both"/>
        <w:rPr>
          <w:rFonts w:ascii="Arial Narrow" w:hAnsi="Arial Narrow"/>
          <w:sz w:val="20"/>
          <w:szCs w:val="20"/>
          <w:lang w:val="en-GB"/>
        </w:rPr>
      </w:pPr>
      <w:r w:rsidRPr="00D10FEB">
        <w:rPr>
          <w:rStyle w:val="Strong"/>
          <w:rFonts w:ascii="Arial Narrow" w:eastAsiaTheme="majorEastAsia" w:hAnsi="Arial Narrow"/>
          <w:sz w:val="20"/>
          <w:szCs w:val="20"/>
          <w:lang w:val="en-GB"/>
        </w:rPr>
        <w:t>Serbia — indicative WBIF investments.</w:t>
      </w:r>
      <w:r w:rsidRPr="00D10FEB">
        <w:rPr>
          <w:rFonts w:ascii="Arial Narrow" w:hAnsi="Arial Narrow"/>
          <w:sz w:val="20"/>
          <w:szCs w:val="20"/>
          <w:lang w:val="en-GB"/>
        </w:rPr>
        <w:t xml:space="preserve"> The transport list covers priority rail schemes: </w:t>
      </w:r>
      <w:r w:rsidRPr="00D10FEB">
        <w:rPr>
          <w:rStyle w:val="Strong"/>
          <w:rFonts w:ascii="Arial Narrow" w:eastAsiaTheme="majorEastAsia" w:hAnsi="Arial Narrow"/>
          <w:b w:val="0"/>
          <w:bCs w:val="0"/>
          <w:sz w:val="20"/>
          <w:szCs w:val="20"/>
          <w:lang w:val="en-GB"/>
        </w:rPr>
        <w:t>Rail Route 4 (Serbia–Montenegro)</w:t>
      </w:r>
      <w:r w:rsidRPr="00D10FEB">
        <w:rPr>
          <w:rFonts w:ascii="Arial Narrow" w:hAnsi="Arial Narrow"/>
          <w:sz w:val="20"/>
          <w:szCs w:val="20"/>
          <w:lang w:val="en-GB"/>
        </w:rPr>
        <w:t xml:space="preserve">, </w:t>
      </w:r>
      <w:proofErr w:type="spellStart"/>
      <w:r w:rsidRPr="00D10FEB">
        <w:rPr>
          <w:rStyle w:val="Strong"/>
          <w:rFonts w:ascii="Arial Narrow" w:eastAsiaTheme="majorEastAsia" w:hAnsi="Arial Narrow"/>
          <w:b w:val="0"/>
          <w:bCs w:val="0"/>
          <w:sz w:val="20"/>
          <w:szCs w:val="20"/>
          <w:lang w:val="en-GB"/>
        </w:rPr>
        <w:t>Vrbnica</w:t>
      </w:r>
      <w:proofErr w:type="spellEnd"/>
      <w:r w:rsidRPr="00D10FEB">
        <w:rPr>
          <w:rStyle w:val="Strong"/>
          <w:rFonts w:ascii="Arial Narrow" w:eastAsiaTheme="majorEastAsia" w:hAnsi="Arial Narrow"/>
          <w:b w:val="0"/>
          <w:bCs w:val="0"/>
          <w:sz w:val="20"/>
          <w:szCs w:val="20"/>
          <w:lang w:val="en-GB"/>
        </w:rPr>
        <w:t xml:space="preserve"> line</w:t>
      </w:r>
      <w:r w:rsidRPr="00D10FEB">
        <w:rPr>
          <w:rFonts w:ascii="Arial Narrow" w:hAnsi="Arial Narrow"/>
          <w:sz w:val="20"/>
          <w:szCs w:val="20"/>
          <w:lang w:val="en-GB"/>
        </w:rPr>
        <w:t xml:space="preserve"> (supported since the 2015 Connectivity Agenda), </w:t>
      </w:r>
      <w:r w:rsidRPr="00D10FEB">
        <w:rPr>
          <w:rStyle w:val="Strong"/>
          <w:rFonts w:ascii="Arial Narrow" w:eastAsiaTheme="majorEastAsia" w:hAnsi="Arial Narrow"/>
          <w:b w:val="0"/>
          <w:bCs w:val="0"/>
          <w:sz w:val="20"/>
          <w:szCs w:val="20"/>
          <w:lang w:val="en-GB"/>
        </w:rPr>
        <w:t>Rail Route 10</w:t>
      </w:r>
      <w:r w:rsidRPr="00D10FEB">
        <w:rPr>
          <w:rFonts w:ascii="Arial Narrow" w:hAnsi="Arial Narrow"/>
          <w:sz w:val="20"/>
          <w:szCs w:val="20"/>
          <w:lang w:val="en-GB"/>
        </w:rPr>
        <w:t xml:space="preserve"> (link to Kosovo*), and a </w:t>
      </w:r>
      <w:r w:rsidRPr="00D10FEB">
        <w:rPr>
          <w:rStyle w:val="Strong"/>
          <w:rFonts w:ascii="Arial Narrow" w:eastAsiaTheme="majorEastAsia" w:hAnsi="Arial Narrow"/>
          <w:b w:val="0"/>
          <w:bCs w:val="0"/>
          <w:sz w:val="20"/>
          <w:szCs w:val="20"/>
          <w:lang w:val="en-GB"/>
        </w:rPr>
        <w:t>fully mature rehabilitation of Corridor X (Stara Pazova–</w:t>
      </w:r>
      <w:proofErr w:type="spellStart"/>
      <w:r w:rsidRPr="00D10FEB">
        <w:rPr>
          <w:rStyle w:val="Strong"/>
          <w:rFonts w:ascii="Arial Narrow" w:eastAsiaTheme="majorEastAsia" w:hAnsi="Arial Narrow"/>
          <w:b w:val="0"/>
          <w:bCs w:val="0"/>
          <w:sz w:val="20"/>
          <w:szCs w:val="20"/>
          <w:lang w:val="en-GB"/>
        </w:rPr>
        <w:t>Šid</w:t>
      </w:r>
      <w:proofErr w:type="spellEnd"/>
      <w:r w:rsidRPr="00D10FEB">
        <w:rPr>
          <w:rStyle w:val="Strong"/>
          <w:rFonts w:ascii="Arial Narrow" w:eastAsiaTheme="majorEastAsia" w:hAnsi="Arial Narrow"/>
          <w:b w:val="0"/>
          <w:bCs w:val="0"/>
          <w:sz w:val="20"/>
          <w:szCs w:val="20"/>
          <w:lang w:val="en-GB"/>
        </w:rPr>
        <w:t>)</w:t>
      </w:r>
      <w:r w:rsidRPr="00D10FEB">
        <w:rPr>
          <w:rFonts w:ascii="Arial Narrow" w:hAnsi="Arial Narrow"/>
          <w:sz w:val="20"/>
          <w:szCs w:val="20"/>
          <w:lang w:val="en-GB"/>
        </w:rPr>
        <w:t xml:space="preserve">. In energy: </w:t>
      </w:r>
      <w:r w:rsidRPr="00D10FEB">
        <w:rPr>
          <w:rStyle w:val="Strong"/>
          <w:rFonts w:ascii="Arial Narrow" w:eastAsiaTheme="majorEastAsia" w:hAnsi="Arial Narrow"/>
          <w:b w:val="0"/>
          <w:bCs w:val="0"/>
          <w:sz w:val="20"/>
          <w:szCs w:val="20"/>
          <w:lang w:val="en-GB"/>
        </w:rPr>
        <w:t xml:space="preserve">rehabilitation of HPP </w:t>
      </w:r>
      <w:proofErr w:type="spellStart"/>
      <w:r w:rsidRPr="00D10FEB">
        <w:rPr>
          <w:rStyle w:val="Strong"/>
          <w:rFonts w:ascii="Arial Narrow" w:eastAsiaTheme="majorEastAsia" w:hAnsi="Arial Narrow"/>
          <w:b w:val="0"/>
          <w:bCs w:val="0"/>
          <w:sz w:val="20"/>
          <w:szCs w:val="20"/>
          <w:lang w:val="en-GB"/>
        </w:rPr>
        <w:t>Potpeć</w:t>
      </w:r>
      <w:proofErr w:type="spellEnd"/>
      <w:r w:rsidRPr="00D10FEB">
        <w:rPr>
          <w:rFonts w:ascii="Arial Narrow" w:hAnsi="Arial Narrow"/>
          <w:sz w:val="20"/>
          <w:szCs w:val="20"/>
          <w:lang w:val="en-GB"/>
        </w:rPr>
        <w:t xml:space="preserve">, </w:t>
      </w:r>
      <w:r w:rsidRPr="00D10FEB">
        <w:rPr>
          <w:rStyle w:val="Strong"/>
          <w:rFonts w:ascii="Arial Narrow" w:eastAsiaTheme="majorEastAsia" w:hAnsi="Arial Narrow"/>
          <w:b w:val="0"/>
          <w:bCs w:val="0"/>
          <w:sz w:val="20"/>
          <w:szCs w:val="20"/>
          <w:lang w:val="en-GB"/>
        </w:rPr>
        <w:t>electricity interconnectors</w:t>
      </w:r>
      <w:r w:rsidRPr="00D10FEB">
        <w:rPr>
          <w:rFonts w:ascii="Arial Narrow" w:hAnsi="Arial Narrow"/>
          <w:sz w:val="20"/>
          <w:szCs w:val="20"/>
          <w:lang w:val="en-GB"/>
        </w:rPr>
        <w:t xml:space="preserve">, and the </w:t>
      </w:r>
      <w:r w:rsidRPr="00D10FEB">
        <w:rPr>
          <w:rStyle w:val="Strong"/>
          <w:rFonts w:ascii="Arial Narrow" w:eastAsiaTheme="majorEastAsia" w:hAnsi="Arial Narrow"/>
          <w:b w:val="0"/>
          <w:bCs w:val="0"/>
          <w:sz w:val="20"/>
          <w:szCs w:val="20"/>
          <w:lang w:val="en-GB"/>
        </w:rPr>
        <w:t>Serbia–North Macedonia gas interconnector</w:t>
      </w:r>
      <w:r w:rsidRPr="00D10FEB">
        <w:rPr>
          <w:rFonts w:ascii="Arial Narrow" w:hAnsi="Arial Narrow"/>
          <w:sz w:val="20"/>
          <w:szCs w:val="20"/>
          <w:lang w:val="en-GB"/>
        </w:rPr>
        <w:t xml:space="preserve"> (WBIF TA under preparation). In digital: </w:t>
      </w:r>
      <w:r w:rsidRPr="00D10FEB">
        <w:rPr>
          <w:rStyle w:val="Strong"/>
          <w:rFonts w:ascii="Arial Narrow" w:eastAsiaTheme="majorEastAsia" w:hAnsi="Arial Narrow"/>
          <w:b w:val="0"/>
          <w:bCs w:val="0"/>
          <w:sz w:val="20"/>
          <w:szCs w:val="20"/>
          <w:lang w:val="en-GB"/>
        </w:rPr>
        <w:t>Rural Broadband Phase III</w:t>
      </w:r>
      <w:r w:rsidRPr="00D10FEB">
        <w:rPr>
          <w:rFonts w:ascii="Arial Narrow" w:hAnsi="Arial Narrow"/>
          <w:sz w:val="20"/>
          <w:szCs w:val="20"/>
          <w:lang w:val="en-GB"/>
        </w:rPr>
        <w:t xml:space="preserve"> is already submitted; Serbia is encouraged to add further digital investments. A </w:t>
      </w:r>
      <w:r w:rsidRPr="00D10FEB">
        <w:rPr>
          <w:rStyle w:val="Strong"/>
          <w:rFonts w:ascii="Arial Narrow" w:eastAsiaTheme="majorEastAsia" w:hAnsi="Arial Narrow"/>
          <w:b w:val="0"/>
          <w:bCs w:val="0"/>
          <w:sz w:val="20"/>
          <w:szCs w:val="20"/>
          <w:lang w:val="en-GB"/>
        </w:rPr>
        <w:t>BIO4 life</w:t>
      </w:r>
      <w:r w:rsidRPr="00D10FEB">
        <w:rPr>
          <w:rStyle w:val="Strong"/>
          <w:rFonts w:ascii="Arial Narrow" w:eastAsiaTheme="majorEastAsia" w:hAnsi="Arial Narrow"/>
          <w:b w:val="0"/>
          <w:bCs w:val="0"/>
          <w:sz w:val="20"/>
          <w:szCs w:val="20"/>
          <w:lang w:val="en-GB"/>
        </w:rPr>
        <w:noBreakHyphen/>
        <w:t>sciences campus</w:t>
      </w:r>
      <w:r w:rsidRPr="00D10FEB">
        <w:rPr>
          <w:rFonts w:ascii="Arial Narrow" w:hAnsi="Arial Narrow"/>
          <w:sz w:val="20"/>
          <w:szCs w:val="20"/>
          <w:lang w:val="en-GB"/>
        </w:rPr>
        <w:t xml:space="preserve"> is also flagged under human capital.</w:t>
      </w:r>
    </w:p>
    <w:p w:rsidR="008C5030" w:rsidRPr="00D10FEB" w:rsidRDefault="008C5030" w:rsidP="008C5030">
      <w:pPr>
        <w:spacing w:after="120"/>
        <w:jc w:val="both"/>
        <w:rPr>
          <w:rFonts w:ascii="Arial Narrow" w:hAnsi="Arial Narrow"/>
          <w:i/>
          <w:iCs/>
          <w:sz w:val="20"/>
          <w:szCs w:val="20"/>
          <w:lang w:val="en-GB"/>
        </w:rPr>
      </w:pPr>
      <w:r w:rsidRPr="00D10FEB">
        <w:rPr>
          <w:rFonts w:ascii="Arial Narrow" w:hAnsi="Arial Narrow"/>
          <w:i/>
          <w:iCs/>
          <w:sz w:val="20"/>
          <w:szCs w:val="20"/>
          <w:lang w:val="en-GB"/>
        </w:rPr>
        <w:t xml:space="preserve">(Table </w:t>
      </w:r>
      <w:r w:rsidR="00D10FEB" w:rsidRPr="00D10FEB">
        <w:rPr>
          <w:rFonts w:ascii="Arial Narrow" w:hAnsi="Arial Narrow"/>
          <w:i/>
          <w:iCs/>
          <w:sz w:val="20"/>
          <w:szCs w:val="20"/>
          <w:lang w:val="en-GB"/>
        </w:rPr>
        <w:t>6</w:t>
      </w:r>
      <w:r w:rsidRPr="00D10FEB">
        <w:rPr>
          <w:rFonts w:ascii="Arial Narrow" w:hAnsi="Arial Narrow"/>
          <w:i/>
          <w:iCs/>
          <w:sz w:val="20"/>
          <w:szCs w:val="20"/>
          <w:lang w:val="en-GB"/>
        </w:rPr>
        <w:t xml:space="preserve"> summarizes Serbia’s alignment.)</w:t>
      </w:r>
    </w:p>
    <w:tbl>
      <w:tblPr>
        <w:tblStyle w:val="GridTable1Light-Accent1"/>
        <w:tblW w:w="0" w:type="auto"/>
        <w:tblLook w:val="04A0" w:firstRow="1" w:lastRow="0" w:firstColumn="1" w:lastColumn="0" w:noHBand="0" w:noVBand="1"/>
      </w:tblPr>
      <w:tblGrid>
        <w:gridCol w:w="1490"/>
        <w:gridCol w:w="2829"/>
        <w:gridCol w:w="1122"/>
        <w:gridCol w:w="3575"/>
      </w:tblGrid>
      <w:tr w:rsidR="008C5030" w:rsidRPr="00D10FEB" w:rsidTr="00DB6F78">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8C5030" w:rsidRPr="00D10FEB" w:rsidRDefault="008C5030" w:rsidP="00DB6F78">
            <w:pPr>
              <w:spacing w:after="120"/>
              <w:rPr>
                <w:rFonts w:ascii="Arial Narrow" w:hAnsi="Arial Narrow"/>
                <w:sz w:val="20"/>
                <w:szCs w:val="20"/>
                <w:lang w:val="en-GB"/>
              </w:rPr>
            </w:pPr>
            <w:r w:rsidRPr="00D10FEB">
              <w:rPr>
                <w:rFonts w:ascii="Arial Narrow" w:hAnsi="Arial Narrow"/>
                <w:sz w:val="20"/>
                <w:szCs w:val="20"/>
                <w:lang w:val="en-GB"/>
              </w:rPr>
              <w:t>EUSAIR Pillar</w:t>
            </w:r>
          </w:p>
        </w:tc>
        <w:tc>
          <w:tcPr>
            <w:tcW w:w="0" w:type="auto"/>
            <w:vAlign w:val="center"/>
            <w:hideMark/>
          </w:tcPr>
          <w:p w:rsidR="008C5030" w:rsidRPr="00D10FEB" w:rsidRDefault="008C5030" w:rsidP="00DB6F78">
            <w:pPr>
              <w:spacing w:after="120"/>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Alignment with Serbia RA</w:t>
            </w:r>
          </w:p>
        </w:tc>
        <w:tc>
          <w:tcPr>
            <w:tcW w:w="0" w:type="auto"/>
            <w:vAlign w:val="center"/>
            <w:hideMark/>
          </w:tcPr>
          <w:p w:rsidR="008C5030" w:rsidRPr="00D10FEB" w:rsidRDefault="008C5030" w:rsidP="00DB6F78">
            <w:pPr>
              <w:spacing w:after="120"/>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Alignment Type</w:t>
            </w:r>
          </w:p>
        </w:tc>
        <w:tc>
          <w:tcPr>
            <w:tcW w:w="0" w:type="auto"/>
            <w:vAlign w:val="center"/>
            <w:hideMark/>
          </w:tcPr>
          <w:p w:rsidR="008C5030" w:rsidRPr="00D10FEB" w:rsidRDefault="008C5030" w:rsidP="00DB6F78">
            <w:pPr>
              <w:spacing w:after="120"/>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Examples of RA Reforms</w:t>
            </w:r>
          </w:p>
        </w:tc>
      </w:tr>
      <w:tr w:rsidR="008C5030" w:rsidRPr="00D10FEB" w:rsidTr="00DB6F78">
        <w:trPr>
          <w:trHeight w:val="5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8C5030" w:rsidRPr="00D10FEB" w:rsidRDefault="008C5030" w:rsidP="00DB6F78">
            <w:pPr>
              <w:spacing w:after="120"/>
              <w:rPr>
                <w:rFonts w:ascii="Arial Narrow" w:hAnsi="Arial Narrow"/>
                <w:b w:val="0"/>
                <w:bCs w:val="0"/>
                <w:sz w:val="20"/>
                <w:szCs w:val="20"/>
                <w:lang w:val="en-GB"/>
              </w:rPr>
            </w:pPr>
            <w:r w:rsidRPr="00D10FEB">
              <w:rPr>
                <w:rFonts w:ascii="Arial Narrow" w:hAnsi="Arial Narrow"/>
                <w:b w:val="0"/>
                <w:bCs w:val="0"/>
                <w:sz w:val="20"/>
                <w:szCs w:val="20"/>
                <w:lang w:val="en-GB"/>
              </w:rPr>
              <w:t>P1. Blue Sustainable Economy</w:t>
            </w:r>
          </w:p>
        </w:tc>
        <w:tc>
          <w:tcPr>
            <w:tcW w:w="0" w:type="auto"/>
            <w:vAlign w:val="center"/>
            <w:hideMark/>
          </w:tcPr>
          <w:p w:rsidR="008C5030" w:rsidRPr="00D10FEB" w:rsidRDefault="008C5030" w:rsidP="00DB6F7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Reflected via green innovation and circular economy initiatives; no marine economy actions (landlocked).</w:t>
            </w:r>
          </w:p>
        </w:tc>
        <w:tc>
          <w:tcPr>
            <w:tcW w:w="0" w:type="auto"/>
            <w:vAlign w:val="center"/>
            <w:hideMark/>
          </w:tcPr>
          <w:p w:rsidR="008C5030" w:rsidRPr="00D10FEB" w:rsidRDefault="008C5030" w:rsidP="00DB6F7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 xml:space="preserve">Partial </w:t>
            </w:r>
          </w:p>
        </w:tc>
        <w:tc>
          <w:tcPr>
            <w:tcW w:w="0" w:type="auto"/>
            <w:vAlign w:val="center"/>
            <w:hideMark/>
          </w:tcPr>
          <w:p w:rsidR="008C5030" w:rsidRPr="00D10FEB" w:rsidRDefault="008C5030" w:rsidP="00DB6F7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Innovation Fund support for tech startups; National Circular Economy Program (promoting sustainable production).</w:t>
            </w:r>
          </w:p>
        </w:tc>
      </w:tr>
      <w:tr w:rsidR="008C5030" w:rsidRPr="00D10FEB" w:rsidTr="00DB6F78">
        <w:trPr>
          <w:trHeight w:val="5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8C5030" w:rsidRPr="00D10FEB" w:rsidRDefault="008C5030" w:rsidP="00DB6F78">
            <w:pPr>
              <w:spacing w:after="120"/>
              <w:rPr>
                <w:rFonts w:ascii="Arial Narrow" w:hAnsi="Arial Narrow"/>
                <w:b w:val="0"/>
                <w:bCs w:val="0"/>
                <w:sz w:val="20"/>
                <w:szCs w:val="20"/>
                <w:lang w:val="en-GB"/>
              </w:rPr>
            </w:pPr>
            <w:r w:rsidRPr="00D10FEB">
              <w:rPr>
                <w:rFonts w:ascii="Arial Narrow" w:hAnsi="Arial Narrow"/>
                <w:b w:val="0"/>
                <w:bCs w:val="0"/>
                <w:sz w:val="20"/>
                <w:szCs w:val="20"/>
                <w:lang w:val="en-GB"/>
              </w:rPr>
              <w:t>P2. Connecting the Region</w:t>
            </w:r>
          </w:p>
        </w:tc>
        <w:tc>
          <w:tcPr>
            <w:tcW w:w="0" w:type="auto"/>
            <w:vAlign w:val="center"/>
            <w:hideMark/>
          </w:tcPr>
          <w:p w:rsidR="008C5030" w:rsidRPr="00D10FEB" w:rsidRDefault="008C5030" w:rsidP="00DB6F7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Very strong reflection in major transport corridor projects and energy market reforms &amp; green transition.</w:t>
            </w:r>
          </w:p>
        </w:tc>
        <w:tc>
          <w:tcPr>
            <w:tcW w:w="0" w:type="auto"/>
            <w:vAlign w:val="center"/>
            <w:hideMark/>
          </w:tcPr>
          <w:p w:rsidR="008C5030" w:rsidRPr="00D10FEB" w:rsidRDefault="008C5030" w:rsidP="00DB6F7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Direct</w:t>
            </w:r>
          </w:p>
        </w:tc>
        <w:tc>
          <w:tcPr>
            <w:tcW w:w="0" w:type="auto"/>
            <w:vAlign w:val="center"/>
            <w:hideMark/>
          </w:tcPr>
          <w:p w:rsidR="008C5030" w:rsidRPr="00D10FEB" w:rsidRDefault="008C5030" w:rsidP="00DB6F7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 xml:space="preserve">Modernization of rail Corridor X; new highways to connect with </w:t>
            </w:r>
            <w:proofErr w:type="spellStart"/>
            <w:r w:rsidRPr="00D10FEB">
              <w:rPr>
                <w:rFonts w:ascii="Arial Narrow" w:hAnsi="Arial Narrow"/>
                <w:sz w:val="20"/>
                <w:szCs w:val="20"/>
                <w:lang w:val="en-GB"/>
              </w:rPr>
              <w:t>neighbors</w:t>
            </w:r>
            <w:proofErr w:type="spellEnd"/>
            <w:r w:rsidRPr="00D10FEB">
              <w:rPr>
                <w:rFonts w:ascii="Arial Narrow" w:hAnsi="Arial Narrow"/>
                <w:sz w:val="20"/>
                <w:szCs w:val="20"/>
                <w:lang w:val="en-GB"/>
              </w:rPr>
              <w:t>; electricity market liberalization and regional coupling; large-scale renewable energy auctions.</w:t>
            </w:r>
          </w:p>
        </w:tc>
      </w:tr>
      <w:tr w:rsidR="008C5030" w:rsidRPr="00D10FEB" w:rsidTr="00DB6F78">
        <w:trPr>
          <w:trHeight w:val="5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8C5030" w:rsidRPr="00D10FEB" w:rsidRDefault="008C5030" w:rsidP="00DB6F78">
            <w:pPr>
              <w:spacing w:after="120"/>
              <w:rPr>
                <w:rFonts w:ascii="Arial Narrow" w:hAnsi="Arial Narrow"/>
                <w:b w:val="0"/>
                <w:bCs w:val="0"/>
                <w:sz w:val="20"/>
                <w:szCs w:val="20"/>
                <w:lang w:val="en-GB"/>
              </w:rPr>
            </w:pPr>
            <w:r w:rsidRPr="00D10FEB">
              <w:rPr>
                <w:rFonts w:ascii="Arial Narrow" w:hAnsi="Arial Narrow"/>
                <w:b w:val="0"/>
                <w:bCs w:val="0"/>
                <w:sz w:val="20"/>
                <w:szCs w:val="20"/>
                <w:lang w:val="en-GB"/>
              </w:rPr>
              <w:t>P3. Environmental Quality</w:t>
            </w:r>
          </w:p>
        </w:tc>
        <w:tc>
          <w:tcPr>
            <w:tcW w:w="0" w:type="auto"/>
            <w:vAlign w:val="center"/>
            <w:hideMark/>
          </w:tcPr>
          <w:p w:rsidR="008C5030" w:rsidRPr="00D10FEB" w:rsidRDefault="008C5030" w:rsidP="00DB6F7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Addressed mainly via pollution control and climate measures; nature/biodiversity aspects could be stronger.</w:t>
            </w:r>
          </w:p>
        </w:tc>
        <w:tc>
          <w:tcPr>
            <w:tcW w:w="0" w:type="auto"/>
            <w:vAlign w:val="center"/>
            <w:hideMark/>
          </w:tcPr>
          <w:p w:rsidR="008C5030" w:rsidRPr="00D10FEB" w:rsidRDefault="008C5030" w:rsidP="00DB6F7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 xml:space="preserve">Partial </w:t>
            </w:r>
          </w:p>
        </w:tc>
        <w:tc>
          <w:tcPr>
            <w:tcW w:w="0" w:type="auto"/>
            <w:vAlign w:val="center"/>
            <w:hideMark/>
          </w:tcPr>
          <w:p w:rsidR="008C5030" w:rsidRPr="00D10FEB" w:rsidRDefault="008C5030" w:rsidP="00DB6F7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Industrial emissions reduction plan; Air quality improvement in cities; climate adaptation strategy; waste management infrastructure upgrades.</w:t>
            </w:r>
          </w:p>
        </w:tc>
      </w:tr>
      <w:tr w:rsidR="008C5030" w:rsidRPr="00D10FEB" w:rsidTr="00DB6F78">
        <w:trPr>
          <w:trHeight w:val="5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8C5030" w:rsidRPr="00D10FEB" w:rsidRDefault="008C5030" w:rsidP="00DB6F78">
            <w:pPr>
              <w:spacing w:after="120"/>
              <w:rPr>
                <w:rFonts w:ascii="Arial Narrow" w:hAnsi="Arial Narrow"/>
                <w:b w:val="0"/>
                <w:bCs w:val="0"/>
                <w:sz w:val="20"/>
                <w:szCs w:val="20"/>
                <w:lang w:val="en-GB"/>
              </w:rPr>
            </w:pPr>
            <w:r w:rsidRPr="00D10FEB">
              <w:rPr>
                <w:rFonts w:ascii="Arial Narrow" w:hAnsi="Arial Narrow"/>
                <w:b w:val="0"/>
                <w:bCs w:val="0"/>
                <w:sz w:val="20"/>
                <w:szCs w:val="20"/>
                <w:lang w:val="en-GB"/>
              </w:rPr>
              <w:t>P4. Sustainable Tourism</w:t>
            </w:r>
          </w:p>
        </w:tc>
        <w:tc>
          <w:tcPr>
            <w:tcW w:w="0" w:type="auto"/>
            <w:vAlign w:val="center"/>
            <w:hideMark/>
          </w:tcPr>
          <w:p w:rsidR="008C5030" w:rsidRPr="00D10FEB" w:rsidRDefault="008C5030" w:rsidP="00DB6F7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Not explicitly targeted; only indirectly through business climate improvements and cultural heritage management.</w:t>
            </w:r>
          </w:p>
        </w:tc>
        <w:tc>
          <w:tcPr>
            <w:tcW w:w="0" w:type="auto"/>
            <w:vAlign w:val="center"/>
            <w:hideMark/>
          </w:tcPr>
          <w:p w:rsidR="008C5030" w:rsidRPr="00D10FEB" w:rsidRDefault="008C5030" w:rsidP="00DB6F7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Indirect Relevance</w:t>
            </w:r>
          </w:p>
        </w:tc>
        <w:tc>
          <w:tcPr>
            <w:tcW w:w="0" w:type="auto"/>
            <w:vAlign w:val="center"/>
            <w:hideMark/>
          </w:tcPr>
          <w:p w:rsidR="008C5030" w:rsidRPr="00D10FEB" w:rsidRDefault="008C5030" w:rsidP="00DB6F7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Simplified business licensing (helps tourism investors); cultural heritage site renovations (supporting tourism attraction indirectly).</w:t>
            </w:r>
          </w:p>
        </w:tc>
      </w:tr>
      <w:tr w:rsidR="008C5030" w:rsidRPr="00D10FEB" w:rsidTr="00DB6F78">
        <w:trPr>
          <w:trHeight w:val="5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8C5030" w:rsidRPr="00D10FEB" w:rsidRDefault="008C5030" w:rsidP="00DB6F78">
            <w:pPr>
              <w:spacing w:after="120"/>
              <w:rPr>
                <w:rFonts w:ascii="Arial Narrow" w:hAnsi="Arial Narrow"/>
                <w:b w:val="0"/>
                <w:bCs w:val="0"/>
                <w:sz w:val="20"/>
                <w:szCs w:val="20"/>
                <w:lang w:val="en-GB"/>
              </w:rPr>
            </w:pPr>
            <w:r w:rsidRPr="00D10FEB">
              <w:rPr>
                <w:rFonts w:ascii="Arial Narrow" w:hAnsi="Arial Narrow"/>
                <w:b w:val="0"/>
                <w:bCs w:val="0"/>
                <w:sz w:val="20"/>
                <w:szCs w:val="20"/>
                <w:lang w:val="en-GB"/>
              </w:rPr>
              <w:t>P5. Social Cohesion</w:t>
            </w:r>
          </w:p>
        </w:tc>
        <w:tc>
          <w:tcPr>
            <w:tcW w:w="0" w:type="auto"/>
            <w:vAlign w:val="center"/>
            <w:hideMark/>
          </w:tcPr>
          <w:p w:rsidR="008C5030" w:rsidRPr="00D10FEB" w:rsidRDefault="008C5030" w:rsidP="00DB6F7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Broad coverage of education, employment, health and social protection reforms in line with pillar aims.</w:t>
            </w:r>
          </w:p>
        </w:tc>
        <w:tc>
          <w:tcPr>
            <w:tcW w:w="0" w:type="auto"/>
            <w:vAlign w:val="center"/>
            <w:hideMark/>
          </w:tcPr>
          <w:p w:rsidR="008C5030" w:rsidRPr="00D10FEB" w:rsidRDefault="008C5030" w:rsidP="00DB6F7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Direct</w:t>
            </w:r>
          </w:p>
        </w:tc>
        <w:tc>
          <w:tcPr>
            <w:tcW w:w="0" w:type="auto"/>
            <w:vAlign w:val="center"/>
            <w:hideMark/>
          </w:tcPr>
          <w:p w:rsidR="008C5030" w:rsidRPr="00D10FEB" w:rsidRDefault="008C5030" w:rsidP="00DB6F78">
            <w:pPr>
              <w:spacing w:after="120"/>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GB"/>
              </w:rPr>
            </w:pPr>
            <w:r w:rsidRPr="00D10FEB">
              <w:rPr>
                <w:rFonts w:ascii="Arial Narrow" w:hAnsi="Arial Narrow"/>
                <w:sz w:val="20"/>
                <w:szCs w:val="20"/>
                <w:lang w:val="en-GB"/>
              </w:rPr>
              <w:t xml:space="preserve">Education system reform (STEM focus, dual education); Active </w:t>
            </w:r>
            <w:proofErr w:type="spellStart"/>
            <w:r w:rsidRPr="00D10FEB">
              <w:rPr>
                <w:rFonts w:ascii="Arial Narrow" w:hAnsi="Arial Narrow"/>
                <w:sz w:val="20"/>
                <w:szCs w:val="20"/>
                <w:lang w:val="en-GB"/>
              </w:rPr>
              <w:t>labor</w:t>
            </w:r>
            <w:proofErr w:type="spellEnd"/>
            <w:r w:rsidRPr="00D10FEB">
              <w:rPr>
                <w:rFonts w:ascii="Arial Narrow" w:hAnsi="Arial Narrow"/>
                <w:sz w:val="20"/>
                <w:szCs w:val="20"/>
                <w:lang w:val="en-GB"/>
              </w:rPr>
              <w:t xml:space="preserve"> market programs for youth/women; pension and healthcare reforms for inclusivity; regional qualifications recognition.</w:t>
            </w:r>
          </w:p>
        </w:tc>
      </w:tr>
    </w:tbl>
    <w:p w:rsidR="00A43FFD" w:rsidRPr="00D10FEB" w:rsidRDefault="00A43FFD">
      <w:pPr>
        <w:rPr>
          <w:rFonts w:asciiTheme="majorHAnsi" w:hAnsiTheme="majorHAnsi" w:cstheme="majorBidi"/>
          <w:color w:val="0F4761" w:themeColor="accent1" w:themeShade="BF"/>
          <w:sz w:val="40"/>
          <w:szCs w:val="40"/>
          <w:lang w:val="en-GB"/>
        </w:rPr>
      </w:pPr>
      <w:r w:rsidRPr="00D10FEB">
        <w:rPr>
          <w:lang w:val="en-GB"/>
        </w:rPr>
        <w:br w:type="page"/>
      </w:r>
    </w:p>
    <w:p w:rsidR="00A93C52" w:rsidRPr="00D10FEB" w:rsidRDefault="00E45573" w:rsidP="00A43FFD">
      <w:pPr>
        <w:pStyle w:val="Heading1"/>
        <w:rPr>
          <w:rFonts w:eastAsia="Times New Roman"/>
          <w:lang w:val="en-GB"/>
        </w:rPr>
      </w:pPr>
      <w:bookmarkStart w:id="23" w:name="_Toc221105733"/>
      <w:r w:rsidRPr="00D10FEB">
        <w:rPr>
          <w:rFonts w:eastAsia="Times New Roman"/>
          <w:lang w:val="en-GB"/>
        </w:rPr>
        <w:t>Multi-Country</w:t>
      </w:r>
      <w:r w:rsidR="0065205C" w:rsidRPr="00D10FEB">
        <w:rPr>
          <w:rFonts w:eastAsia="Times New Roman"/>
          <w:lang w:val="en-GB"/>
        </w:rPr>
        <w:t xml:space="preserve"> IPA</w:t>
      </w:r>
      <w:r w:rsidRPr="00D10FEB">
        <w:rPr>
          <w:rFonts w:eastAsia="Times New Roman"/>
          <w:lang w:val="en-GB"/>
        </w:rPr>
        <w:t xml:space="preserve"> 2025-2027</w:t>
      </w:r>
      <w:bookmarkEnd w:id="23"/>
      <w:r w:rsidRPr="00D10FEB">
        <w:rPr>
          <w:rFonts w:eastAsia="Times New Roman"/>
          <w:lang w:val="en-GB"/>
        </w:rPr>
        <w:t xml:space="preserve"> </w:t>
      </w:r>
    </w:p>
    <w:p w:rsidR="0065205C" w:rsidRPr="00D10FEB" w:rsidRDefault="0065205C" w:rsidP="00436823">
      <w:pPr>
        <w:rPr>
          <w:rFonts w:ascii="Arial Narrow" w:hAnsi="Arial Narrow"/>
          <w:b/>
          <w:bCs/>
          <w:i/>
          <w:iCs/>
          <w:lang w:val="en-GB"/>
        </w:rPr>
      </w:pPr>
      <w:r w:rsidRPr="00D10FEB">
        <w:rPr>
          <w:rFonts w:ascii="Arial Narrow" w:hAnsi="Arial Narrow"/>
          <w:b/>
          <w:bCs/>
          <w:i/>
          <w:iCs/>
          <w:lang w:val="en-GB"/>
        </w:rPr>
        <w:t xml:space="preserve">AF01 </w:t>
      </w:r>
      <w:r w:rsidR="00E45573" w:rsidRPr="00D10FEB">
        <w:rPr>
          <w:rFonts w:ascii="Arial Narrow" w:hAnsi="Arial Narrow"/>
          <w:b/>
          <w:bCs/>
          <w:i/>
          <w:iCs/>
          <w:lang w:val="en-GB"/>
        </w:rPr>
        <w:t>-</w:t>
      </w:r>
      <w:r w:rsidRPr="00D10FEB">
        <w:rPr>
          <w:rFonts w:ascii="Arial Narrow" w:hAnsi="Arial Narrow"/>
          <w:b/>
          <w:bCs/>
          <w:i/>
          <w:iCs/>
          <w:lang w:val="en-GB"/>
        </w:rPr>
        <w:t xml:space="preserve"> EU support to rule of law, fundamental rights, democracy &amp; reconciliation (2025–2027)</w:t>
      </w:r>
    </w:p>
    <w:p w:rsidR="005D5941" w:rsidRPr="00D10FEB" w:rsidRDefault="0065205C" w:rsidP="00436823">
      <w:pPr>
        <w:pStyle w:val="ListParagraph"/>
        <w:numPr>
          <w:ilvl w:val="0"/>
          <w:numId w:val="40"/>
        </w:numPr>
        <w:spacing w:before="100" w:beforeAutospacing="1" w:after="100" w:afterAutospacing="1" w:line="240" w:lineRule="auto"/>
        <w:rPr>
          <w:rFonts w:ascii="Arial Narrow" w:eastAsia="Times New Roman" w:hAnsi="Arial Narrow" w:cs="Times New Roman"/>
          <w:kern w:val="0"/>
          <w:sz w:val="20"/>
          <w:szCs w:val="20"/>
          <w:lang w:val="en-GB" w:eastAsia="en-GB"/>
          <w14:ligatures w14:val="none"/>
        </w:rPr>
      </w:pPr>
      <w:r w:rsidRPr="00D10FEB">
        <w:rPr>
          <w:rFonts w:ascii="Arial Narrow" w:eastAsia="Times New Roman" w:hAnsi="Arial Narrow" w:cs="Times New Roman"/>
          <w:kern w:val="0"/>
          <w:sz w:val="20"/>
          <w:szCs w:val="20"/>
          <w:lang w:val="en-GB" w:eastAsia="en-GB"/>
          <w14:ligatures w14:val="none"/>
        </w:rPr>
        <w:t>Window</w:t>
      </w:r>
      <w:r w:rsidR="00436823" w:rsidRPr="00D10FEB">
        <w:rPr>
          <w:rFonts w:ascii="Arial Narrow" w:eastAsia="Times New Roman" w:hAnsi="Arial Narrow" w:cs="Times New Roman"/>
          <w:kern w:val="0"/>
          <w:sz w:val="20"/>
          <w:szCs w:val="20"/>
          <w:lang w:val="en-GB" w:eastAsia="en-GB"/>
          <w14:ligatures w14:val="none"/>
        </w:rPr>
        <w:t xml:space="preserve"> </w:t>
      </w:r>
      <w:r w:rsidRPr="00D10FEB">
        <w:rPr>
          <w:rFonts w:ascii="Arial Narrow" w:eastAsia="Times New Roman" w:hAnsi="Arial Narrow" w:cs="Times New Roman"/>
          <w:kern w:val="0"/>
          <w:sz w:val="20"/>
          <w:szCs w:val="20"/>
          <w:lang w:val="en-GB" w:eastAsia="en-GB"/>
          <w14:ligatures w14:val="none"/>
        </w:rPr>
        <w:t>1 (</w:t>
      </w:r>
      <w:proofErr w:type="spellStart"/>
      <w:r w:rsidRPr="00D10FEB">
        <w:rPr>
          <w:rFonts w:ascii="Arial Narrow" w:eastAsia="Times New Roman" w:hAnsi="Arial Narrow" w:cs="Times New Roman"/>
          <w:kern w:val="0"/>
          <w:sz w:val="20"/>
          <w:szCs w:val="20"/>
          <w:lang w:val="en-GB" w:eastAsia="en-GB"/>
          <w14:ligatures w14:val="none"/>
        </w:rPr>
        <w:t>RoL</w:t>
      </w:r>
      <w:proofErr w:type="spellEnd"/>
      <w:r w:rsidRPr="00D10FEB">
        <w:rPr>
          <w:rFonts w:ascii="Arial Narrow" w:eastAsia="Times New Roman" w:hAnsi="Arial Narrow" w:cs="Times New Roman"/>
          <w:kern w:val="0"/>
          <w:sz w:val="20"/>
          <w:szCs w:val="20"/>
          <w:lang w:val="en-GB" w:eastAsia="en-GB"/>
          <w14:ligatures w14:val="none"/>
        </w:rPr>
        <w:t>, rights, democracy), W</w:t>
      </w:r>
      <w:r w:rsidR="00436823" w:rsidRPr="00D10FEB">
        <w:rPr>
          <w:rFonts w:ascii="Arial Narrow" w:eastAsia="Times New Roman" w:hAnsi="Arial Narrow" w:cs="Times New Roman"/>
          <w:kern w:val="0"/>
          <w:sz w:val="20"/>
          <w:szCs w:val="20"/>
          <w:lang w:val="en-GB" w:eastAsia="en-GB"/>
          <w14:ligatures w14:val="none"/>
        </w:rPr>
        <w:t xml:space="preserve">indow </w:t>
      </w:r>
      <w:r w:rsidRPr="00D10FEB">
        <w:rPr>
          <w:rFonts w:ascii="Arial Narrow" w:eastAsia="Times New Roman" w:hAnsi="Arial Narrow" w:cs="Times New Roman"/>
          <w:kern w:val="0"/>
          <w:sz w:val="20"/>
          <w:szCs w:val="20"/>
          <w:lang w:val="en-GB" w:eastAsia="en-GB"/>
          <w14:ligatures w14:val="none"/>
        </w:rPr>
        <w:t>2 (reconciliation)</w:t>
      </w:r>
      <w:r w:rsidR="005D5941" w:rsidRPr="00D10FEB">
        <w:rPr>
          <w:rFonts w:ascii="Arial Narrow" w:eastAsia="Times New Roman" w:hAnsi="Arial Narrow" w:cs="Times New Roman"/>
          <w:kern w:val="0"/>
          <w:sz w:val="20"/>
          <w:szCs w:val="20"/>
          <w:lang w:val="en-GB" w:eastAsia="en-GB"/>
          <w14:ligatures w14:val="none"/>
        </w:rPr>
        <w:t>; EUR</w:t>
      </w:r>
      <w:r w:rsidRPr="00D10FEB">
        <w:rPr>
          <w:rFonts w:ascii="Arial Narrow" w:eastAsia="Times New Roman" w:hAnsi="Arial Narrow" w:cs="Times New Roman"/>
          <w:kern w:val="0"/>
          <w:sz w:val="20"/>
          <w:szCs w:val="20"/>
          <w:lang w:val="en-GB" w:eastAsia="en-GB"/>
          <w14:ligatures w14:val="none"/>
        </w:rPr>
        <w:t xml:space="preserve">: 61.9m. </w:t>
      </w:r>
    </w:p>
    <w:p w:rsidR="0065205C" w:rsidRPr="00D10FEB" w:rsidRDefault="0065205C" w:rsidP="00436823">
      <w:pPr>
        <w:pStyle w:val="ListParagraph"/>
        <w:numPr>
          <w:ilvl w:val="0"/>
          <w:numId w:val="40"/>
        </w:numPr>
        <w:spacing w:before="100" w:beforeAutospacing="1" w:after="100" w:afterAutospacing="1" w:line="240" w:lineRule="auto"/>
        <w:rPr>
          <w:rFonts w:ascii="Arial Narrow" w:eastAsia="Times New Roman" w:hAnsi="Arial Narrow" w:cs="Times New Roman"/>
          <w:b/>
          <w:bCs/>
          <w:kern w:val="0"/>
          <w:sz w:val="20"/>
          <w:szCs w:val="20"/>
          <w:lang w:val="en-GB" w:eastAsia="en-GB"/>
          <w14:ligatures w14:val="none"/>
        </w:rPr>
      </w:pPr>
      <w:r w:rsidRPr="00D10FEB">
        <w:rPr>
          <w:rFonts w:ascii="Arial Narrow" w:eastAsia="Times New Roman" w:hAnsi="Arial Narrow" w:cs="Times New Roman"/>
          <w:b/>
          <w:bCs/>
          <w:kern w:val="0"/>
          <w:sz w:val="20"/>
          <w:szCs w:val="20"/>
          <w:lang w:val="en-GB" w:eastAsia="en-GB"/>
          <w14:ligatures w14:val="none"/>
        </w:rPr>
        <w:t>W</w:t>
      </w:r>
      <w:r w:rsidR="00436823" w:rsidRPr="00D10FEB">
        <w:rPr>
          <w:rFonts w:ascii="Arial Narrow" w:eastAsia="Times New Roman" w:hAnsi="Arial Narrow" w:cs="Times New Roman"/>
          <w:b/>
          <w:bCs/>
          <w:kern w:val="0"/>
          <w:sz w:val="20"/>
          <w:szCs w:val="20"/>
          <w:lang w:val="en-GB" w:eastAsia="en-GB"/>
          <w14:ligatures w14:val="none"/>
        </w:rPr>
        <w:t xml:space="preserve">indow </w:t>
      </w:r>
      <w:r w:rsidRPr="00D10FEB">
        <w:rPr>
          <w:rFonts w:ascii="Arial Narrow" w:eastAsia="Times New Roman" w:hAnsi="Arial Narrow" w:cs="Times New Roman"/>
          <w:b/>
          <w:bCs/>
          <w:kern w:val="0"/>
          <w:sz w:val="20"/>
          <w:szCs w:val="20"/>
          <w:lang w:val="en-GB" w:eastAsia="en-GB"/>
          <w14:ligatures w14:val="none"/>
        </w:rPr>
        <w:t>1/W</w:t>
      </w:r>
      <w:r w:rsidR="00436823" w:rsidRPr="00D10FEB">
        <w:rPr>
          <w:rFonts w:ascii="Arial Narrow" w:eastAsia="Times New Roman" w:hAnsi="Arial Narrow" w:cs="Times New Roman"/>
          <w:b/>
          <w:bCs/>
          <w:kern w:val="0"/>
          <w:sz w:val="20"/>
          <w:szCs w:val="20"/>
          <w:lang w:val="en-GB" w:eastAsia="en-GB"/>
          <w14:ligatures w14:val="none"/>
        </w:rPr>
        <w:t xml:space="preserve">indow </w:t>
      </w:r>
      <w:r w:rsidRPr="00D10FEB">
        <w:rPr>
          <w:rFonts w:ascii="Arial Narrow" w:eastAsia="Times New Roman" w:hAnsi="Arial Narrow" w:cs="Times New Roman"/>
          <w:b/>
          <w:bCs/>
          <w:kern w:val="0"/>
          <w:sz w:val="20"/>
          <w:szCs w:val="20"/>
          <w:lang w:val="en-GB" w:eastAsia="en-GB"/>
          <w14:ligatures w14:val="none"/>
        </w:rPr>
        <w:t xml:space="preserve">2 </w:t>
      </w:r>
      <w:r w:rsidR="00436823" w:rsidRPr="00D10FEB">
        <w:rPr>
          <w:rFonts w:ascii="Arial Narrow" w:eastAsia="Times New Roman" w:hAnsi="Arial Narrow" w:cs="Times New Roman"/>
          <w:b/>
          <w:bCs/>
          <w:kern w:val="0"/>
          <w:sz w:val="20"/>
          <w:szCs w:val="20"/>
          <w:lang w:val="en-GB" w:eastAsia="en-GB"/>
          <w14:ligatures w14:val="none"/>
        </w:rPr>
        <w:t>-</w:t>
      </w:r>
      <w:r w:rsidRPr="00D10FEB">
        <w:rPr>
          <w:rFonts w:ascii="Arial Narrow" w:eastAsia="Times New Roman" w:hAnsi="Arial Narrow" w:cs="Times New Roman"/>
          <w:b/>
          <w:bCs/>
          <w:kern w:val="0"/>
          <w:sz w:val="20"/>
          <w:szCs w:val="20"/>
          <w:lang w:val="en-GB" w:eastAsia="en-GB"/>
          <w14:ligatures w14:val="none"/>
        </w:rPr>
        <w:t xml:space="preserve"> Not assessed (method scope).  </w:t>
      </w:r>
    </w:p>
    <w:p w:rsidR="0065205C" w:rsidRPr="00D10FEB" w:rsidRDefault="0065205C" w:rsidP="00436823">
      <w:pPr>
        <w:rPr>
          <w:rFonts w:ascii="Arial Narrow" w:hAnsi="Arial Narrow"/>
          <w:b/>
          <w:bCs/>
          <w:lang w:val="en-GB"/>
        </w:rPr>
      </w:pPr>
      <w:r w:rsidRPr="00D10FEB">
        <w:rPr>
          <w:rFonts w:ascii="Arial Narrow" w:hAnsi="Arial Narrow"/>
          <w:b/>
          <w:bCs/>
          <w:lang w:val="en-GB"/>
        </w:rPr>
        <w:t xml:space="preserve">AF02 </w:t>
      </w:r>
      <w:r w:rsidR="00E45573" w:rsidRPr="00D10FEB">
        <w:rPr>
          <w:rFonts w:ascii="Arial Narrow" w:hAnsi="Arial Narrow"/>
          <w:b/>
          <w:bCs/>
          <w:lang w:val="en-GB"/>
        </w:rPr>
        <w:t>-</w:t>
      </w:r>
      <w:r w:rsidRPr="00D10FEB">
        <w:rPr>
          <w:rFonts w:ascii="Arial Narrow" w:hAnsi="Arial Narrow"/>
          <w:b/>
          <w:bCs/>
          <w:lang w:val="en-GB"/>
        </w:rPr>
        <w:t xml:space="preserve"> EU support to security (incl. cyber) &amp; migration (2025–2027)</w:t>
      </w:r>
    </w:p>
    <w:p w:rsidR="005D5941" w:rsidRPr="00D10FEB" w:rsidRDefault="0065205C" w:rsidP="00436823">
      <w:pPr>
        <w:pStyle w:val="ListParagraph"/>
        <w:numPr>
          <w:ilvl w:val="0"/>
          <w:numId w:val="41"/>
        </w:numPr>
        <w:spacing w:before="100" w:beforeAutospacing="1" w:after="100" w:afterAutospacing="1" w:line="240" w:lineRule="auto"/>
        <w:rPr>
          <w:rFonts w:ascii="Arial Narrow" w:eastAsia="Times New Roman" w:hAnsi="Arial Narrow" w:cs="Times New Roman"/>
          <w:kern w:val="0"/>
          <w:sz w:val="20"/>
          <w:szCs w:val="20"/>
          <w:lang w:val="en-GB" w:eastAsia="en-GB"/>
          <w14:ligatures w14:val="none"/>
        </w:rPr>
      </w:pPr>
      <w:r w:rsidRPr="00D10FEB">
        <w:rPr>
          <w:rFonts w:ascii="Arial Narrow" w:eastAsia="Times New Roman" w:hAnsi="Arial Narrow" w:cs="Times New Roman"/>
          <w:kern w:val="0"/>
          <w:sz w:val="20"/>
          <w:szCs w:val="20"/>
          <w:lang w:val="en-GB" w:eastAsia="en-GB"/>
          <w14:ligatures w14:val="none"/>
        </w:rPr>
        <w:t>Window</w:t>
      </w:r>
      <w:r w:rsidR="00436823" w:rsidRPr="00D10FEB">
        <w:rPr>
          <w:rFonts w:ascii="Arial Narrow" w:eastAsia="Times New Roman" w:hAnsi="Arial Narrow" w:cs="Times New Roman"/>
          <w:kern w:val="0"/>
          <w:sz w:val="20"/>
          <w:szCs w:val="20"/>
          <w:lang w:val="en-GB" w:eastAsia="en-GB"/>
          <w14:ligatures w14:val="none"/>
        </w:rPr>
        <w:t xml:space="preserve"> </w:t>
      </w:r>
      <w:r w:rsidRPr="00D10FEB">
        <w:rPr>
          <w:rFonts w:ascii="Arial Narrow" w:eastAsia="Times New Roman" w:hAnsi="Arial Narrow" w:cs="Times New Roman"/>
          <w:kern w:val="0"/>
          <w:sz w:val="20"/>
          <w:szCs w:val="20"/>
          <w:lang w:val="en-GB" w:eastAsia="en-GB"/>
          <w14:ligatures w14:val="none"/>
        </w:rPr>
        <w:t>1 (TP1 judiciary, TP3 organised crime, TP4 migration)</w:t>
      </w:r>
      <w:r w:rsidR="005D5941" w:rsidRPr="00D10FEB">
        <w:rPr>
          <w:rFonts w:ascii="Arial Narrow" w:eastAsia="Times New Roman" w:hAnsi="Arial Narrow" w:cs="Times New Roman"/>
          <w:kern w:val="0"/>
          <w:sz w:val="20"/>
          <w:szCs w:val="20"/>
          <w:lang w:val="en-GB" w:eastAsia="en-GB"/>
          <w14:ligatures w14:val="none"/>
        </w:rPr>
        <w:t>; EUR</w:t>
      </w:r>
      <w:r w:rsidRPr="00D10FEB">
        <w:rPr>
          <w:rFonts w:ascii="Arial Narrow" w:eastAsia="Times New Roman" w:hAnsi="Arial Narrow" w:cs="Times New Roman"/>
          <w:kern w:val="0"/>
          <w:sz w:val="20"/>
          <w:szCs w:val="20"/>
          <w:lang w:val="en-GB" w:eastAsia="en-GB"/>
          <w14:ligatures w14:val="none"/>
        </w:rPr>
        <w:t xml:space="preserve">: </w:t>
      </w:r>
      <w:r w:rsidR="00C6269C" w:rsidRPr="00D10FEB">
        <w:rPr>
          <w:rFonts w:ascii="Arial Narrow" w:eastAsia="Times New Roman" w:hAnsi="Arial Narrow" w:cs="Times New Roman"/>
          <w:kern w:val="0"/>
          <w:sz w:val="20"/>
          <w:szCs w:val="20"/>
          <w:lang w:val="en-GB" w:eastAsia="en-GB"/>
          <w14:ligatures w14:val="none"/>
        </w:rPr>
        <w:t xml:space="preserve">EUR </w:t>
      </w:r>
      <w:r w:rsidRPr="00D10FEB">
        <w:rPr>
          <w:rFonts w:ascii="Arial Narrow" w:eastAsia="Times New Roman" w:hAnsi="Arial Narrow" w:cs="Times New Roman"/>
          <w:kern w:val="0"/>
          <w:sz w:val="20"/>
          <w:szCs w:val="20"/>
          <w:lang w:val="en-GB" w:eastAsia="en-GB"/>
          <w14:ligatures w14:val="none"/>
        </w:rPr>
        <w:t xml:space="preserve">67m. </w:t>
      </w:r>
    </w:p>
    <w:p w:rsidR="0065205C" w:rsidRPr="00D10FEB" w:rsidRDefault="0065205C" w:rsidP="00436823">
      <w:pPr>
        <w:pStyle w:val="ListParagraph"/>
        <w:numPr>
          <w:ilvl w:val="0"/>
          <w:numId w:val="41"/>
        </w:numPr>
        <w:spacing w:before="100" w:beforeAutospacing="1" w:after="100" w:afterAutospacing="1" w:line="240" w:lineRule="auto"/>
        <w:rPr>
          <w:rFonts w:ascii="Arial Narrow" w:eastAsia="Times New Roman" w:hAnsi="Arial Narrow" w:cs="Times New Roman"/>
          <w:kern w:val="0"/>
          <w:sz w:val="20"/>
          <w:szCs w:val="20"/>
          <w:lang w:val="en-GB" w:eastAsia="en-GB"/>
          <w14:ligatures w14:val="none"/>
        </w:rPr>
      </w:pPr>
      <w:r w:rsidRPr="00D10FEB">
        <w:rPr>
          <w:rFonts w:ascii="Arial Narrow" w:eastAsia="Times New Roman" w:hAnsi="Arial Narrow" w:cs="Times New Roman"/>
          <w:b/>
          <w:bCs/>
          <w:kern w:val="0"/>
          <w:sz w:val="20"/>
          <w:szCs w:val="20"/>
          <w:lang w:val="en-GB" w:eastAsia="en-GB"/>
          <w14:ligatures w14:val="none"/>
        </w:rPr>
        <w:t>W</w:t>
      </w:r>
      <w:r w:rsidR="00436823" w:rsidRPr="00D10FEB">
        <w:rPr>
          <w:rFonts w:ascii="Arial Narrow" w:eastAsia="Times New Roman" w:hAnsi="Arial Narrow" w:cs="Times New Roman"/>
          <w:b/>
          <w:bCs/>
          <w:kern w:val="0"/>
          <w:sz w:val="20"/>
          <w:szCs w:val="20"/>
          <w:lang w:val="en-GB" w:eastAsia="en-GB"/>
          <w14:ligatures w14:val="none"/>
        </w:rPr>
        <w:t xml:space="preserve">indow </w:t>
      </w:r>
      <w:r w:rsidRPr="00D10FEB">
        <w:rPr>
          <w:rFonts w:ascii="Arial Narrow" w:eastAsia="Times New Roman" w:hAnsi="Arial Narrow" w:cs="Times New Roman"/>
          <w:b/>
          <w:bCs/>
          <w:kern w:val="0"/>
          <w:sz w:val="20"/>
          <w:szCs w:val="20"/>
          <w:lang w:val="en-GB" w:eastAsia="en-GB"/>
          <w14:ligatures w14:val="none"/>
        </w:rPr>
        <w:t xml:space="preserve">1 </w:t>
      </w:r>
      <w:r w:rsidR="00436823" w:rsidRPr="00D10FEB">
        <w:rPr>
          <w:rFonts w:ascii="Arial Narrow" w:eastAsia="Times New Roman" w:hAnsi="Arial Narrow" w:cs="Times New Roman"/>
          <w:b/>
          <w:bCs/>
          <w:kern w:val="0"/>
          <w:sz w:val="20"/>
          <w:szCs w:val="20"/>
          <w:lang w:val="en-GB" w:eastAsia="en-GB"/>
          <w14:ligatures w14:val="none"/>
        </w:rPr>
        <w:t>-</w:t>
      </w:r>
      <w:r w:rsidRPr="00D10FEB">
        <w:rPr>
          <w:rFonts w:ascii="Arial Narrow" w:eastAsia="Times New Roman" w:hAnsi="Arial Narrow" w:cs="Times New Roman"/>
          <w:b/>
          <w:bCs/>
          <w:kern w:val="0"/>
          <w:sz w:val="20"/>
          <w:szCs w:val="20"/>
          <w:lang w:val="en-GB" w:eastAsia="en-GB"/>
          <w14:ligatures w14:val="none"/>
        </w:rPr>
        <w:t xml:space="preserve"> Not assessed (method scope).</w:t>
      </w:r>
    </w:p>
    <w:p w:rsidR="0065205C" w:rsidRPr="00D10FEB" w:rsidRDefault="0065205C" w:rsidP="00436823">
      <w:pPr>
        <w:rPr>
          <w:rFonts w:ascii="Arial Narrow" w:hAnsi="Arial Narrow"/>
          <w:b/>
          <w:bCs/>
          <w:lang w:val="en-GB"/>
        </w:rPr>
      </w:pPr>
      <w:r w:rsidRPr="00D10FEB">
        <w:rPr>
          <w:rFonts w:ascii="Arial Narrow" w:hAnsi="Arial Narrow"/>
          <w:b/>
          <w:bCs/>
          <w:lang w:val="en-GB"/>
        </w:rPr>
        <w:t xml:space="preserve">AF03 </w:t>
      </w:r>
      <w:r w:rsidR="00E45573" w:rsidRPr="00D10FEB">
        <w:rPr>
          <w:rFonts w:ascii="Arial Narrow" w:hAnsi="Arial Narrow"/>
          <w:b/>
          <w:bCs/>
          <w:lang w:val="en-GB"/>
        </w:rPr>
        <w:t>-</w:t>
      </w:r>
      <w:r w:rsidRPr="00D10FEB">
        <w:rPr>
          <w:rFonts w:ascii="Arial Narrow" w:hAnsi="Arial Narrow"/>
          <w:b/>
          <w:bCs/>
          <w:lang w:val="en-GB"/>
        </w:rPr>
        <w:t xml:space="preserve"> EU support to Public Administration Reform &amp; Economic Governance (2026)</w:t>
      </w:r>
    </w:p>
    <w:p w:rsidR="005D5941" w:rsidRPr="00D10FEB" w:rsidRDefault="0065205C" w:rsidP="00436823">
      <w:pPr>
        <w:pStyle w:val="ListParagraph"/>
        <w:numPr>
          <w:ilvl w:val="0"/>
          <w:numId w:val="42"/>
        </w:numPr>
        <w:spacing w:before="100" w:beforeAutospacing="1" w:after="100" w:afterAutospacing="1" w:line="240" w:lineRule="auto"/>
        <w:rPr>
          <w:rFonts w:ascii="Arial Narrow" w:eastAsia="Times New Roman" w:hAnsi="Arial Narrow" w:cs="Times New Roman"/>
          <w:kern w:val="0"/>
          <w:sz w:val="20"/>
          <w:szCs w:val="20"/>
          <w:lang w:val="en-GB" w:eastAsia="en-GB"/>
          <w14:ligatures w14:val="none"/>
        </w:rPr>
      </w:pPr>
      <w:r w:rsidRPr="00D10FEB">
        <w:rPr>
          <w:rFonts w:ascii="Arial Narrow" w:eastAsia="Times New Roman" w:hAnsi="Arial Narrow" w:cs="Times New Roman"/>
          <w:kern w:val="0"/>
          <w:sz w:val="20"/>
          <w:szCs w:val="20"/>
          <w:lang w:val="en-GB" w:eastAsia="en-GB"/>
          <w14:ligatures w14:val="none"/>
        </w:rPr>
        <w:t>Window</w:t>
      </w:r>
      <w:r w:rsidR="00436823" w:rsidRPr="00D10FEB">
        <w:rPr>
          <w:rFonts w:ascii="Arial Narrow" w:eastAsia="Times New Roman" w:hAnsi="Arial Narrow" w:cs="Times New Roman"/>
          <w:kern w:val="0"/>
          <w:sz w:val="20"/>
          <w:szCs w:val="20"/>
          <w:lang w:val="en-GB" w:eastAsia="en-GB"/>
          <w14:ligatures w14:val="none"/>
        </w:rPr>
        <w:t xml:space="preserve"> </w:t>
      </w:r>
      <w:r w:rsidRPr="00D10FEB">
        <w:rPr>
          <w:rFonts w:ascii="Arial Narrow" w:eastAsia="Times New Roman" w:hAnsi="Arial Narrow" w:cs="Times New Roman"/>
          <w:kern w:val="0"/>
          <w:sz w:val="20"/>
          <w:szCs w:val="20"/>
          <w:lang w:val="en-GB" w:eastAsia="en-GB"/>
          <w14:ligatures w14:val="none"/>
        </w:rPr>
        <w:t xml:space="preserve">2 </w:t>
      </w:r>
      <w:r w:rsidR="00436823" w:rsidRPr="00D10FEB">
        <w:rPr>
          <w:rFonts w:ascii="Arial Narrow" w:eastAsia="Times New Roman" w:hAnsi="Arial Narrow" w:cs="Times New Roman"/>
          <w:kern w:val="0"/>
          <w:sz w:val="20"/>
          <w:szCs w:val="20"/>
          <w:lang w:val="en-GB" w:eastAsia="en-GB"/>
          <w14:ligatures w14:val="none"/>
        </w:rPr>
        <w:t>(Good governance &amp; acquis alignment)</w:t>
      </w:r>
      <w:r w:rsidR="005D5941" w:rsidRPr="00D10FEB">
        <w:rPr>
          <w:rFonts w:ascii="Arial Narrow" w:eastAsia="Times New Roman" w:hAnsi="Arial Narrow" w:cs="Times New Roman"/>
          <w:kern w:val="0"/>
          <w:sz w:val="20"/>
          <w:szCs w:val="20"/>
          <w:lang w:val="en-GB" w:eastAsia="en-GB"/>
          <w14:ligatures w14:val="none"/>
        </w:rPr>
        <w:t>; EUR</w:t>
      </w:r>
      <w:r w:rsidRPr="00D10FEB">
        <w:rPr>
          <w:rFonts w:ascii="Arial Narrow" w:eastAsia="Times New Roman" w:hAnsi="Arial Narrow" w:cs="Times New Roman"/>
          <w:kern w:val="0"/>
          <w:sz w:val="20"/>
          <w:szCs w:val="20"/>
          <w:lang w:val="en-GB" w:eastAsia="en-GB"/>
          <w14:ligatures w14:val="none"/>
        </w:rPr>
        <w:t xml:space="preserve">: </w:t>
      </w:r>
      <w:r w:rsidR="00C6269C" w:rsidRPr="00D10FEB">
        <w:rPr>
          <w:rFonts w:ascii="Arial Narrow" w:eastAsia="Times New Roman" w:hAnsi="Arial Narrow" w:cs="Times New Roman"/>
          <w:kern w:val="0"/>
          <w:sz w:val="20"/>
          <w:szCs w:val="20"/>
          <w:lang w:val="en-GB" w:eastAsia="en-GB"/>
          <w14:ligatures w14:val="none"/>
        </w:rPr>
        <w:t xml:space="preserve">EUR </w:t>
      </w:r>
      <w:r w:rsidRPr="00D10FEB">
        <w:rPr>
          <w:rFonts w:ascii="Arial Narrow" w:eastAsia="Times New Roman" w:hAnsi="Arial Narrow" w:cs="Times New Roman"/>
          <w:kern w:val="0"/>
          <w:sz w:val="20"/>
          <w:szCs w:val="20"/>
          <w:lang w:val="en-GB" w:eastAsia="en-GB"/>
          <w14:ligatures w14:val="none"/>
        </w:rPr>
        <w:t xml:space="preserve">37m. </w:t>
      </w:r>
    </w:p>
    <w:p w:rsidR="0065205C" w:rsidRPr="00D10FEB" w:rsidRDefault="0065205C" w:rsidP="00436823">
      <w:pPr>
        <w:pStyle w:val="ListParagraph"/>
        <w:numPr>
          <w:ilvl w:val="0"/>
          <w:numId w:val="42"/>
        </w:numPr>
        <w:spacing w:before="100" w:beforeAutospacing="1" w:after="100" w:afterAutospacing="1" w:line="240" w:lineRule="auto"/>
        <w:rPr>
          <w:rFonts w:ascii="Arial Narrow" w:eastAsia="Times New Roman" w:hAnsi="Arial Narrow" w:cs="Times New Roman"/>
          <w:kern w:val="0"/>
          <w:sz w:val="20"/>
          <w:szCs w:val="20"/>
          <w:lang w:val="en-GB" w:eastAsia="en-GB"/>
          <w14:ligatures w14:val="none"/>
        </w:rPr>
      </w:pPr>
      <w:r w:rsidRPr="00D10FEB">
        <w:rPr>
          <w:rFonts w:ascii="Arial Narrow" w:eastAsia="Times New Roman" w:hAnsi="Arial Narrow" w:cs="Times New Roman"/>
          <w:b/>
          <w:bCs/>
          <w:kern w:val="0"/>
          <w:sz w:val="20"/>
          <w:szCs w:val="20"/>
          <w:lang w:val="en-GB" w:eastAsia="en-GB"/>
          <w14:ligatures w14:val="none"/>
        </w:rPr>
        <w:t xml:space="preserve">W2 </w:t>
      </w:r>
      <w:r w:rsidR="00436823" w:rsidRPr="00D10FEB">
        <w:rPr>
          <w:rFonts w:ascii="Arial Narrow" w:eastAsia="Times New Roman" w:hAnsi="Arial Narrow" w:cs="Times New Roman"/>
          <w:b/>
          <w:bCs/>
          <w:kern w:val="0"/>
          <w:sz w:val="20"/>
          <w:szCs w:val="20"/>
          <w:lang w:val="en-GB" w:eastAsia="en-GB"/>
          <w14:ligatures w14:val="none"/>
        </w:rPr>
        <w:t>-</w:t>
      </w:r>
      <w:r w:rsidRPr="00D10FEB">
        <w:rPr>
          <w:rFonts w:ascii="Arial Narrow" w:eastAsia="Times New Roman" w:hAnsi="Arial Narrow" w:cs="Times New Roman"/>
          <w:b/>
          <w:bCs/>
          <w:kern w:val="0"/>
          <w:sz w:val="20"/>
          <w:szCs w:val="20"/>
          <w:lang w:val="en-GB" w:eastAsia="en-GB"/>
          <w14:ligatures w14:val="none"/>
        </w:rPr>
        <w:t xml:space="preserve"> Not assessed (method scope).</w:t>
      </w:r>
    </w:p>
    <w:p w:rsidR="0065205C" w:rsidRPr="00D10FEB" w:rsidRDefault="0065205C" w:rsidP="00436823">
      <w:pPr>
        <w:rPr>
          <w:rFonts w:ascii="Arial Narrow" w:hAnsi="Arial Narrow"/>
          <w:b/>
          <w:bCs/>
          <w:lang w:val="en-GB"/>
        </w:rPr>
      </w:pPr>
      <w:r w:rsidRPr="00D10FEB">
        <w:rPr>
          <w:rFonts w:ascii="Arial Narrow" w:hAnsi="Arial Narrow"/>
          <w:b/>
          <w:bCs/>
          <w:lang w:val="en-GB"/>
        </w:rPr>
        <w:t xml:space="preserve">AF04 </w:t>
      </w:r>
      <w:r w:rsidR="00E45573" w:rsidRPr="00D10FEB">
        <w:rPr>
          <w:rFonts w:ascii="Arial Narrow" w:hAnsi="Arial Narrow"/>
          <w:b/>
          <w:bCs/>
          <w:lang w:val="en-GB"/>
        </w:rPr>
        <w:t>-</w:t>
      </w:r>
      <w:r w:rsidRPr="00D10FEB">
        <w:rPr>
          <w:rFonts w:ascii="Arial Narrow" w:hAnsi="Arial Narrow"/>
          <w:b/>
          <w:bCs/>
          <w:lang w:val="en-GB"/>
        </w:rPr>
        <w:t xml:space="preserve"> EU support to Statistics (2026)</w:t>
      </w:r>
    </w:p>
    <w:p w:rsidR="005D5941" w:rsidRPr="00D10FEB" w:rsidRDefault="0065205C" w:rsidP="00436823">
      <w:pPr>
        <w:pStyle w:val="ListParagraph"/>
        <w:numPr>
          <w:ilvl w:val="0"/>
          <w:numId w:val="43"/>
        </w:numPr>
        <w:spacing w:before="100" w:beforeAutospacing="1" w:after="100" w:afterAutospacing="1" w:line="240" w:lineRule="auto"/>
        <w:rPr>
          <w:rFonts w:ascii="Arial Narrow" w:eastAsia="Times New Roman" w:hAnsi="Arial Narrow" w:cs="Times New Roman"/>
          <w:kern w:val="0"/>
          <w:sz w:val="20"/>
          <w:szCs w:val="20"/>
          <w:lang w:val="en-GB" w:eastAsia="en-GB"/>
          <w14:ligatures w14:val="none"/>
        </w:rPr>
      </w:pPr>
      <w:r w:rsidRPr="00D10FEB">
        <w:rPr>
          <w:rFonts w:ascii="Arial Narrow" w:eastAsia="Times New Roman" w:hAnsi="Arial Narrow" w:cs="Times New Roman"/>
          <w:kern w:val="0"/>
          <w:sz w:val="20"/>
          <w:szCs w:val="20"/>
          <w:lang w:val="en-GB" w:eastAsia="en-GB"/>
          <w14:ligatures w14:val="none"/>
        </w:rPr>
        <w:t>Window</w:t>
      </w:r>
      <w:r w:rsidR="00436823" w:rsidRPr="00D10FEB">
        <w:rPr>
          <w:rFonts w:ascii="Arial Narrow" w:eastAsia="Times New Roman" w:hAnsi="Arial Narrow" w:cs="Times New Roman"/>
          <w:kern w:val="0"/>
          <w:sz w:val="20"/>
          <w:szCs w:val="20"/>
          <w:lang w:val="en-GB" w:eastAsia="en-GB"/>
          <w14:ligatures w14:val="none"/>
        </w:rPr>
        <w:t xml:space="preserve"> </w:t>
      </w:r>
      <w:r w:rsidRPr="00D10FEB">
        <w:rPr>
          <w:rFonts w:ascii="Arial Narrow" w:eastAsia="Times New Roman" w:hAnsi="Arial Narrow" w:cs="Times New Roman"/>
          <w:kern w:val="0"/>
          <w:sz w:val="20"/>
          <w:szCs w:val="20"/>
          <w:lang w:val="en-GB" w:eastAsia="en-GB"/>
          <w14:ligatures w14:val="none"/>
        </w:rPr>
        <w:t>2 (Good governance &amp; acquis alignment)</w:t>
      </w:r>
      <w:r w:rsidR="005D5941" w:rsidRPr="00D10FEB">
        <w:rPr>
          <w:rFonts w:ascii="Arial Narrow" w:eastAsia="Times New Roman" w:hAnsi="Arial Narrow" w:cs="Times New Roman"/>
          <w:kern w:val="0"/>
          <w:sz w:val="20"/>
          <w:szCs w:val="20"/>
          <w:lang w:val="en-GB" w:eastAsia="en-GB"/>
          <w14:ligatures w14:val="none"/>
        </w:rPr>
        <w:t>; EUR</w:t>
      </w:r>
      <w:r w:rsidRPr="00D10FEB">
        <w:rPr>
          <w:rFonts w:ascii="Arial Narrow" w:eastAsia="Times New Roman" w:hAnsi="Arial Narrow" w:cs="Times New Roman"/>
          <w:kern w:val="0"/>
          <w:sz w:val="20"/>
          <w:szCs w:val="20"/>
          <w:lang w:val="en-GB" w:eastAsia="en-GB"/>
          <w14:ligatures w14:val="none"/>
        </w:rPr>
        <w:t xml:space="preserve">: </w:t>
      </w:r>
      <w:r w:rsidR="00C6269C" w:rsidRPr="00D10FEB">
        <w:rPr>
          <w:rFonts w:ascii="Arial Narrow" w:eastAsia="Times New Roman" w:hAnsi="Arial Narrow" w:cs="Times New Roman"/>
          <w:kern w:val="0"/>
          <w:sz w:val="20"/>
          <w:szCs w:val="20"/>
          <w:lang w:val="en-GB" w:eastAsia="en-GB"/>
          <w14:ligatures w14:val="none"/>
        </w:rPr>
        <w:t xml:space="preserve">EUR </w:t>
      </w:r>
      <w:r w:rsidRPr="00D10FEB">
        <w:rPr>
          <w:rFonts w:ascii="Arial Narrow" w:eastAsia="Times New Roman" w:hAnsi="Arial Narrow" w:cs="Times New Roman"/>
          <w:kern w:val="0"/>
          <w:sz w:val="20"/>
          <w:szCs w:val="20"/>
          <w:lang w:val="en-GB" w:eastAsia="en-GB"/>
          <w14:ligatures w14:val="none"/>
        </w:rPr>
        <w:t xml:space="preserve">15m. </w:t>
      </w:r>
    </w:p>
    <w:p w:rsidR="0065205C" w:rsidRPr="00D10FEB" w:rsidRDefault="0065205C" w:rsidP="00436823">
      <w:pPr>
        <w:pStyle w:val="ListParagraph"/>
        <w:numPr>
          <w:ilvl w:val="0"/>
          <w:numId w:val="43"/>
        </w:numPr>
        <w:spacing w:before="100" w:beforeAutospacing="1" w:after="100" w:afterAutospacing="1" w:line="240" w:lineRule="auto"/>
        <w:rPr>
          <w:rFonts w:ascii="Arial Narrow" w:eastAsia="Times New Roman" w:hAnsi="Arial Narrow" w:cs="Times New Roman"/>
          <w:b/>
          <w:bCs/>
          <w:kern w:val="0"/>
          <w:sz w:val="20"/>
          <w:szCs w:val="20"/>
          <w:lang w:val="en-GB" w:eastAsia="en-GB"/>
          <w14:ligatures w14:val="none"/>
        </w:rPr>
      </w:pPr>
      <w:r w:rsidRPr="00D10FEB">
        <w:rPr>
          <w:rFonts w:ascii="Arial Narrow" w:eastAsia="Times New Roman" w:hAnsi="Arial Narrow" w:cs="Times New Roman"/>
          <w:b/>
          <w:bCs/>
          <w:kern w:val="0"/>
          <w:sz w:val="20"/>
          <w:szCs w:val="20"/>
          <w:lang w:val="en-GB" w:eastAsia="en-GB"/>
          <w14:ligatures w14:val="none"/>
        </w:rPr>
        <w:t xml:space="preserve">W2 </w:t>
      </w:r>
      <w:r w:rsidR="00436823" w:rsidRPr="00D10FEB">
        <w:rPr>
          <w:rFonts w:ascii="Arial Narrow" w:eastAsia="Times New Roman" w:hAnsi="Arial Narrow" w:cs="Times New Roman"/>
          <w:b/>
          <w:bCs/>
          <w:kern w:val="0"/>
          <w:sz w:val="20"/>
          <w:szCs w:val="20"/>
          <w:lang w:val="en-GB" w:eastAsia="en-GB"/>
          <w14:ligatures w14:val="none"/>
        </w:rPr>
        <w:t>-</w:t>
      </w:r>
      <w:r w:rsidRPr="00D10FEB">
        <w:rPr>
          <w:rFonts w:ascii="Arial Narrow" w:eastAsia="Times New Roman" w:hAnsi="Arial Narrow" w:cs="Times New Roman"/>
          <w:b/>
          <w:bCs/>
          <w:kern w:val="0"/>
          <w:sz w:val="20"/>
          <w:szCs w:val="20"/>
          <w:lang w:val="en-GB" w:eastAsia="en-GB"/>
          <w14:ligatures w14:val="none"/>
        </w:rPr>
        <w:t xml:space="preserve"> Not assessed (method scope).</w:t>
      </w:r>
    </w:p>
    <w:p w:rsidR="0065205C" w:rsidRPr="00D10FEB" w:rsidRDefault="0065205C" w:rsidP="00436823">
      <w:pPr>
        <w:rPr>
          <w:rFonts w:ascii="Arial Narrow" w:hAnsi="Arial Narrow"/>
          <w:b/>
          <w:bCs/>
          <w:lang w:val="en-GB"/>
        </w:rPr>
      </w:pPr>
      <w:r w:rsidRPr="00D10FEB">
        <w:rPr>
          <w:rFonts w:ascii="Arial Narrow" w:hAnsi="Arial Narrow"/>
          <w:b/>
          <w:bCs/>
          <w:lang w:val="en-GB"/>
        </w:rPr>
        <w:t xml:space="preserve">AF05 </w:t>
      </w:r>
      <w:r w:rsidR="00E45573" w:rsidRPr="00D10FEB">
        <w:rPr>
          <w:rFonts w:ascii="Arial Narrow" w:hAnsi="Arial Narrow"/>
          <w:b/>
          <w:bCs/>
          <w:lang w:val="en-GB"/>
        </w:rPr>
        <w:t>-</w:t>
      </w:r>
      <w:r w:rsidRPr="00D10FEB">
        <w:rPr>
          <w:rFonts w:ascii="Arial Narrow" w:hAnsi="Arial Narrow"/>
          <w:b/>
          <w:bCs/>
          <w:lang w:val="en-GB"/>
        </w:rPr>
        <w:t xml:space="preserve"> EU Integration Facility, EU Agencies, Union Programmes, TAIEX (2025–2027)</w:t>
      </w:r>
    </w:p>
    <w:p w:rsidR="005D5941" w:rsidRPr="00D10FEB" w:rsidRDefault="0065205C" w:rsidP="00436823">
      <w:pPr>
        <w:pStyle w:val="ListParagraph"/>
        <w:numPr>
          <w:ilvl w:val="0"/>
          <w:numId w:val="44"/>
        </w:numPr>
        <w:spacing w:before="100" w:beforeAutospacing="1" w:after="100" w:afterAutospacing="1" w:line="240" w:lineRule="auto"/>
        <w:rPr>
          <w:rFonts w:ascii="Arial Narrow" w:eastAsia="Times New Roman" w:hAnsi="Arial Narrow" w:cs="Times New Roman"/>
          <w:kern w:val="0"/>
          <w:sz w:val="20"/>
          <w:szCs w:val="20"/>
          <w:lang w:val="en-GB" w:eastAsia="en-GB"/>
          <w14:ligatures w14:val="none"/>
        </w:rPr>
      </w:pPr>
      <w:r w:rsidRPr="00D10FEB">
        <w:rPr>
          <w:rFonts w:ascii="Arial Narrow" w:eastAsia="Times New Roman" w:hAnsi="Arial Narrow" w:cs="Times New Roman"/>
          <w:kern w:val="0"/>
          <w:sz w:val="20"/>
          <w:szCs w:val="20"/>
          <w:lang w:val="en-GB" w:eastAsia="en-GB"/>
          <w14:ligatures w14:val="none"/>
        </w:rPr>
        <w:t>Window</w:t>
      </w:r>
      <w:r w:rsidR="00436823" w:rsidRPr="00D10FEB">
        <w:rPr>
          <w:rFonts w:ascii="Arial Narrow" w:eastAsia="Times New Roman" w:hAnsi="Arial Narrow" w:cs="Times New Roman"/>
          <w:kern w:val="0"/>
          <w:sz w:val="20"/>
          <w:szCs w:val="20"/>
          <w:lang w:val="en-GB" w:eastAsia="en-GB"/>
          <w14:ligatures w14:val="none"/>
        </w:rPr>
        <w:t xml:space="preserve"> </w:t>
      </w:r>
      <w:r w:rsidRPr="00D10FEB">
        <w:rPr>
          <w:rFonts w:ascii="Arial Narrow" w:eastAsia="Times New Roman" w:hAnsi="Arial Narrow" w:cs="Times New Roman"/>
          <w:kern w:val="0"/>
          <w:sz w:val="20"/>
          <w:szCs w:val="20"/>
          <w:lang w:val="en-GB" w:eastAsia="en-GB"/>
          <w14:ligatures w14:val="none"/>
        </w:rPr>
        <w:t xml:space="preserve">2 </w:t>
      </w:r>
      <w:r w:rsidR="00436823" w:rsidRPr="00D10FEB">
        <w:rPr>
          <w:rFonts w:ascii="Arial Narrow" w:eastAsia="Times New Roman" w:hAnsi="Arial Narrow" w:cs="Times New Roman"/>
          <w:kern w:val="0"/>
          <w:sz w:val="20"/>
          <w:szCs w:val="20"/>
          <w:lang w:val="en-GB" w:eastAsia="en-GB"/>
          <w14:ligatures w14:val="none"/>
        </w:rPr>
        <w:t xml:space="preserve">(Good governance &amp; acquis alignment) </w:t>
      </w:r>
      <w:r w:rsidRPr="00D10FEB">
        <w:rPr>
          <w:rFonts w:ascii="Arial Narrow" w:eastAsia="Times New Roman" w:hAnsi="Arial Narrow" w:cs="Times New Roman"/>
          <w:kern w:val="0"/>
          <w:sz w:val="20"/>
          <w:szCs w:val="20"/>
          <w:lang w:val="en-GB" w:eastAsia="en-GB"/>
          <w14:ligatures w14:val="none"/>
        </w:rPr>
        <w:t>(TP2 admin capacity, TP3 good neighbourly relations)</w:t>
      </w:r>
      <w:r w:rsidR="005D5941" w:rsidRPr="00D10FEB">
        <w:rPr>
          <w:rFonts w:ascii="Arial Narrow" w:eastAsia="Times New Roman" w:hAnsi="Arial Narrow" w:cs="Times New Roman"/>
          <w:kern w:val="0"/>
          <w:sz w:val="20"/>
          <w:szCs w:val="20"/>
          <w:lang w:val="en-GB" w:eastAsia="en-GB"/>
          <w14:ligatures w14:val="none"/>
        </w:rPr>
        <w:t xml:space="preserve">; EUR: </w:t>
      </w:r>
      <w:r w:rsidRPr="00D10FEB">
        <w:rPr>
          <w:rFonts w:ascii="Arial Narrow" w:eastAsia="Times New Roman" w:hAnsi="Arial Narrow" w:cs="Times New Roman"/>
          <w:kern w:val="0"/>
          <w:sz w:val="20"/>
          <w:szCs w:val="20"/>
          <w:lang w:val="en-GB" w:eastAsia="en-GB"/>
          <w14:ligatures w14:val="none"/>
        </w:rPr>
        <w:t xml:space="preserve">145.6m. </w:t>
      </w:r>
    </w:p>
    <w:p w:rsidR="0065205C" w:rsidRPr="00D10FEB" w:rsidRDefault="0065205C" w:rsidP="00436823">
      <w:pPr>
        <w:pStyle w:val="ListParagraph"/>
        <w:numPr>
          <w:ilvl w:val="0"/>
          <w:numId w:val="44"/>
        </w:numPr>
        <w:spacing w:before="100" w:beforeAutospacing="1" w:after="100" w:afterAutospacing="1" w:line="240" w:lineRule="auto"/>
        <w:rPr>
          <w:rFonts w:ascii="Arial Narrow" w:eastAsia="Times New Roman" w:hAnsi="Arial Narrow" w:cs="Times New Roman"/>
          <w:b/>
          <w:bCs/>
          <w:kern w:val="0"/>
          <w:sz w:val="20"/>
          <w:szCs w:val="20"/>
          <w:lang w:val="en-GB" w:eastAsia="en-GB"/>
          <w14:ligatures w14:val="none"/>
        </w:rPr>
      </w:pPr>
      <w:r w:rsidRPr="00D10FEB">
        <w:rPr>
          <w:rFonts w:ascii="Arial Narrow" w:eastAsia="Times New Roman" w:hAnsi="Arial Narrow" w:cs="Times New Roman"/>
          <w:b/>
          <w:bCs/>
          <w:kern w:val="0"/>
          <w:sz w:val="20"/>
          <w:szCs w:val="20"/>
          <w:lang w:val="en-GB" w:eastAsia="en-GB"/>
          <w14:ligatures w14:val="none"/>
        </w:rPr>
        <w:t xml:space="preserve">W2 </w:t>
      </w:r>
      <w:r w:rsidR="00436823" w:rsidRPr="00D10FEB">
        <w:rPr>
          <w:rFonts w:ascii="Arial Narrow" w:eastAsia="Times New Roman" w:hAnsi="Arial Narrow" w:cs="Times New Roman"/>
          <w:b/>
          <w:bCs/>
          <w:kern w:val="0"/>
          <w:sz w:val="20"/>
          <w:szCs w:val="20"/>
          <w:lang w:val="en-GB" w:eastAsia="en-GB"/>
          <w14:ligatures w14:val="none"/>
        </w:rPr>
        <w:t>-</w:t>
      </w:r>
      <w:r w:rsidRPr="00D10FEB">
        <w:rPr>
          <w:rFonts w:ascii="Arial Narrow" w:eastAsia="Times New Roman" w:hAnsi="Arial Narrow" w:cs="Times New Roman"/>
          <w:b/>
          <w:bCs/>
          <w:kern w:val="0"/>
          <w:sz w:val="20"/>
          <w:szCs w:val="20"/>
          <w:lang w:val="en-GB" w:eastAsia="en-GB"/>
          <w14:ligatures w14:val="none"/>
        </w:rPr>
        <w:t xml:space="preserve"> Not assessed (method scope).</w:t>
      </w:r>
    </w:p>
    <w:p w:rsidR="0065205C" w:rsidRPr="00D10FEB" w:rsidRDefault="0065205C" w:rsidP="00436823">
      <w:pPr>
        <w:rPr>
          <w:rFonts w:ascii="Arial Narrow" w:hAnsi="Arial Narrow"/>
          <w:b/>
          <w:bCs/>
          <w:lang w:val="en-GB"/>
        </w:rPr>
      </w:pPr>
      <w:r w:rsidRPr="00D10FEB">
        <w:rPr>
          <w:rFonts w:ascii="Arial Narrow" w:hAnsi="Arial Narrow"/>
          <w:b/>
          <w:bCs/>
          <w:lang w:val="en-GB"/>
        </w:rPr>
        <w:t xml:space="preserve">AF06 </w:t>
      </w:r>
      <w:r w:rsidR="00E45573" w:rsidRPr="00D10FEB">
        <w:rPr>
          <w:rFonts w:ascii="Arial Narrow" w:hAnsi="Arial Narrow"/>
          <w:b/>
          <w:bCs/>
          <w:lang w:val="en-GB"/>
        </w:rPr>
        <w:t>-</w:t>
      </w:r>
      <w:r w:rsidRPr="00D10FEB">
        <w:rPr>
          <w:rFonts w:ascii="Arial Narrow" w:hAnsi="Arial Narrow"/>
          <w:b/>
          <w:bCs/>
          <w:lang w:val="en-GB"/>
        </w:rPr>
        <w:t xml:space="preserve"> EU4Green &amp; Digital Transition (2025–2026) (W3 &amp; W4 → IN SCOPE)</w:t>
      </w:r>
    </w:p>
    <w:p w:rsidR="0065205C" w:rsidRPr="00D10FEB" w:rsidRDefault="0065205C" w:rsidP="0065205C">
      <w:pPr>
        <w:spacing w:before="100" w:beforeAutospacing="1" w:after="100" w:afterAutospacing="1"/>
        <w:rPr>
          <w:rFonts w:ascii="Arial Narrow" w:hAnsi="Arial Narrow"/>
          <w:sz w:val="20"/>
          <w:szCs w:val="20"/>
          <w:lang w:val="en-GB"/>
        </w:rPr>
      </w:pPr>
      <w:r w:rsidRPr="00D10FEB">
        <w:rPr>
          <w:rFonts w:ascii="Arial Narrow" w:hAnsi="Arial Narrow"/>
          <w:sz w:val="20"/>
          <w:szCs w:val="20"/>
          <w:lang w:val="en-GB"/>
        </w:rPr>
        <w:t>Window</w:t>
      </w:r>
      <w:r w:rsidR="00436823" w:rsidRPr="00D10FEB">
        <w:rPr>
          <w:rFonts w:ascii="Arial Narrow" w:hAnsi="Arial Narrow"/>
          <w:sz w:val="20"/>
          <w:szCs w:val="20"/>
          <w:lang w:val="en-GB"/>
        </w:rPr>
        <w:t xml:space="preserve"> </w:t>
      </w:r>
      <w:r w:rsidRPr="00D10FEB">
        <w:rPr>
          <w:rFonts w:ascii="Arial Narrow" w:hAnsi="Arial Narrow"/>
          <w:sz w:val="20"/>
          <w:szCs w:val="20"/>
          <w:lang w:val="en-GB"/>
        </w:rPr>
        <w:t>3 (Green agenda &amp; sustainable connectivity) &amp; W</w:t>
      </w:r>
      <w:r w:rsidR="00436823" w:rsidRPr="00D10FEB">
        <w:rPr>
          <w:rFonts w:ascii="Arial Narrow" w:hAnsi="Arial Narrow"/>
          <w:sz w:val="20"/>
          <w:szCs w:val="20"/>
          <w:lang w:val="en-GB"/>
        </w:rPr>
        <w:t xml:space="preserve">indow </w:t>
      </w:r>
      <w:r w:rsidRPr="00D10FEB">
        <w:rPr>
          <w:rFonts w:ascii="Arial Narrow" w:hAnsi="Arial Narrow"/>
          <w:sz w:val="20"/>
          <w:szCs w:val="20"/>
          <w:lang w:val="en-GB"/>
        </w:rPr>
        <w:t>4 (competitiveness/digital)</w:t>
      </w:r>
      <w:r w:rsidR="005D5941" w:rsidRPr="00D10FEB">
        <w:rPr>
          <w:rFonts w:ascii="Arial Narrow" w:hAnsi="Arial Narrow"/>
          <w:sz w:val="20"/>
          <w:szCs w:val="20"/>
          <w:lang w:val="en-GB"/>
        </w:rPr>
        <w:t>; EUR</w:t>
      </w:r>
      <w:r w:rsidRPr="00D10FEB">
        <w:rPr>
          <w:rFonts w:ascii="Arial Narrow" w:hAnsi="Arial Narrow"/>
          <w:sz w:val="20"/>
          <w:szCs w:val="20"/>
          <w:lang w:val="en-GB"/>
        </w:rPr>
        <w:t xml:space="preserve">: </w:t>
      </w:r>
      <w:r w:rsidR="00C6269C" w:rsidRPr="00D10FEB">
        <w:rPr>
          <w:rFonts w:ascii="Arial Narrow" w:hAnsi="Arial Narrow"/>
          <w:sz w:val="20"/>
          <w:szCs w:val="20"/>
          <w:lang w:val="en-GB"/>
        </w:rPr>
        <w:t xml:space="preserve">EUR </w:t>
      </w:r>
      <w:r w:rsidRPr="00D10FEB">
        <w:rPr>
          <w:rFonts w:ascii="Arial Narrow" w:hAnsi="Arial Narrow"/>
          <w:sz w:val="20"/>
          <w:szCs w:val="20"/>
          <w:lang w:val="en-GB"/>
        </w:rPr>
        <w:t xml:space="preserve">33m. </w:t>
      </w:r>
    </w:p>
    <w:p w:rsidR="0065205C" w:rsidRPr="00D10FEB" w:rsidRDefault="008B3E8F" w:rsidP="0065205C">
      <w:pPr>
        <w:numPr>
          <w:ilvl w:val="0"/>
          <w:numId w:val="32"/>
        </w:numPr>
        <w:spacing w:before="100" w:beforeAutospacing="1" w:after="100" w:afterAutospacing="1"/>
        <w:rPr>
          <w:rFonts w:ascii="Arial Narrow" w:hAnsi="Arial Narrow"/>
          <w:sz w:val="20"/>
          <w:szCs w:val="20"/>
          <w:lang w:val="en-GB"/>
        </w:rPr>
      </w:pPr>
      <w:r w:rsidRPr="00D10FEB">
        <w:rPr>
          <w:rFonts w:ascii="Arial Narrow" w:hAnsi="Arial Narrow"/>
          <w:b/>
          <w:bCs/>
          <w:sz w:val="20"/>
          <w:szCs w:val="20"/>
          <w:lang w:val="en-GB"/>
        </w:rPr>
        <w:t>EUSAIR Pillar 3 topics: marine/coastal environment &amp; habitats/biodiversity</w:t>
      </w:r>
      <w:r w:rsidR="0065205C" w:rsidRPr="00D10FEB">
        <w:rPr>
          <w:rFonts w:ascii="Arial Narrow" w:hAnsi="Arial Narrow"/>
          <w:b/>
          <w:bCs/>
          <w:sz w:val="20"/>
          <w:szCs w:val="20"/>
          <w:lang w:val="en-GB"/>
        </w:rPr>
        <w:t>:</w:t>
      </w:r>
      <w:r w:rsidR="0065205C" w:rsidRPr="00D10FEB">
        <w:rPr>
          <w:rFonts w:ascii="Arial Narrow" w:hAnsi="Arial Narrow"/>
          <w:sz w:val="20"/>
          <w:szCs w:val="20"/>
          <w:lang w:val="en-GB"/>
        </w:rPr>
        <w:t xml:space="preserve"> </w:t>
      </w:r>
      <w:r w:rsidR="0065205C" w:rsidRPr="00D10FEB">
        <w:rPr>
          <w:rFonts w:ascii="Arial Narrow" w:hAnsi="Arial Narrow"/>
          <w:b/>
          <w:bCs/>
          <w:sz w:val="20"/>
          <w:szCs w:val="20"/>
          <w:lang w:val="en-GB"/>
        </w:rPr>
        <w:t>Partial alignment</w:t>
      </w:r>
      <w:r w:rsidR="0065205C" w:rsidRPr="00D10FEB">
        <w:rPr>
          <w:rFonts w:ascii="Arial Narrow" w:hAnsi="Arial Narrow"/>
          <w:sz w:val="20"/>
          <w:szCs w:val="20"/>
          <w:lang w:val="en-GB"/>
        </w:rPr>
        <w:t xml:space="preserve">. Focus is capacity &amp; pilots (de-pollution/climate/municipal action), not a single site-specific clean-up. Evidence: Green Agenda implementation; municipal support; helpdesk; access to finance. </w:t>
      </w:r>
    </w:p>
    <w:p w:rsidR="0065205C" w:rsidRPr="00D10FEB" w:rsidRDefault="008B3E8F" w:rsidP="0065205C">
      <w:pPr>
        <w:numPr>
          <w:ilvl w:val="0"/>
          <w:numId w:val="32"/>
        </w:numPr>
        <w:spacing w:before="100" w:beforeAutospacing="1" w:after="100" w:afterAutospacing="1"/>
        <w:rPr>
          <w:rFonts w:ascii="Arial Narrow" w:hAnsi="Arial Narrow"/>
          <w:sz w:val="20"/>
          <w:szCs w:val="20"/>
          <w:lang w:val="en-GB"/>
        </w:rPr>
      </w:pPr>
      <w:r w:rsidRPr="00D10FEB">
        <w:rPr>
          <w:rFonts w:ascii="Arial Narrow" w:hAnsi="Arial Narrow"/>
          <w:b/>
          <w:bCs/>
          <w:sz w:val="20"/>
          <w:szCs w:val="20"/>
          <w:lang w:val="en-GB"/>
        </w:rPr>
        <w:t>EUSAIR Pillar 2 Connecting the Region (2.2 Multi-modal connectivity and 2.3 Urban nodes)</w:t>
      </w:r>
      <w:r w:rsidR="0065205C" w:rsidRPr="00D10FEB">
        <w:rPr>
          <w:rFonts w:ascii="Arial Narrow" w:hAnsi="Arial Narrow"/>
          <w:b/>
          <w:bCs/>
          <w:sz w:val="20"/>
          <w:szCs w:val="20"/>
          <w:lang w:val="en-GB"/>
        </w:rPr>
        <w:t xml:space="preserve">: Partial alignment. </w:t>
      </w:r>
      <w:r w:rsidR="0065205C" w:rsidRPr="00D10FEB">
        <w:rPr>
          <w:rFonts w:ascii="Arial Narrow" w:hAnsi="Arial Narrow"/>
          <w:sz w:val="20"/>
          <w:szCs w:val="20"/>
          <w:lang w:val="en-GB"/>
        </w:rPr>
        <w:t xml:space="preserve">WiFi4WB expansion, 5G project pipelines, e-freight &amp; interoperability pilots contribute to connectivity targets. </w:t>
      </w:r>
    </w:p>
    <w:p w:rsidR="0065205C" w:rsidRPr="00D10FEB" w:rsidRDefault="008B3E8F" w:rsidP="0065205C">
      <w:pPr>
        <w:numPr>
          <w:ilvl w:val="0"/>
          <w:numId w:val="32"/>
        </w:numPr>
        <w:spacing w:before="100" w:beforeAutospacing="1" w:after="100" w:afterAutospacing="1"/>
        <w:rPr>
          <w:rFonts w:ascii="Arial Narrow" w:hAnsi="Arial Narrow"/>
          <w:sz w:val="20"/>
          <w:szCs w:val="20"/>
          <w:lang w:val="en-GB"/>
        </w:rPr>
      </w:pPr>
      <w:r w:rsidRPr="00D10FEB">
        <w:rPr>
          <w:rFonts w:ascii="Arial Narrow" w:hAnsi="Arial Narrow"/>
          <w:b/>
          <w:bCs/>
          <w:sz w:val="20"/>
          <w:szCs w:val="20"/>
          <w:lang w:val="en-GB"/>
        </w:rPr>
        <w:t>EUSAIR Pillar 5 Improved Social Cohesion (maps to 5.2 skills</w:t>
      </w:r>
      <w:r w:rsidRPr="00D10FEB">
        <w:rPr>
          <w:rFonts w:ascii="Arial Narrow" w:hAnsi="Arial Narrow"/>
          <w:sz w:val="20"/>
          <w:szCs w:val="20"/>
          <w:lang w:val="en-GB"/>
        </w:rPr>
        <w:t>)</w:t>
      </w:r>
      <w:r w:rsidR="0065205C" w:rsidRPr="00D10FEB">
        <w:rPr>
          <w:rFonts w:ascii="Arial Narrow" w:hAnsi="Arial Narrow"/>
          <w:sz w:val="20"/>
          <w:szCs w:val="20"/>
          <w:lang w:val="en-GB"/>
        </w:rPr>
        <w:t xml:space="preserve">: Partial alignment. Explicit output on digital literacy for women/youth &amp; public-sector upskilling. </w:t>
      </w:r>
    </w:p>
    <w:p w:rsidR="008B3E8F" w:rsidRPr="00D10FEB" w:rsidRDefault="0065205C" w:rsidP="0065205C">
      <w:pPr>
        <w:numPr>
          <w:ilvl w:val="0"/>
          <w:numId w:val="32"/>
        </w:numPr>
        <w:spacing w:before="100" w:beforeAutospacing="1" w:after="100" w:afterAutospacing="1"/>
        <w:rPr>
          <w:rFonts w:ascii="Arial Narrow" w:hAnsi="Arial Narrow"/>
          <w:b/>
          <w:bCs/>
          <w:sz w:val="20"/>
          <w:szCs w:val="20"/>
          <w:lang w:val="en-GB"/>
        </w:rPr>
      </w:pPr>
      <w:r w:rsidRPr="00D10FEB">
        <w:rPr>
          <w:rFonts w:ascii="Arial Narrow" w:hAnsi="Arial Narrow"/>
          <w:b/>
          <w:bCs/>
          <w:sz w:val="20"/>
          <w:szCs w:val="20"/>
          <w:lang w:val="en-GB"/>
        </w:rPr>
        <w:t>P</w:t>
      </w:r>
      <w:r w:rsidR="008B3E8F" w:rsidRPr="00D10FEB">
        <w:rPr>
          <w:rFonts w:ascii="Arial Narrow" w:hAnsi="Arial Narrow"/>
          <w:b/>
          <w:bCs/>
          <w:sz w:val="20"/>
          <w:szCs w:val="20"/>
          <w:lang w:val="en-GB"/>
        </w:rPr>
        <w:t>illar 1: No alignment.</w:t>
      </w:r>
      <w:r w:rsidRPr="00D10FEB">
        <w:rPr>
          <w:rFonts w:ascii="Arial Narrow" w:hAnsi="Arial Narrow"/>
          <w:b/>
          <w:bCs/>
          <w:sz w:val="20"/>
          <w:szCs w:val="20"/>
          <w:lang w:val="en-GB"/>
        </w:rPr>
        <w:t xml:space="preserve"> </w:t>
      </w:r>
    </w:p>
    <w:p w:rsidR="0065205C" w:rsidRPr="00D10FEB" w:rsidRDefault="0065205C" w:rsidP="0065205C">
      <w:pPr>
        <w:numPr>
          <w:ilvl w:val="0"/>
          <w:numId w:val="32"/>
        </w:numPr>
        <w:spacing w:before="100" w:beforeAutospacing="1" w:after="100" w:afterAutospacing="1"/>
        <w:rPr>
          <w:rFonts w:ascii="Arial Narrow" w:hAnsi="Arial Narrow"/>
          <w:b/>
          <w:bCs/>
          <w:sz w:val="20"/>
          <w:szCs w:val="20"/>
          <w:lang w:val="en-GB"/>
        </w:rPr>
      </w:pPr>
      <w:r w:rsidRPr="00D10FEB">
        <w:rPr>
          <w:rFonts w:ascii="Arial Narrow" w:hAnsi="Arial Narrow"/>
          <w:b/>
          <w:bCs/>
          <w:sz w:val="20"/>
          <w:szCs w:val="20"/>
          <w:lang w:val="en-GB"/>
        </w:rPr>
        <w:t>P</w:t>
      </w:r>
      <w:r w:rsidR="008B3E8F" w:rsidRPr="00D10FEB">
        <w:rPr>
          <w:rFonts w:ascii="Arial Narrow" w:hAnsi="Arial Narrow"/>
          <w:b/>
          <w:bCs/>
          <w:sz w:val="20"/>
          <w:szCs w:val="20"/>
          <w:lang w:val="en-GB"/>
        </w:rPr>
        <w:t xml:space="preserve">illar </w:t>
      </w:r>
      <w:r w:rsidRPr="00D10FEB">
        <w:rPr>
          <w:rFonts w:ascii="Arial Narrow" w:hAnsi="Arial Narrow"/>
          <w:b/>
          <w:bCs/>
          <w:sz w:val="20"/>
          <w:szCs w:val="20"/>
          <w:lang w:val="en-GB"/>
        </w:rPr>
        <w:t>4: No alignment.</w:t>
      </w:r>
    </w:p>
    <w:p w:rsidR="0065205C" w:rsidRPr="00D10FEB" w:rsidRDefault="0065205C" w:rsidP="00436823">
      <w:pPr>
        <w:rPr>
          <w:rFonts w:ascii="Arial Narrow" w:hAnsi="Arial Narrow"/>
          <w:b/>
          <w:bCs/>
          <w:lang w:val="en-GB"/>
        </w:rPr>
      </w:pPr>
      <w:r w:rsidRPr="00D10FEB">
        <w:rPr>
          <w:rFonts w:ascii="Arial Narrow" w:hAnsi="Arial Narrow"/>
          <w:b/>
          <w:bCs/>
          <w:lang w:val="en-GB"/>
        </w:rPr>
        <w:t xml:space="preserve">AF07 </w:t>
      </w:r>
      <w:r w:rsidR="00E45573" w:rsidRPr="00D10FEB">
        <w:rPr>
          <w:rFonts w:ascii="Arial Narrow" w:hAnsi="Arial Narrow"/>
          <w:b/>
          <w:bCs/>
          <w:lang w:val="en-GB"/>
        </w:rPr>
        <w:t>-</w:t>
      </w:r>
      <w:r w:rsidRPr="00D10FEB">
        <w:rPr>
          <w:rFonts w:ascii="Arial Narrow" w:hAnsi="Arial Narrow"/>
          <w:b/>
          <w:bCs/>
          <w:lang w:val="en-GB"/>
        </w:rPr>
        <w:t xml:space="preserve"> EU4 Inclusion (2025–2027) (W4 &amp; W2 → IN SCOPE for P5)</w:t>
      </w:r>
    </w:p>
    <w:p w:rsidR="0065205C" w:rsidRPr="00D10FEB" w:rsidRDefault="0065205C" w:rsidP="0065205C">
      <w:pPr>
        <w:spacing w:before="100" w:beforeAutospacing="1" w:after="100" w:afterAutospacing="1"/>
        <w:rPr>
          <w:rFonts w:ascii="Arial Narrow" w:hAnsi="Arial Narrow"/>
          <w:sz w:val="20"/>
          <w:szCs w:val="20"/>
          <w:lang w:val="en-GB"/>
        </w:rPr>
      </w:pPr>
      <w:r w:rsidRPr="00D10FEB">
        <w:rPr>
          <w:rFonts w:ascii="Arial Narrow" w:hAnsi="Arial Narrow"/>
          <w:sz w:val="20"/>
          <w:szCs w:val="20"/>
          <w:lang w:val="en-GB"/>
        </w:rPr>
        <w:t>Window</w:t>
      </w:r>
      <w:r w:rsidR="008B3E8F" w:rsidRPr="00D10FEB">
        <w:rPr>
          <w:rFonts w:ascii="Arial Narrow" w:hAnsi="Arial Narrow"/>
          <w:sz w:val="20"/>
          <w:szCs w:val="20"/>
          <w:lang w:val="en-GB"/>
        </w:rPr>
        <w:t xml:space="preserve"> </w:t>
      </w:r>
      <w:r w:rsidRPr="00D10FEB">
        <w:rPr>
          <w:rFonts w:ascii="Arial Narrow" w:hAnsi="Arial Narrow"/>
          <w:sz w:val="20"/>
          <w:szCs w:val="20"/>
          <w:lang w:val="en-GB"/>
        </w:rPr>
        <w:t>4 (education/employment/inclusion), W</w:t>
      </w:r>
      <w:r w:rsidR="00436823" w:rsidRPr="00D10FEB">
        <w:rPr>
          <w:rFonts w:ascii="Arial Narrow" w:hAnsi="Arial Narrow"/>
          <w:sz w:val="20"/>
          <w:szCs w:val="20"/>
          <w:lang w:val="en-GB"/>
        </w:rPr>
        <w:t xml:space="preserve">indow </w:t>
      </w:r>
      <w:r w:rsidRPr="00D10FEB">
        <w:rPr>
          <w:rFonts w:ascii="Arial Narrow" w:hAnsi="Arial Narrow"/>
          <w:sz w:val="20"/>
          <w:szCs w:val="20"/>
          <w:lang w:val="en-GB"/>
        </w:rPr>
        <w:t>2 (good governance/reconciliation)</w:t>
      </w:r>
      <w:r w:rsidR="008B3E8F" w:rsidRPr="00D10FEB">
        <w:rPr>
          <w:rFonts w:ascii="Arial Narrow" w:hAnsi="Arial Narrow"/>
          <w:sz w:val="20"/>
          <w:szCs w:val="20"/>
          <w:lang w:val="en-GB"/>
        </w:rPr>
        <w:t>;</w:t>
      </w:r>
      <w:r w:rsidRPr="00D10FEB">
        <w:rPr>
          <w:rFonts w:ascii="Arial Narrow" w:hAnsi="Arial Narrow"/>
          <w:sz w:val="20"/>
          <w:szCs w:val="20"/>
          <w:lang w:val="en-GB"/>
        </w:rPr>
        <w:t xml:space="preserve"> </w:t>
      </w:r>
      <w:r w:rsidR="008B3E8F" w:rsidRPr="00D10FEB">
        <w:rPr>
          <w:rFonts w:ascii="Arial Narrow" w:hAnsi="Arial Narrow"/>
          <w:sz w:val="20"/>
          <w:szCs w:val="20"/>
          <w:lang w:val="en-GB"/>
        </w:rPr>
        <w:t>EUR</w:t>
      </w:r>
      <w:r w:rsidRPr="00D10FEB">
        <w:rPr>
          <w:rFonts w:ascii="Arial Narrow" w:hAnsi="Arial Narrow"/>
          <w:sz w:val="20"/>
          <w:szCs w:val="20"/>
          <w:lang w:val="en-GB"/>
        </w:rPr>
        <w:t xml:space="preserve">: </w:t>
      </w:r>
      <w:r w:rsidR="00C6269C" w:rsidRPr="00D10FEB">
        <w:rPr>
          <w:rFonts w:ascii="Arial Narrow" w:hAnsi="Arial Narrow"/>
          <w:sz w:val="20"/>
          <w:szCs w:val="20"/>
          <w:lang w:val="en-GB"/>
        </w:rPr>
        <w:t xml:space="preserve">EUR </w:t>
      </w:r>
      <w:r w:rsidRPr="00D10FEB">
        <w:rPr>
          <w:rFonts w:ascii="Arial Narrow" w:hAnsi="Arial Narrow"/>
          <w:sz w:val="20"/>
          <w:szCs w:val="20"/>
          <w:lang w:val="en-GB"/>
        </w:rPr>
        <w:t xml:space="preserve">26m. </w:t>
      </w:r>
    </w:p>
    <w:p w:rsidR="0065205C" w:rsidRPr="00D10FEB" w:rsidRDefault="008B3E8F" w:rsidP="0065205C">
      <w:pPr>
        <w:numPr>
          <w:ilvl w:val="0"/>
          <w:numId w:val="34"/>
        </w:numPr>
        <w:spacing w:before="100" w:beforeAutospacing="1" w:after="100" w:afterAutospacing="1"/>
        <w:rPr>
          <w:rFonts w:ascii="Arial Narrow" w:hAnsi="Arial Narrow"/>
          <w:sz w:val="20"/>
          <w:szCs w:val="20"/>
          <w:lang w:val="en-GB"/>
        </w:rPr>
      </w:pPr>
      <w:r w:rsidRPr="00D10FEB">
        <w:rPr>
          <w:rFonts w:ascii="Arial Narrow" w:hAnsi="Arial Narrow"/>
          <w:b/>
          <w:bCs/>
          <w:sz w:val="20"/>
          <w:szCs w:val="20"/>
          <w:lang w:val="en-GB"/>
        </w:rPr>
        <w:t>EUSAIR Pillar 5 Improved Social Cohesion (align with 5.1 (youth), 5.2 (skills) and 5.3 (equal opportunities))</w:t>
      </w:r>
      <w:r w:rsidR="0065205C" w:rsidRPr="00D10FEB">
        <w:rPr>
          <w:rFonts w:ascii="Arial Narrow" w:hAnsi="Arial Narrow"/>
          <w:b/>
          <w:bCs/>
          <w:sz w:val="20"/>
          <w:szCs w:val="20"/>
          <w:lang w:val="en-GB"/>
        </w:rPr>
        <w:t>: Partial alignment.</w:t>
      </w:r>
      <w:r w:rsidR="0065205C" w:rsidRPr="00D10FEB">
        <w:rPr>
          <w:rFonts w:ascii="Arial Narrow" w:hAnsi="Arial Narrow"/>
          <w:sz w:val="20"/>
          <w:szCs w:val="20"/>
          <w:lang w:val="en-GB"/>
        </w:rPr>
        <w:t xml:space="preserve"> Strong skills/employment focus &amp; youth engagement; macro-regional framing will depend on</w:t>
      </w:r>
      <w:r w:rsidRPr="00D10FEB">
        <w:rPr>
          <w:rFonts w:ascii="Arial Narrow" w:hAnsi="Arial Narrow"/>
          <w:sz w:val="20"/>
          <w:szCs w:val="20"/>
          <w:lang w:val="en-GB"/>
        </w:rPr>
        <w:t xml:space="preserve"> </w:t>
      </w:r>
      <w:r w:rsidR="0065205C" w:rsidRPr="00D10FEB">
        <w:rPr>
          <w:rFonts w:ascii="Arial Narrow" w:hAnsi="Arial Narrow"/>
          <w:sz w:val="20"/>
          <w:szCs w:val="20"/>
          <w:lang w:val="en-GB"/>
        </w:rPr>
        <w:t xml:space="preserve">how regional pilots are scoped. </w:t>
      </w:r>
    </w:p>
    <w:p w:rsidR="008B3E8F" w:rsidRPr="00D10FEB" w:rsidRDefault="008B3E8F" w:rsidP="008B3E8F">
      <w:pPr>
        <w:numPr>
          <w:ilvl w:val="0"/>
          <w:numId w:val="34"/>
        </w:numPr>
        <w:spacing w:before="100" w:beforeAutospacing="1" w:after="100" w:afterAutospacing="1"/>
        <w:rPr>
          <w:rFonts w:ascii="Arial Narrow" w:hAnsi="Arial Narrow"/>
          <w:b/>
          <w:bCs/>
          <w:sz w:val="20"/>
          <w:szCs w:val="20"/>
          <w:lang w:val="en-GB"/>
        </w:rPr>
      </w:pPr>
      <w:r w:rsidRPr="00D10FEB">
        <w:rPr>
          <w:rFonts w:ascii="Arial Narrow" w:hAnsi="Arial Narrow"/>
          <w:b/>
          <w:bCs/>
          <w:sz w:val="20"/>
          <w:szCs w:val="20"/>
          <w:lang w:val="en-GB"/>
        </w:rPr>
        <w:t>Pillar 1: No alignment.</w:t>
      </w:r>
    </w:p>
    <w:p w:rsidR="008B3E8F" w:rsidRPr="00D10FEB" w:rsidRDefault="008B3E8F" w:rsidP="008B3E8F">
      <w:pPr>
        <w:numPr>
          <w:ilvl w:val="0"/>
          <w:numId w:val="34"/>
        </w:numPr>
        <w:spacing w:before="100" w:beforeAutospacing="1" w:after="100" w:afterAutospacing="1"/>
        <w:rPr>
          <w:rFonts w:ascii="Arial Narrow" w:hAnsi="Arial Narrow"/>
          <w:b/>
          <w:bCs/>
          <w:sz w:val="20"/>
          <w:szCs w:val="20"/>
          <w:lang w:val="en-GB"/>
        </w:rPr>
      </w:pPr>
      <w:r w:rsidRPr="00D10FEB">
        <w:rPr>
          <w:rFonts w:ascii="Arial Narrow" w:hAnsi="Arial Narrow"/>
          <w:b/>
          <w:bCs/>
          <w:sz w:val="20"/>
          <w:szCs w:val="20"/>
          <w:lang w:val="en-GB"/>
        </w:rPr>
        <w:t>Pillar 2: No alignment.</w:t>
      </w:r>
    </w:p>
    <w:p w:rsidR="008B3E8F" w:rsidRPr="00D10FEB" w:rsidRDefault="008B3E8F" w:rsidP="008B3E8F">
      <w:pPr>
        <w:numPr>
          <w:ilvl w:val="0"/>
          <w:numId w:val="34"/>
        </w:numPr>
        <w:spacing w:before="100" w:beforeAutospacing="1" w:after="100" w:afterAutospacing="1"/>
        <w:rPr>
          <w:rFonts w:ascii="Arial Narrow" w:hAnsi="Arial Narrow"/>
          <w:b/>
          <w:bCs/>
          <w:sz w:val="20"/>
          <w:szCs w:val="20"/>
          <w:lang w:val="en-GB"/>
        </w:rPr>
      </w:pPr>
      <w:r w:rsidRPr="00D10FEB">
        <w:rPr>
          <w:rFonts w:ascii="Arial Narrow" w:hAnsi="Arial Narrow"/>
          <w:b/>
          <w:bCs/>
          <w:sz w:val="20"/>
          <w:szCs w:val="20"/>
          <w:lang w:val="en-GB"/>
        </w:rPr>
        <w:t>Pillar 3: No alignment.</w:t>
      </w:r>
    </w:p>
    <w:p w:rsidR="008B3E8F" w:rsidRPr="00D10FEB" w:rsidRDefault="008B3E8F" w:rsidP="008B3E8F">
      <w:pPr>
        <w:numPr>
          <w:ilvl w:val="0"/>
          <w:numId w:val="34"/>
        </w:numPr>
        <w:spacing w:before="100" w:beforeAutospacing="1" w:after="100" w:afterAutospacing="1"/>
        <w:rPr>
          <w:rFonts w:ascii="Arial Narrow" w:hAnsi="Arial Narrow"/>
          <w:b/>
          <w:bCs/>
          <w:sz w:val="20"/>
          <w:szCs w:val="20"/>
          <w:lang w:val="en-GB"/>
        </w:rPr>
      </w:pPr>
      <w:r w:rsidRPr="00D10FEB">
        <w:rPr>
          <w:rFonts w:ascii="Arial Narrow" w:hAnsi="Arial Narrow"/>
          <w:b/>
          <w:bCs/>
          <w:sz w:val="20"/>
          <w:szCs w:val="20"/>
          <w:lang w:val="en-GB"/>
        </w:rPr>
        <w:t>Pillar 4: No alignment.</w:t>
      </w:r>
    </w:p>
    <w:p w:rsidR="0065205C" w:rsidRPr="00D10FEB" w:rsidRDefault="0065205C" w:rsidP="00436823">
      <w:pPr>
        <w:rPr>
          <w:rFonts w:ascii="Arial Narrow" w:hAnsi="Arial Narrow"/>
          <w:b/>
          <w:bCs/>
          <w:lang w:val="en-GB"/>
        </w:rPr>
      </w:pPr>
      <w:r w:rsidRPr="00D10FEB">
        <w:rPr>
          <w:rFonts w:ascii="Arial Narrow" w:hAnsi="Arial Narrow"/>
          <w:b/>
          <w:bCs/>
          <w:lang w:val="en-GB"/>
        </w:rPr>
        <w:t xml:space="preserve">AF08 </w:t>
      </w:r>
      <w:r w:rsidR="00E45573" w:rsidRPr="00D10FEB">
        <w:rPr>
          <w:rFonts w:ascii="Arial Narrow" w:hAnsi="Arial Narrow"/>
          <w:b/>
          <w:bCs/>
          <w:lang w:val="en-GB"/>
        </w:rPr>
        <w:t>-</w:t>
      </w:r>
      <w:r w:rsidRPr="00D10FEB">
        <w:rPr>
          <w:rFonts w:ascii="Arial Narrow" w:hAnsi="Arial Narrow"/>
          <w:b/>
          <w:bCs/>
          <w:lang w:val="en-GB"/>
        </w:rPr>
        <w:t xml:space="preserve"> Support to the Common Regional Market (CRM2) (2025–2026) (W4 → IN SCOPE)</w:t>
      </w:r>
    </w:p>
    <w:p w:rsidR="0065205C" w:rsidRPr="00D10FEB" w:rsidRDefault="0065205C" w:rsidP="0065205C">
      <w:pPr>
        <w:spacing w:before="100" w:beforeAutospacing="1" w:after="100" w:afterAutospacing="1"/>
        <w:rPr>
          <w:rFonts w:ascii="Arial Narrow" w:hAnsi="Arial Narrow"/>
          <w:sz w:val="20"/>
          <w:szCs w:val="20"/>
          <w:lang w:val="en-GB"/>
        </w:rPr>
      </w:pPr>
      <w:r w:rsidRPr="00D10FEB">
        <w:rPr>
          <w:rFonts w:ascii="Arial Narrow" w:hAnsi="Arial Narrow"/>
          <w:sz w:val="20"/>
          <w:szCs w:val="20"/>
          <w:lang w:val="en-GB"/>
        </w:rPr>
        <w:t>Window</w:t>
      </w:r>
      <w:r w:rsidR="00436823" w:rsidRPr="00D10FEB">
        <w:rPr>
          <w:rFonts w:ascii="Arial Narrow" w:hAnsi="Arial Narrow"/>
          <w:sz w:val="20"/>
          <w:szCs w:val="20"/>
          <w:lang w:val="en-GB"/>
        </w:rPr>
        <w:t xml:space="preserve"> </w:t>
      </w:r>
      <w:r w:rsidRPr="00D10FEB">
        <w:rPr>
          <w:rFonts w:ascii="Arial Narrow" w:hAnsi="Arial Narrow"/>
          <w:sz w:val="20"/>
          <w:szCs w:val="20"/>
          <w:lang w:val="en-GB"/>
        </w:rPr>
        <w:t>4 Competitiveness &amp; inclusive growth</w:t>
      </w:r>
      <w:r w:rsidR="008B3E8F" w:rsidRPr="00D10FEB">
        <w:rPr>
          <w:rFonts w:ascii="Arial Narrow" w:hAnsi="Arial Narrow"/>
          <w:sz w:val="20"/>
          <w:szCs w:val="20"/>
          <w:lang w:val="en-GB"/>
        </w:rPr>
        <w:t>; EUR</w:t>
      </w:r>
      <w:r w:rsidRPr="00D10FEB">
        <w:rPr>
          <w:rFonts w:ascii="Arial Narrow" w:hAnsi="Arial Narrow"/>
          <w:sz w:val="20"/>
          <w:szCs w:val="20"/>
          <w:lang w:val="en-GB"/>
        </w:rPr>
        <w:t xml:space="preserve">: </w:t>
      </w:r>
      <w:r w:rsidR="00C6269C" w:rsidRPr="00D10FEB">
        <w:rPr>
          <w:rFonts w:ascii="Arial Narrow" w:hAnsi="Arial Narrow"/>
          <w:sz w:val="20"/>
          <w:szCs w:val="20"/>
          <w:lang w:val="en-GB"/>
        </w:rPr>
        <w:t xml:space="preserve">EUR </w:t>
      </w:r>
      <w:r w:rsidRPr="00D10FEB">
        <w:rPr>
          <w:rFonts w:ascii="Arial Narrow" w:hAnsi="Arial Narrow"/>
          <w:sz w:val="20"/>
          <w:szCs w:val="20"/>
          <w:lang w:val="en-GB"/>
        </w:rPr>
        <w:t xml:space="preserve">44.5m. </w:t>
      </w:r>
    </w:p>
    <w:p w:rsidR="0065205C" w:rsidRPr="00D10FEB" w:rsidRDefault="008B3E8F" w:rsidP="0065205C">
      <w:pPr>
        <w:numPr>
          <w:ilvl w:val="0"/>
          <w:numId w:val="36"/>
        </w:numPr>
        <w:spacing w:before="100" w:beforeAutospacing="1" w:after="100" w:afterAutospacing="1"/>
        <w:rPr>
          <w:rFonts w:ascii="Arial Narrow" w:hAnsi="Arial Narrow"/>
          <w:sz w:val="20"/>
          <w:szCs w:val="20"/>
          <w:lang w:val="en-GB"/>
        </w:rPr>
      </w:pPr>
      <w:r w:rsidRPr="00D10FEB">
        <w:rPr>
          <w:rFonts w:ascii="Arial Narrow" w:hAnsi="Arial Narrow"/>
          <w:b/>
          <w:bCs/>
          <w:sz w:val="20"/>
          <w:szCs w:val="20"/>
          <w:lang w:val="en-GB"/>
        </w:rPr>
        <w:t>EUSAIR P2 Connecting the Region (multi-modal connectivity &amp; urban nodes)</w:t>
      </w:r>
      <w:r w:rsidR="0065205C" w:rsidRPr="00D10FEB">
        <w:rPr>
          <w:rFonts w:ascii="Arial Narrow" w:hAnsi="Arial Narrow"/>
          <w:b/>
          <w:bCs/>
          <w:sz w:val="20"/>
          <w:szCs w:val="20"/>
          <w:lang w:val="en-GB"/>
        </w:rPr>
        <w:t>: Partial alignment</w:t>
      </w:r>
      <w:r w:rsidR="0065205C" w:rsidRPr="00D10FEB">
        <w:rPr>
          <w:rFonts w:ascii="Arial Narrow" w:hAnsi="Arial Narrow"/>
          <w:sz w:val="20"/>
          <w:szCs w:val="20"/>
          <w:lang w:val="en-GB"/>
        </w:rPr>
        <w:t xml:space="preserve"> (</w:t>
      </w:r>
      <w:r w:rsidRPr="00D10FEB">
        <w:rPr>
          <w:rFonts w:ascii="Arial Narrow" w:hAnsi="Arial Narrow"/>
          <w:sz w:val="20"/>
          <w:szCs w:val="20"/>
          <w:lang w:val="en-GB"/>
        </w:rPr>
        <w:t>Green Lanes / SEED+, customs data exchange, e-freight pilots</w:t>
      </w:r>
      <w:r w:rsidR="0065205C" w:rsidRPr="00D10FEB">
        <w:rPr>
          <w:rFonts w:ascii="Arial Narrow" w:hAnsi="Arial Narrow"/>
          <w:sz w:val="20"/>
          <w:szCs w:val="20"/>
          <w:lang w:val="en-GB"/>
        </w:rPr>
        <w:t xml:space="preserve">). </w:t>
      </w:r>
    </w:p>
    <w:p w:rsidR="008B3E8F" w:rsidRPr="00D10FEB" w:rsidRDefault="008B3E8F" w:rsidP="008B3E8F">
      <w:pPr>
        <w:numPr>
          <w:ilvl w:val="0"/>
          <w:numId w:val="36"/>
        </w:numPr>
        <w:spacing w:before="100" w:beforeAutospacing="1" w:after="100" w:afterAutospacing="1"/>
        <w:rPr>
          <w:rFonts w:ascii="Arial Narrow" w:hAnsi="Arial Narrow"/>
          <w:sz w:val="20"/>
          <w:szCs w:val="20"/>
          <w:lang w:val="en-GB"/>
        </w:rPr>
      </w:pPr>
      <w:r w:rsidRPr="00D10FEB">
        <w:rPr>
          <w:rFonts w:ascii="Arial Narrow" w:hAnsi="Arial Narrow"/>
          <w:b/>
          <w:bCs/>
          <w:sz w:val="20"/>
          <w:szCs w:val="20"/>
          <w:lang w:val="en-GB"/>
        </w:rPr>
        <w:t xml:space="preserve">EUSAIR Pillar 5 Improved Social </w:t>
      </w:r>
      <w:r w:rsidRPr="00D10FEB">
        <w:rPr>
          <w:rFonts w:ascii="Arial Narrow" w:hAnsi="Arial Narrow"/>
          <w:sz w:val="20"/>
          <w:szCs w:val="20"/>
          <w:lang w:val="en-GB"/>
        </w:rPr>
        <w:t>Cohesion (skills, women’s economic empowerment)</w:t>
      </w:r>
      <w:r w:rsidR="0065205C" w:rsidRPr="00D10FEB">
        <w:rPr>
          <w:rFonts w:ascii="Arial Narrow" w:hAnsi="Arial Narrow"/>
          <w:sz w:val="20"/>
          <w:szCs w:val="20"/>
          <w:lang w:val="en-GB"/>
        </w:rPr>
        <w:t xml:space="preserve">: Partial alignment (skills/WE-empowerment). </w:t>
      </w:r>
    </w:p>
    <w:p w:rsidR="0065205C" w:rsidRPr="00D10FEB" w:rsidRDefault="008B3E8F" w:rsidP="008B3E8F">
      <w:pPr>
        <w:numPr>
          <w:ilvl w:val="0"/>
          <w:numId w:val="36"/>
        </w:numPr>
        <w:spacing w:before="100" w:beforeAutospacing="1" w:after="100" w:afterAutospacing="1"/>
        <w:rPr>
          <w:rFonts w:ascii="Arial Narrow" w:hAnsi="Arial Narrow"/>
          <w:sz w:val="20"/>
          <w:szCs w:val="20"/>
          <w:lang w:val="en-GB"/>
        </w:rPr>
      </w:pPr>
      <w:r w:rsidRPr="00D10FEB">
        <w:rPr>
          <w:rFonts w:ascii="Arial Narrow" w:hAnsi="Arial Narrow"/>
          <w:b/>
          <w:bCs/>
          <w:sz w:val="20"/>
          <w:szCs w:val="20"/>
          <w:lang w:val="en-GB"/>
        </w:rPr>
        <w:t xml:space="preserve">EUSAIR Pillar </w:t>
      </w:r>
      <w:r w:rsidR="0065205C" w:rsidRPr="00D10FEB">
        <w:rPr>
          <w:rFonts w:ascii="Arial Narrow" w:hAnsi="Arial Narrow"/>
          <w:b/>
          <w:bCs/>
          <w:sz w:val="20"/>
          <w:szCs w:val="20"/>
          <w:lang w:val="en-GB"/>
        </w:rPr>
        <w:t>4</w:t>
      </w:r>
      <w:r w:rsidRPr="00D10FEB">
        <w:rPr>
          <w:rFonts w:ascii="Arial Narrow" w:hAnsi="Arial Narrow"/>
          <w:b/>
          <w:bCs/>
          <w:sz w:val="20"/>
          <w:szCs w:val="20"/>
          <w:lang w:val="en-GB"/>
        </w:rPr>
        <w:t xml:space="preserve"> Sustainable Tourism</w:t>
      </w:r>
      <w:r w:rsidRPr="00D10FEB">
        <w:rPr>
          <w:rFonts w:ascii="Arial Narrow" w:hAnsi="Arial Narrow"/>
          <w:sz w:val="20"/>
          <w:szCs w:val="20"/>
          <w:lang w:val="en-GB"/>
        </w:rPr>
        <w:t xml:space="preserve"> </w:t>
      </w:r>
      <w:r w:rsidRPr="00D10FEB">
        <w:rPr>
          <w:rFonts w:ascii="Arial Narrow" w:hAnsi="Arial Narrow"/>
          <w:b/>
          <w:bCs/>
          <w:sz w:val="20"/>
          <w:szCs w:val="20"/>
          <w:lang w:val="en-GB"/>
        </w:rPr>
        <w:t>(fits 4.1 - 4.3).</w:t>
      </w:r>
      <w:r w:rsidR="0065205C" w:rsidRPr="00D10FEB">
        <w:rPr>
          <w:rFonts w:ascii="Arial Narrow" w:hAnsi="Arial Narrow"/>
          <w:b/>
          <w:bCs/>
          <w:sz w:val="20"/>
          <w:szCs w:val="20"/>
          <w:lang w:val="en-GB"/>
        </w:rPr>
        <w:t xml:space="preserve">: Partial alignment </w:t>
      </w:r>
      <w:r w:rsidR="0065205C" w:rsidRPr="00D10FEB">
        <w:rPr>
          <w:rFonts w:ascii="Arial Narrow" w:hAnsi="Arial Narrow"/>
          <w:sz w:val="20"/>
          <w:szCs w:val="20"/>
          <w:lang w:val="en-GB"/>
        </w:rPr>
        <w:t xml:space="preserve">(tourism policy cooperation). </w:t>
      </w:r>
    </w:p>
    <w:p w:rsidR="008B3E8F" w:rsidRPr="00D10FEB" w:rsidRDefault="008B3E8F" w:rsidP="008B3E8F">
      <w:pPr>
        <w:numPr>
          <w:ilvl w:val="0"/>
          <w:numId w:val="36"/>
        </w:numPr>
        <w:spacing w:before="100" w:beforeAutospacing="1" w:after="100" w:afterAutospacing="1"/>
        <w:rPr>
          <w:rFonts w:ascii="Arial Narrow" w:hAnsi="Arial Narrow"/>
          <w:b/>
          <w:bCs/>
          <w:sz w:val="20"/>
          <w:szCs w:val="20"/>
          <w:lang w:val="en-GB"/>
        </w:rPr>
      </w:pPr>
      <w:r w:rsidRPr="00D10FEB">
        <w:rPr>
          <w:rFonts w:ascii="Arial Narrow" w:hAnsi="Arial Narrow"/>
          <w:b/>
          <w:bCs/>
          <w:sz w:val="20"/>
          <w:szCs w:val="20"/>
          <w:lang w:val="en-GB"/>
        </w:rPr>
        <w:t>Pillar 1: No alignment.</w:t>
      </w:r>
    </w:p>
    <w:p w:rsidR="008B3E8F" w:rsidRPr="00D10FEB" w:rsidRDefault="008B3E8F" w:rsidP="008B3E8F">
      <w:pPr>
        <w:numPr>
          <w:ilvl w:val="0"/>
          <w:numId w:val="36"/>
        </w:numPr>
        <w:spacing w:before="100" w:beforeAutospacing="1" w:after="100" w:afterAutospacing="1"/>
        <w:rPr>
          <w:rFonts w:ascii="Arial Narrow" w:hAnsi="Arial Narrow"/>
          <w:b/>
          <w:bCs/>
          <w:sz w:val="20"/>
          <w:szCs w:val="20"/>
          <w:lang w:val="en-GB"/>
        </w:rPr>
      </w:pPr>
      <w:r w:rsidRPr="00D10FEB">
        <w:rPr>
          <w:rFonts w:ascii="Arial Narrow" w:hAnsi="Arial Narrow"/>
          <w:b/>
          <w:bCs/>
          <w:sz w:val="20"/>
          <w:szCs w:val="20"/>
          <w:lang w:val="en-GB"/>
        </w:rPr>
        <w:t>Pillar 3: No alignment.</w:t>
      </w:r>
    </w:p>
    <w:p w:rsidR="0065205C" w:rsidRPr="00D10FEB" w:rsidRDefault="0065205C" w:rsidP="00436823">
      <w:pPr>
        <w:rPr>
          <w:rFonts w:ascii="Arial Narrow" w:hAnsi="Arial Narrow"/>
          <w:b/>
          <w:bCs/>
          <w:lang w:val="en-GB"/>
        </w:rPr>
      </w:pPr>
      <w:r w:rsidRPr="00D10FEB">
        <w:rPr>
          <w:rFonts w:ascii="Arial Narrow" w:hAnsi="Arial Narrow"/>
          <w:b/>
          <w:bCs/>
          <w:lang w:val="en-GB"/>
        </w:rPr>
        <w:t xml:space="preserve">AF09 </w:t>
      </w:r>
      <w:r w:rsidR="00E45573" w:rsidRPr="00D10FEB">
        <w:rPr>
          <w:rFonts w:ascii="Arial Narrow" w:hAnsi="Arial Narrow"/>
          <w:b/>
          <w:bCs/>
          <w:lang w:val="en-GB"/>
        </w:rPr>
        <w:t>-</w:t>
      </w:r>
      <w:r w:rsidRPr="00D10FEB">
        <w:rPr>
          <w:rFonts w:ascii="Arial Narrow" w:hAnsi="Arial Narrow"/>
          <w:b/>
          <w:bCs/>
          <w:lang w:val="en-GB"/>
        </w:rPr>
        <w:t xml:space="preserve"> CBIB+ Phase V (2025)</w:t>
      </w:r>
    </w:p>
    <w:p w:rsidR="008B3E8F" w:rsidRPr="00D10FEB" w:rsidRDefault="0065205C" w:rsidP="00436823">
      <w:pPr>
        <w:pStyle w:val="ListParagraph"/>
        <w:numPr>
          <w:ilvl w:val="0"/>
          <w:numId w:val="45"/>
        </w:numPr>
        <w:spacing w:before="100" w:beforeAutospacing="1" w:after="100" w:afterAutospacing="1" w:line="240" w:lineRule="auto"/>
        <w:rPr>
          <w:rFonts w:ascii="Arial Narrow" w:eastAsia="Times New Roman" w:hAnsi="Arial Narrow" w:cs="Times New Roman"/>
          <w:kern w:val="0"/>
          <w:sz w:val="20"/>
          <w:szCs w:val="20"/>
          <w:lang w:val="en-GB" w:eastAsia="en-GB"/>
          <w14:ligatures w14:val="none"/>
        </w:rPr>
      </w:pPr>
      <w:r w:rsidRPr="00D10FEB">
        <w:rPr>
          <w:rFonts w:ascii="Arial Narrow" w:eastAsia="Times New Roman" w:hAnsi="Arial Narrow" w:cs="Times New Roman"/>
          <w:kern w:val="0"/>
          <w:sz w:val="20"/>
          <w:szCs w:val="20"/>
          <w:lang w:val="en-GB" w:eastAsia="en-GB"/>
          <w14:ligatures w14:val="none"/>
        </w:rPr>
        <w:t>Window: W5 Territorial &amp; cross-border cooperation</w:t>
      </w:r>
      <w:r w:rsidR="008B3E8F" w:rsidRPr="00D10FEB">
        <w:rPr>
          <w:rFonts w:ascii="Arial Narrow" w:eastAsia="Times New Roman" w:hAnsi="Arial Narrow" w:cs="Times New Roman"/>
          <w:kern w:val="0"/>
          <w:sz w:val="20"/>
          <w:szCs w:val="20"/>
          <w:lang w:val="en-GB" w:eastAsia="en-GB"/>
          <w14:ligatures w14:val="none"/>
        </w:rPr>
        <w:t>; EUR</w:t>
      </w:r>
      <w:r w:rsidRPr="00D10FEB">
        <w:rPr>
          <w:rFonts w:ascii="Arial Narrow" w:eastAsia="Times New Roman" w:hAnsi="Arial Narrow" w:cs="Times New Roman"/>
          <w:kern w:val="0"/>
          <w:sz w:val="20"/>
          <w:szCs w:val="20"/>
          <w:lang w:val="en-GB" w:eastAsia="en-GB"/>
          <w14:ligatures w14:val="none"/>
        </w:rPr>
        <w:t xml:space="preserve">: </w:t>
      </w:r>
      <w:r w:rsidR="00C6269C" w:rsidRPr="00D10FEB">
        <w:rPr>
          <w:rFonts w:ascii="Arial Narrow" w:eastAsia="Times New Roman" w:hAnsi="Arial Narrow" w:cs="Times New Roman"/>
          <w:kern w:val="0"/>
          <w:sz w:val="20"/>
          <w:szCs w:val="20"/>
          <w:lang w:val="en-GB" w:eastAsia="en-GB"/>
          <w14:ligatures w14:val="none"/>
        </w:rPr>
        <w:t xml:space="preserve">EUR </w:t>
      </w:r>
      <w:r w:rsidRPr="00D10FEB">
        <w:rPr>
          <w:rFonts w:ascii="Arial Narrow" w:eastAsia="Times New Roman" w:hAnsi="Arial Narrow" w:cs="Times New Roman"/>
          <w:kern w:val="0"/>
          <w:sz w:val="20"/>
          <w:szCs w:val="20"/>
          <w:lang w:val="en-GB" w:eastAsia="en-GB"/>
          <w14:ligatures w14:val="none"/>
        </w:rPr>
        <w:t xml:space="preserve">3m. </w:t>
      </w:r>
    </w:p>
    <w:p w:rsidR="0065205C" w:rsidRPr="00D10FEB" w:rsidRDefault="0065205C" w:rsidP="00436823">
      <w:pPr>
        <w:pStyle w:val="ListParagraph"/>
        <w:numPr>
          <w:ilvl w:val="0"/>
          <w:numId w:val="45"/>
        </w:numPr>
        <w:spacing w:before="100" w:beforeAutospacing="1" w:after="100" w:afterAutospacing="1" w:line="240" w:lineRule="auto"/>
        <w:rPr>
          <w:rFonts w:ascii="Arial Narrow" w:eastAsia="Times New Roman" w:hAnsi="Arial Narrow" w:cs="Times New Roman"/>
          <w:kern w:val="0"/>
          <w:sz w:val="20"/>
          <w:szCs w:val="20"/>
          <w:lang w:val="en-GB" w:eastAsia="en-GB"/>
          <w14:ligatures w14:val="none"/>
        </w:rPr>
      </w:pPr>
      <w:r w:rsidRPr="00D10FEB">
        <w:rPr>
          <w:rFonts w:ascii="Arial Narrow" w:eastAsia="Times New Roman" w:hAnsi="Arial Narrow" w:cs="Times New Roman"/>
          <w:b/>
          <w:bCs/>
          <w:kern w:val="0"/>
          <w:sz w:val="20"/>
          <w:szCs w:val="20"/>
          <w:lang w:val="en-GB" w:eastAsia="en-GB"/>
          <w14:ligatures w14:val="none"/>
        </w:rPr>
        <w:t>W</w:t>
      </w:r>
      <w:r w:rsidR="008B3E8F" w:rsidRPr="00D10FEB">
        <w:rPr>
          <w:rFonts w:ascii="Arial Narrow" w:eastAsia="Times New Roman" w:hAnsi="Arial Narrow" w:cs="Times New Roman"/>
          <w:b/>
          <w:bCs/>
          <w:kern w:val="0"/>
          <w:sz w:val="20"/>
          <w:szCs w:val="20"/>
          <w:lang w:val="en-GB" w:eastAsia="en-GB"/>
          <w14:ligatures w14:val="none"/>
        </w:rPr>
        <w:t xml:space="preserve">indow </w:t>
      </w:r>
      <w:r w:rsidRPr="00D10FEB">
        <w:rPr>
          <w:rFonts w:ascii="Arial Narrow" w:eastAsia="Times New Roman" w:hAnsi="Arial Narrow" w:cs="Times New Roman"/>
          <w:b/>
          <w:bCs/>
          <w:kern w:val="0"/>
          <w:sz w:val="20"/>
          <w:szCs w:val="20"/>
          <w:lang w:val="en-GB" w:eastAsia="en-GB"/>
          <w14:ligatures w14:val="none"/>
        </w:rPr>
        <w:t xml:space="preserve">5 TA </w:t>
      </w:r>
      <w:r w:rsidR="008B3E8F" w:rsidRPr="00D10FEB">
        <w:rPr>
          <w:rFonts w:ascii="Arial Narrow" w:eastAsia="Times New Roman" w:hAnsi="Arial Narrow" w:cs="Times New Roman"/>
          <w:b/>
          <w:bCs/>
          <w:kern w:val="0"/>
          <w:sz w:val="20"/>
          <w:szCs w:val="20"/>
          <w:lang w:val="en-GB" w:eastAsia="en-GB"/>
          <w14:ligatures w14:val="none"/>
        </w:rPr>
        <w:t>-</w:t>
      </w:r>
      <w:r w:rsidRPr="00D10FEB">
        <w:rPr>
          <w:rFonts w:ascii="Arial Narrow" w:eastAsia="Times New Roman" w:hAnsi="Arial Narrow" w:cs="Times New Roman"/>
          <w:b/>
          <w:bCs/>
          <w:kern w:val="0"/>
          <w:sz w:val="20"/>
          <w:szCs w:val="20"/>
          <w:lang w:val="en-GB" w:eastAsia="en-GB"/>
          <w14:ligatures w14:val="none"/>
        </w:rPr>
        <w:t xml:space="preserve"> Not assessed (method scope)</w:t>
      </w:r>
      <w:r w:rsidR="008B3E8F" w:rsidRPr="00D10FEB">
        <w:rPr>
          <w:rFonts w:ascii="Arial Narrow" w:eastAsia="Times New Roman" w:hAnsi="Arial Narrow" w:cs="Times New Roman"/>
          <w:b/>
          <w:bCs/>
          <w:kern w:val="0"/>
          <w:sz w:val="20"/>
          <w:szCs w:val="20"/>
          <w:lang w:val="en-GB" w:eastAsia="en-GB"/>
          <w14:ligatures w14:val="none"/>
        </w:rPr>
        <w:t>;</w:t>
      </w:r>
      <w:r w:rsidR="008B3E8F" w:rsidRPr="00D10FEB">
        <w:rPr>
          <w:rFonts w:ascii="Arial Narrow" w:eastAsia="Times New Roman" w:hAnsi="Arial Narrow" w:cs="Times New Roman"/>
          <w:kern w:val="0"/>
          <w:sz w:val="20"/>
          <w:szCs w:val="20"/>
          <w:lang w:val="en-GB" w:eastAsia="en-GB"/>
          <w14:ligatures w14:val="none"/>
        </w:rPr>
        <w:t xml:space="preserve"> </w:t>
      </w:r>
      <w:r w:rsidRPr="00D10FEB">
        <w:rPr>
          <w:rFonts w:ascii="Arial Narrow" w:eastAsia="Times New Roman" w:hAnsi="Arial Narrow" w:cs="Times New Roman"/>
          <w:kern w:val="0"/>
          <w:sz w:val="20"/>
          <w:szCs w:val="20"/>
          <w:lang w:val="en-GB" w:eastAsia="en-GB"/>
          <w14:ligatures w14:val="none"/>
        </w:rPr>
        <w:t xml:space="preserve">technical assistance to IPA-IPA CBC structures (performance, local-authority participation, networking). Not an EUSAIR action itself. </w:t>
      </w:r>
    </w:p>
    <w:p w:rsidR="0065205C" w:rsidRPr="00D10FEB" w:rsidRDefault="0065205C" w:rsidP="00436823">
      <w:pPr>
        <w:rPr>
          <w:rFonts w:ascii="Arial Narrow" w:hAnsi="Arial Narrow"/>
          <w:b/>
          <w:bCs/>
          <w:lang w:val="en-GB"/>
        </w:rPr>
      </w:pPr>
      <w:r w:rsidRPr="00D10FEB">
        <w:rPr>
          <w:rFonts w:ascii="Arial Narrow" w:hAnsi="Arial Narrow"/>
          <w:b/>
          <w:bCs/>
          <w:lang w:val="en-GB"/>
        </w:rPr>
        <w:t xml:space="preserve">AF </w:t>
      </w:r>
      <w:r w:rsidR="00E45573" w:rsidRPr="00D10FEB">
        <w:rPr>
          <w:rFonts w:ascii="Arial Narrow" w:hAnsi="Arial Narrow"/>
          <w:b/>
          <w:bCs/>
          <w:lang w:val="en-GB"/>
        </w:rPr>
        <w:t>-</w:t>
      </w:r>
      <w:r w:rsidRPr="00D10FEB">
        <w:rPr>
          <w:rFonts w:ascii="Arial Narrow" w:hAnsi="Arial Narrow"/>
          <w:b/>
          <w:bCs/>
          <w:lang w:val="en-GB"/>
        </w:rPr>
        <w:t xml:space="preserve"> Civil Society Facility &amp; Media (2026–2027)</w:t>
      </w:r>
    </w:p>
    <w:p w:rsidR="008B3E8F" w:rsidRPr="00D10FEB" w:rsidRDefault="0065205C" w:rsidP="00436823">
      <w:pPr>
        <w:pStyle w:val="ListParagraph"/>
        <w:numPr>
          <w:ilvl w:val="0"/>
          <w:numId w:val="46"/>
        </w:numPr>
        <w:spacing w:before="100" w:beforeAutospacing="1" w:after="100" w:afterAutospacing="1" w:line="240" w:lineRule="auto"/>
        <w:rPr>
          <w:rFonts w:ascii="Arial Narrow" w:eastAsia="Times New Roman" w:hAnsi="Arial Narrow" w:cs="Times New Roman"/>
          <w:kern w:val="0"/>
          <w:sz w:val="20"/>
          <w:szCs w:val="20"/>
          <w:lang w:val="en-GB" w:eastAsia="en-GB"/>
          <w14:ligatures w14:val="none"/>
        </w:rPr>
      </w:pPr>
      <w:r w:rsidRPr="00D10FEB">
        <w:rPr>
          <w:rFonts w:ascii="Arial Narrow" w:eastAsia="Times New Roman" w:hAnsi="Arial Narrow" w:cs="Times New Roman"/>
          <w:kern w:val="0"/>
          <w:sz w:val="20"/>
          <w:szCs w:val="20"/>
          <w:lang w:val="en-GB" w:eastAsia="en-GB"/>
          <w14:ligatures w14:val="none"/>
        </w:rPr>
        <w:t>Window</w:t>
      </w:r>
      <w:r w:rsidR="00436823" w:rsidRPr="00D10FEB">
        <w:rPr>
          <w:rFonts w:ascii="Arial Narrow" w:eastAsia="Times New Roman" w:hAnsi="Arial Narrow" w:cs="Times New Roman"/>
          <w:kern w:val="0"/>
          <w:sz w:val="20"/>
          <w:szCs w:val="20"/>
          <w:lang w:val="en-GB" w:eastAsia="en-GB"/>
          <w14:ligatures w14:val="none"/>
        </w:rPr>
        <w:t xml:space="preserve"> </w:t>
      </w:r>
      <w:r w:rsidRPr="00D10FEB">
        <w:rPr>
          <w:rFonts w:ascii="Arial Narrow" w:eastAsia="Times New Roman" w:hAnsi="Arial Narrow" w:cs="Times New Roman"/>
          <w:kern w:val="0"/>
          <w:sz w:val="20"/>
          <w:szCs w:val="20"/>
          <w:lang w:val="en-GB" w:eastAsia="en-GB"/>
          <w14:ligatures w14:val="none"/>
        </w:rPr>
        <w:t>1 (TP5 Fundamental rights &amp; Civil Society)</w:t>
      </w:r>
      <w:r w:rsidR="008B3E8F" w:rsidRPr="00D10FEB">
        <w:rPr>
          <w:rFonts w:ascii="Arial Narrow" w:eastAsia="Times New Roman" w:hAnsi="Arial Narrow" w:cs="Times New Roman"/>
          <w:kern w:val="0"/>
          <w:sz w:val="20"/>
          <w:szCs w:val="20"/>
          <w:lang w:val="en-GB" w:eastAsia="en-GB"/>
          <w14:ligatures w14:val="none"/>
        </w:rPr>
        <w:t>; EUR</w:t>
      </w:r>
      <w:r w:rsidRPr="00D10FEB">
        <w:rPr>
          <w:rFonts w:ascii="Arial Narrow" w:eastAsia="Times New Roman" w:hAnsi="Arial Narrow" w:cs="Times New Roman"/>
          <w:kern w:val="0"/>
          <w:sz w:val="20"/>
          <w:szCs w:val="20"/>
          <w:lang w:val="en-GB" w:eastAsia="en-GB"/>
          <w14:ligatures w14:val="none"/>
        </w:rPr>
        <w:t xml:space="preserve">: </w:t>
      </w:r>
      <w:r w:rsidR="00C6269C" w:rsidRPr="00D10FEB">
        <w:rPr>
          <w:rFonts w:ascii="Arial Narrow" w:eastAsia="Times New Roman" w:hAnsi="Arial Narrow" w:cs="Times New Roman"/>
          <w:kern w:val="0"/>
          <w:sz w:val="20"/>
          <w:szCs w:val="20"/>
          <w:lang w:val="en-GB" w:eastAsia="en-GB"/>
          <w14:ligatures w14:val="none"/>
        </w:rPr>
        <w:t xml:space="preserve">EUR </w:t>
      </w:r>
      <w:r w:rsidRPr="00D10FEB">
        <w:rPr>
          <w:rFonts w:ascii="Arial Narrow" w:eastAsia="Times New Roman" w:hAnsi="Arial Narrow" w:cs="Times New Roman"/>
          <w:kern w:val="0"/>
          <w:sz w:val="20"/>
          <w:szCs w:val="20"/>
          <w:lang w:val="en-GB" w:eastAsia="en-GB"/>
          <w14:ligatures w14:val="none"/>
        </w:rPr>
        <w:t xml:space="preserve">27.5m. </w:t>
      </w:r>
    </w:p>
    <w:p w:rsidR="0065205C" w:rsidRPr="00D10FEB" w:rsidRDefault="0065205C" w:rsidP="00436823">
      <w:pPr>
        <w:pStyle w:val="ListParagraph"/>
        <w:numPr>
          <w:ilvl w:val="0"/>
          <w:numId w:val="46"/>
        </w:numPr>
        <w:spacing w:before="100" w:beforeAutospacing="1" w:after="100" w:afterAutospacing="1" w:line="240" w:lineRule="auto"/>
        <w:rPr>
          <w:rFonts w:ascii="Arial Narrow" w:eastAsia="Times New Roman" w:hAnsi="Arial Narrow" w:cs="Times New Roman"/>
          <w:b/>
          <w:bCs/>
          <w:kern w:val="0"/>
          <w:sz w:val="20"/>
          <w:szCs w:val="20"/>
          <w:lang w:val="en-GB" w:eastAsia="en-GB"/>
          <w14:ligatures w14:val="none"/>
        </w:rPr>
      </w:pPr>
      <w:r w:rsidRPr="00D10FEB">
        <w:rPr>
          <w:rFonts w:ascii="Arial Narrow" w:eastAsia="Times New Roman" w:hAnsi="Arial Narrow" w:cs="Times New Roman"/>
          <w:b/>
          <w:bCs/>
          <w:kern w:val="0"/>
          <w:sz w:val="20"/>
          <w:szCs w:val="20"/>
          <w:lang w:val="en-GB" w:eastAsia="en-GB"/>
          <w14:ligatures w14:val="none"/>
        </w:rPr>
        <w:t>W</w:t>
      </w:r>
      <w:r w:rsidR="008B3E8F" w:rsidRPr="00D10FEB">
        <w:rPr>
          <w:rFonts w:ascii="Arial Narrow" w:eastAsia="Times New Roman" w:hAnsi="Arial Narrow" w:cs="Times New Roman"/>
          <w:b/>
          <w:bCs/>
          <w:kern w:val="0"/>
          <w:sz w:val="20"/>
          <w:szCs w:val="20"/>
          <w:lang w:val="en-GB" w:eastAsia="en-GB"/>
          <w14:ligatures w14:val="none"/>
        </w:rPr>
        <w:t xml:space="preserve">indow </w:t>
      </w:r>
      <w:r w:rsidRPr="00D10FEB">
        <w:rPr>
          <w:rFonts w:ascii="Arial Narrow" w:eastAsia="Times New Roman" w:hAnsi="Arial Narrow" w:cs="Times New Roman"/>
          <w:b/>
          <w:bCs/>
          <w:kern w:val="0"/>
          <w:sz w:val="20"/>
          <w:szCs w:val="20"/>
          <w:lang w:val="en-GB" w:eastAsia="en-GB"/>
          <w14:ligatures w14:val="none"/>
        </w:rPr>
        <w:t xml:space="preserve">1 </w:t>
      </w:r>
      <w:r w:rsidR="008B3E8F" w:rsidRPr="00D10FEB">
        <w:rPr>
          <w:rFonts w:ascii="Arial Narrow" w:eastAsia="Times New Roman" w:hAnsi="Arial Narrow" w:cs="Times New Roman"/>
          <w:b/>
          <w:bCs/>
          <w:kern w:val="0"/>
          <w:sz w:val="20"/>
          <w:szCs w:val="20"/>
          <w:lang w:val="en-GB" w:eastAsia="en-GB"/>
          <w14:ligatures w14:val="none"/>
        </w:rPr>
        <w:t>-</w:t>
      </w:r>
      <w:r w:rsidRPr="00D10FEB">
        <w:rPr>
          <w:rFonts w:ascii="Arial Narrow" w:eastAsia="Times New Roman" w:hAnsi="Arial Narrow" w:cs="Times New Roman"/>
          <w:b/>
          <w:bCs/>
          <w:kern w:val="0"/>
          <w:sz w:val="20"/>
          <w:szCs w:val="20"/>
          <w:lang w:val="en-GB" w:eastAsia="en-GB"/>
          <w14:ligatures w14:val="none"/>
        </w:rPr>
        <w:t xml:space="preserve"> Not assessed (method scope).</w:t>
      </w:r>
    </w:p>
    <w:p w:rsidR="0065205C" w:rsidRPr="00D10FEB" w:rsidRDefault="0065205C" w:rsidP="0065205C">
      <w:pPr>
        <w:spacing w:before="100" w:beforeAutospacing="1" w:after="100" w:afterAutospacing="1"/>
        <w:outlineLvl w:val="0"/>
        <w:rPr>
          <w:rFonts w:ascii="Arial Narrow" w:hAnsi="Arial Narrow"/>
          <w:kern w:val="36"/>
          <w:sz w:val="20"/>
          <w:szCs w:val="20"/>
          <w:lang w:val="en-GB"/>
        </w:rPr>
      </w:pPr>
    </w:p>
    <w:sectPr w:rsidR="0065205C" w:rsidRPr="00D10FEB" w:rsidSect="00616B04">
      <w:headerReference w:type="default" r:id="rId8"/>
      <w:footerReference w:type="default" r:id="rId9"/>
      <w:headerReference w:type="first" r:id="rId10"/>
      <w:pgSz w:w="11906" w:h="16838"/>
      <w:pgMar w:top="1440" w:right="1440" w:bottom="1440" w:left="1440" w:header="708" w:footer="708" w:gutter="0"/>
      <w:pgBorders w:display="firstPage" w:offsetFrom="page">
        <w:top w:val="single" w:sz="4" w:space="24" w:color="4C94D8" w:themeColor="text2" w:themeTint="80"/>
        <w:left w:val="single" w:sz="4" w:space="24" w:color="4C94D8" w:themeColor="text2" w:themeTint="80"/>
        <w:bottom w:val="single" w:sz="4" w:space="24" w:color="4C94D8" w:themeColor="text2" w:themeTint="80"/>
        <w:right w:val="single" w:sz="4" w:space="24" w:color="4C94D8" w:themeColor="text2" w:themeTint="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55E9" w:rsidRDefault="00DE55E9" w:rsidP="00E45573">
      <w:r>
        <w:separator/>
      </w:r>
    </w:p>
  </w:endnote>
  <w:endnote w:type="continuationSeparator" w:id="0">
    <w:p w:rsidR="00DE55E9" w:rsidRDefault="00DE55E9" w:rsidP="00E45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650668"/>
      <w:docPartObj>
        <w:docPartGallery w:val="Page Numbers (Bottom of Page)"/>
        <w:docPartUnique/>
      </w:docPartObj>
    </w:sdtPr>
    <w:sdtContent>
      <w:p w:rsidR="00CE7105" w:rsidRDefault="00CE7105">
        <w:pPr>
          <w:pStyle w:val="Footer"/>
          <w:jc w:val="center"/>
        </w:pPr>
        <w:r>
          <w:fldChar w:fldCharType="begin"/>
        </w:r>
        <w:r>
          <w:instrText>PAGE   \* MERGEFORMAT</w:instrText>
        </w:r>
        <w:r>
          <w:fldChar w:fldCharType="separate"/>
        </w:r>
        <w:r>
          <w:t>2</w:t>
        </w:r>
        <w:r>
          <w:fldChar w:fldCharType="end"/>
        </w:r>
      </w:p>
    </w:sdtContent>
  </w:sdt>
  <w:p w:rsidR="00CE7105" w:rsidRDefault="00CE7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55E9" w:rsidRDefault="00DE55E9" w:rsidP="00E45573">
      <w:r>
        <w:separator/>
      </w:r>
    </w:p>
  </w:footnote>
  <w:footnote w:type="continuationSeparator" w:id="0">
    <w:p w:rsidR="00DE55E9" w:rsidRDefault="00DE55E9" w:rsidP="00E45573">
      <w:r>
        <w:continuationSeparator/>
      </w:r>
    </w:p>
  </w:footnote>
  <w:footnote w:id="1">
    <w:p w:rsidR="00E45573" w:rsidRPr="00CE7105" w:rsidRDefault="00E45573" w:rsidP="00E45573">
      <w:pPr>
        <w:pStyle w:val="FootnoteText"/>
        <w:rPr>
          <w:rFonts w:ascii="Arial Narrow" w:hAnsi="Arial Narrow"/>
          <w:sz w:val="16"/>
          <w:szCs w:val="16"/>
          <w:lang w:val="en-GB"/>
        </w:rPr>
      </w:pPr>
      <w:r w:rsidRPr="00E45573">
        <w:rPr>
          <w:rStyle w:val="FootnoteReference"/>
          <w:rFonts w:ascii="Arial Narrow" w:hAnsi="Arial Narrow"/>
          <w:sz w:val="16"/>
          <w:szCs w:val="16"/>
        </w:rPr>
        <w:footnoteRef/>
      </w:r>
      <w:r w:rsidRPr="00CE7105">
        <w:rPr>
          <w:rFonts w:ascii="Arial Narrow" w:hAnsi="Arial Narrow"/>
          <w:sz w:val="16"/>
          <w:szCs w:val="16"/>
          <w:lang w:val="en-GB"/>
        </w:rPr>
        <w:t xml:space="preserve"> Actions are selected based on a prior IPA-EUSAIR windows mapping; only windows with strong synergies were assessed, so Windows 1 &amp; 2 are excluded from the alignment exercise. Alignment scale used in the report:  Direct alignment; Partial alignment; Complementary objectives; No alignment.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105" w:rsidRDefault="00CE7105">
    <w:pPr>
      <w:pStyle w:val="Header"/>
    </w:pPr>
    <w:r>
      <w:rPr>
        <w:noProof/>
      </w:rPr>
      <w:drawing>
        <wp:anchor distT="0" distB="0" distL="114300" distR="114300" simplePos="0" relativeHeight="251661312" behindDoc="0" locked="0" layoutInCell="1" allowOverlap="1" wp14:anchorId="4F6684C5" wp14:editId="1E42E16B">
          <wp:simplePos x="0" y="0"/>
          <wp:positionH relativeFrom="page">
            <wp:align>right</wp:align>
          </wp:positionH>
          <wp:positionV relativeFrom="paragraph">
            <wp:posOffset>-450215</wp:posOffset>
          </wp:positionV>
          <wp:extent cx="964800" cy="428400"/>
          <wp:effectExtent l="0" t="0" r="6985" b="0"/>
          <wp:wrapNone/>
          <wp:docPr id="23" name="Immagine 5">
            <a:extLst xmlns:a="http://schemas.openxmlformats.org/drawingml/2006/main">
              <a:ext uri="{FF2B5EF4-FFF2-40B4-BE49-F238E27FC236}">
                <a16:creationId xmlns:a16="http://schemas.microsoft.com/office/drawing/2014/main" id="{3CD47036-F635-4D35-A4CE-263EB90F1A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5">
                    <a:extLst>
                      <a:ext uri="{FF2B5EF4-FFF2-40B4-BE49-F238E27FC236}">
                        <a16:creationId xmlns:a16="http://schemas.microsoft.com/office/drawing/2014/main" id="{3CD47036-F635-4D35-A4CE-263EB90F1A85}"/>
                      </a:ext>
                    </a:extLst>
                  </pic:cNvPr>
                  <pic:cNvPicPr preferRelativeResize="0">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64800" cy="428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66CAD6CE" wp14:editId="5F0F7C6A">
          <wp:simplePos x="0" y="0"/>
          <wp:positionH relativeFrom="page">
            <wp:align>left</wp:align>
          </wp:positionH>
          <wp:positionV relativeFrom="paragraph">
            <wp:posOffset>-450215</wp:posOffset>
          </wp:positionV>
          <wp:extent cx="5050754" cy="579120"/>
          <wp:effectExtent l="0" t="0" r="0" b="0"/>
          <wp:wrapNone/>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50754" cy="57912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105" w:rsidRDefault="00616B04">
    <w:pPr>
      <w:pStyle w:val="Header"/>
    </w:pPr>
    <w:r>
      <w:rPr>
        <w:noProof/>
      </w:rPr>
      <w:drawing>
        <wp:anchor distT="0" distB="0" distL="114300" distR="114300" simplePos="0" relativeHeight="251665408" behindDoc="0" locked="0" layoutInCell="1" allowOverlap="1" wp14:anchorId="3C05E33D" wp14:editId="1D2931BE">
          <wp:simplePos x="0" y="0"/>
          <wp:positionH relativeFrom="page">
            <wp:posOffset>6294120</wp:posOffset>
          </wp:positionH>
          <wp:positionV relativeFrom="paragraph">
            <wp:posOffset>-137795</wp:posOffset>
          </wp:positionV>
          <wp:extent cx="964800" cy="428400"/>
          <wp:effectExtent l="0" t="0" r="6985" b="0"/>
          <wp:wrapNone/>
          <wp:docPr id="2" name="Immagine 5">
            <a:extLst xmlns:a="http://schemas.openxmlformats.org/drawingml/2006/main">
              <a:ext uri="{FF2B5EF4-FFF2-40B4-BE49-F238E27FC236}">
                <a16:creationId xmlns:a16="http://schemas.microsoft.com/office/drawing/2014/main" id="{3CD47036-F635-4D35-A4CE-263EB90F1A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5">
                    <a:extLst>
                      <a:ext uri="{FF2B5EF4-FFF2-40B4-BE49-F238E27FC236}">
                        <a16:creationId xmlns:a16="http://schemas.microsoft.com/office/drawing/2014/main" id="{3CD47036-F635-4D35-A4CE-263EB90F1A85}"/>
                      </a:ext>
                    </a:extLst>
                  </pic:cNvPr>
                  <pic:cNvPicPr preferRelativeResize="0">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64800" cy="428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6F3DE9EB" wp14:editId="6DE90DB3">
          <wp:simplePos x="0" y="0"/>
          <wp:positionH relativeFrom="page">
            <wp:posOffset>312420</wp:posOffset>
          </wp:positionH>
          <wp:positionV relativeFrom="paragraph">
            <wp:posOffset>-120650</wp:posOffset>
          </wp:positionV>
          <wp:extent cx="5050754" cy="57912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50754" cy="57912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47E53"/>
    <w:multiLevelType w:val="multilevel"/>
    <w:tmpl w:val="3582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C126A"/>
    <w:multiLevelType w:val="multilevel"/>
    <w:tmpl w:val="2A184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075B5"/>
    <w:multiLevelType w:val="multilevel"/>
    <w:tmpl w:val="029A2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217FE"/>
    <w:multiLevelType w:val="hybridMultilevel"/>
    <w:tmpl w:val="28525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0001E"/>
    <w:multiLevelType w:val="multilevel"/>
    <w:tmpl w:val="6352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A86182"/>
    <w:multiLevelType w:val="multilevel"/>
    <w:tmpl w:val="E8CA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375D18"/>
    <w:multiLevelType w:val="multilevel"/>
    <w:tmpl w:val="3EB4E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CC40EB"/>
    <w:multiLevelType w:val="multilevel"/>
    <w:tmpl w:val="73E6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45274D"/>
    <w:multiLevelType w:val="multilevel"/>
    <w:tmpl w:val="EA487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036EEA"/>
    <w:multiLevelType w:val="multilevel"/>
    <w:tmpl w:val="9A70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3C43B7"/>
    <w:multiLevelType w:val="multilevel"/>
    <w:tmpl w:val="F590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FA4847"/>
    <w:multiLevelType w:val="multilevel"/>
    <w:tmpl w:val="0FD82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0248E4"/>
    <w:multiLevelType w:val="multilevel"/>
    <w:tmpl w:val="2A3E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1B4235"/>
    <w:multiLevelType w:val="multilevel"/>
    <w:tmpl w:val="396EA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862B26"/>
    <w:multiLevelType w:val="hybridMultilevel"/>
    <w:tmpl w:val="0DC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A25335"/>
    <w:multiLevelType w:val="multilevel"/>
    <w:tmpl w:val="B19E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442904"/>
    <w:multiLevelType w:val="multilevel"/>
    <w:tmpl w:val="7B781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4A7D75"/>
    <w:multiLevelType w:val="multilevel"/>
    <w:tmpl w:val="741A6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70770A"/>
    <w:multiLevelType w:val="multilevel"/>
    <w:tmpl w:val="3ABCB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6503FA"/>
    <w:multiLevelType w:val="hybridMultilevel"/>
    <w:tmpl w:val="8F868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8F5C93"/>
    <w:multiLevelType w:val="multilevel"/>
    <w:tmpl w:val="85D83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2E2147"/>
    <w:multiLevelType w:val="hybridMultilevel"/>
    <w:tmpl w:val="A57CE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A37A3E"/>
    <w:multiLevelType w:val="multilevel"/>
    <w:tmpl w:val="DABE5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C42F1D"/>
    <w:multiLevelType w:val="multilevel"/>
    <w:tmpl w:val="67F2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AA1F29"/>
    <w:multiLevelType w:val="hybridMultilevel"/>
    <w:tmpl w:val="4A864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90279B"/>
    <w:multiLevelType w:val="multilevel"/>
    <w:tmpl w:val="490E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526CF9"/>
    <w:multiLevelType w:val="multilevel"/>
    <w:tmpl w:val="C942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5E3897"/>
    <w:multiLevelType w:val="multilevel"/>
    <w:tmpl w:val="5EFA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6332E3"/>
    <w:multiLevelType w:val="multilevel"/>
    <w:tmpl w:val="E672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0E445F"/>
    <w:multiLevelType w:val="multilevel"/>
    <w:tmpl w:val="7B8E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7B19A9"/>
    <w:multiLevelType w:val="hybridMultilevel"/>
    <w:tmpl w:val="5D1C8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2E5163"/>
    <w:multiLevelType w:val="multilevel"/>
    <w:tmpl w:val="08305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787EE9"/>
    <w:multiLevelType w:val="multilevel"/>
    <w:tmpl w:val="2E4A2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8C0898"/>
    <w:multiLevelType w:val="hybridMultilevel"/>
    <w:tmpl w:val="B4327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A31DA7"/>
    <w:multiLevelType w:val="multilevel"/>
    <w:tmpl w:val="85F81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165B17"/>
    <w:multiLevelType w:val="multilevel"/>
    <w:tmpl w:val="8656F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050ACC"/>
    <w:multiLevelType w:val="multilevel"/>
    <w:tmpl w:val="EA3CB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0E627B"/>
    <w:multiLevelType w:val="multilevel"/>
    <w:tmpl w:val="BB880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F85E56"/>
    <w:multiLevelType w:val="multilevel"/>
    <w:tmpl w:val="AF584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9E5DF9"/>
    <w:multiLevelType w:val="multilevel"/>
    <w:tmpl w:val="B9FA6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9B7311"/>
    <w:multiLevelType w:val="hybridMultilevel"/>
    <w:tmpl w:val="4260D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AC3E87"/>
    <w:multiLevelType w:val="multilevel"/>
    <w:tmpl w:val="0A748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72528B"/>
    <w:multiLevelType w:val="multilevel"/>
    <w:tmpl w:val="B5668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A101E8"/>
    <w:multiLevelType w:val="multilevel"/>
    <w:tmpl w:val="7AE4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D429FA"/>
    <w:multiLevelType w:val="multilevel"/>
    <w:tmpl w:val="0C0CA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F3082B"/>
    <w:multiLevelType w:val="multilevel"/>
    <w:tmpl w:val="104A2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3913301">
    <w:abstractNumId w:val="31"/>
  </w:num>
  <w:num w:numId="2" w16cid:durableId="1644774325">
    <w:abstractNumId w:val="23"/>
  </w:num>
  <w:num w:numId="3" w16cid:durableId="1696035895">
    <w:abstractNumId w:val="34"/>
  </w:num>
  <w:num w:numId="4" w16cid:durableId="1921715558">
    <w:abstractNumId w:val="15"/>
  </w:num>
  <w:num w:numId="5" w16cid:durableId="1731733274">
    <w:abstractNumId w:val="29"/>
  </w:num>
  <w:num w:numId="6" w16cid:durableId="25955533">
    <w:abstractNumId w:val="17"/>
  </w:num>
  <w:num w:numId="7" w16cid:durableId="111291367">
    <w:abstractNumId w:val="5"/>
  </w:num>
  <w:num w:numId="8" w16cid:durableId="1663003220">
    <w:abstractNumId w:val="38"/>
  </w:num>
  <w:num w:numId="9" w16cid:durableId="346753257">
    <w:abstractNumId w:val="32"/>
  </w:num>
  <w:num w:numId="10" w16cid:durableId="1068652173">
    <w:abstractNumId w:val="6"/>
  </w:num>
  <w:num w:numId="11" w16cid:durableId="1149204761">
    <w:abstractNumId w:val="8"/>
  </w:num>
  <w:num w:numId="12" w16cid:durableId="1242176581">
    <w:abstractNumId w:val="26"/>
  </w:num>
  <w:num w:numId="13" w16cid:durableId="695345915">
    <w:abstractNumId w:val="9"/>
  </w:num>
  <w:num w:numId="14" w16cid:durableId="915821983">
    <w:abstractNumId w:val="41"/>
  </w:num>
  <w:num w:numId="15" w16cid:durableId="541134766">
    <w:abstractNumId w:val="13"/>
  </w:num>
  <w:num w:numId="16" w16cid:durableId="330185668">
    <w:abstractNumId w:val="42"/>
  </w:num>
  <w:num w:numId="17" w16cid:durableId="834491109">
    <w:abstractNumId w:val="18"/>
  </w:num>
  <w:num w:numId="18" w16cid:durableId="1980066938">
    <w:abstractNumId w:val="25"/>
  </w:num>
  <w:num w:numId="19" w16cid:durableId="1603684068">
    <w:abstractNumId w:val="20"/>
  </w:num>
  <w:num w:numId="20" w16cid:durableId="1202981472">
    <w:abstractNumId w:val="44"/>
  </w:num>
  <w:num w:numId="21" w16cid:durableId="135345947">
    <w:abstractNumId w:val="36"/>
  </w:num>
  <w:num w:numId="22" w16cid:durableId="661854076">
    <w:abstractNumId w:val="22"/>
  </w:num>
  <w:num w:numId="23" w16cid:durableId="1800418114">
    <w:abstractNumId w:val="4"/>
  </w:num>
  <w:num w:numId="24" w16cid:durableId="1901599778">
    <w:abstractNumId w:val="45"/>
  </w:num>
  <w:num w:numId="25" w16cid:durableId="1479304680">
    <w:abstractNumId w:val="39"/>
  </w:num>
  <w:num w:numId="26" w16cid:durableId="460419582">
    <w:abstractNumId w:val="1"/>
  </w:num>
  <w:num w:numId="27" w16cid:durableId="733968137">
    <w:abstractNumId w:val="2"/>
  </w:num>
  <w:num w:numId="28" w16cid:durableId="600379455">
    <w:abstractNumId w:val="7"/>
  </w:num>
  <w:num w:numId="29" w16cid:durableId="1036811652">
    <w:abstractNumId w:val="0"/>
  </w:num>
  <w:num w:numId="30" w16cid:durableId="2125926507">
    <w:abstractNumId w:val="43"/>
  </w:num>
  <w:num w:numId="31" w16cid:durableId="1989285372">
    <w:abstractNumId w:val="35"/>
  </w:num>
  <w:num w:numId="32" w16cid:durableId="1377508053">
    <w:abstractNumId w:val="10"/>
  </w:num>
  <w:num w:numId="33" w16cid:durableId="706685325">
    <w:abstractNumId w:val="16"/>
  </w:num>
  <w:num w:numId="34" w16cid:durableId="851146484">
    <w:abstractNumId w:val="28"/>
  </w:num>
  <w:num w:numId="35" w16cid:durableId="1241139984">
    <w:abstractNumId w:val="27"/>
  </w:num>
  <w:num w:numId="36" w16cid:durableId="659042396">
    <w:abstractNumId w:val="11"/>
  </w:num>
  <w:num w:numId="37" w16cid:durableId="474372184">
    <w:abstractNumId w:val="37"/>
  </w:num>
  <w:num w:numId="38" w16cid:durableId="1820875793">
    <w:abstractNumId w:val="12"/>
  </w:num>
  <w:num w:numId="39" w16cid:durableId="921335404">
    <w:abstractNumId w:val="21"/>
  </w:num>
  <w:num w:numId="40" w16cid:durableId="14432036">
    <w:abstractNumId w:val="19"/>
  </w:num>
  <w:num w:numId="41" w16cid:durableId="693769948">
    <w:abstractNumId w:val="40"/>
  </w:num>
  <w:num w:numId="42" w16cid:durableId="371732239">
    <w:abstractNumId w:val="33"/>
  </w:num>
  <w:num w:numId="43" w16cid:durableId="2137671636">
    <w:abstractNumId w:val="24"/>
  </w:num>
  <w:num w:numId="44" w16cid:durableId="1055810069">
    <w:abstractNumId w:val="3"/>
  </w:num>
  <w:num w:numId="45" w16cid:durableId="742875868">
    <w:abstractNumId w:val="30"/>
  </w:num>
  <w:num w:numId="46" w16cid:durableId="311521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C52"/>
    <w:rsid w:val="00010640"/>
    <w:rsid w:val="00041544"/>
    <w:rsid w:val="000A0B44"/>
    <w:rsid w:val="000A5C9E"/>
    <w:rsid w:val="000B04C8"/>
    <w:rsid w:val="001E5410"/>
    <w:rsid w:val="00215832"/>
    <w:rsid w:val="00232E38"/>
    <w:rsid w:val="002865C9"/>
    <w:rsid w:val="00286F7C"/>
    <w:rsid w:val="002D144C"/>
    <w:rsid w:val="002E0FA0"/>
    <w:rsid w:val="00315F3D"/>
    <w:rsid w:val="003E503C"/>
    <w:rsid w:val="00436823"/>
    <w:rsid w:val="004C77F4"/>
    <w:rsid w:val="00590739"/>
    <w:rsid w:val="0059669B"/>
    <w:rsid w:val="005979F6"/>
    <w:rsid w:val="005D12AB"/>
    <w:rsid w:val="005D5941"/>
    <w:rsid w:val="00605B34"/>
    <w:rsid w:val="00616720"/>
    <w:rsid w:val="00616B04"/>
    <w:rsid w:val="0065205C"/>
    <w:rsid w:val="00656179"/>
    <w:rsid w:val="006A01C3"/>
    <w:rsid w:val="00701047"/>
    <w:rsid w:val="0071659F"/>
    <w:rsid w:val="00723CC3"/>
    <w:rsid w:val="00725AA3"/>
    <w:rsid w:val="00731F7A"/>
    <w:rsid w:val="007A5992"/>
    <w:rsid w:val="007E39F8"/>
    <w:rsid w:val="008167CC"/>
    <w:rsid w:val="00841FFC"/>
    <w:rsid w:val="008B3E8F"/>
    <w:rsid w:val="008C3089"/>
    <w:rsid w:val="008C5030"/>
    <w:rsid w:val="008D2B9F"/>
    <w:rsid w:val="008E22BF"/>
    <w:rsid w:val="00A43FFD"/>
    <w:rsid w:val="00A93C52"/>
    <w:rsid w:val="00B34B47"/>
    <w:rsid w:val="00B401AB"/>
    <w:rsid w:val="00B821AA"/>
    <w:rsid w:val="00BB385C"/>
    <w:rsid w:val="00BC62B9"/>
    <w:rsid w:val="00C6269C"/>
    <w:rsid w:val="00C72692"/>
    <w:rsid w:val="00CE7105"/>
    <w:rsid w:val="00D10FEB"/>
    <w:rsid w:val="00D76B77"/>
    <w:rsid w:val="00DA15E5"/>
    <w:rsid w:val="00DE55E9"/>
    <w:rsid w:val="00E30884"/>
    <w:rsid w:val="00E45573"/>
    <w:rsid w:val="00EC2904"/>
    <w:rsid w:val="00ED2AC3"/>
    <w:rsid w:val="00EF12A8"/>
    <w:rsid w:val="00F11ABD"/>
    <w:rsid w:val="00F53208"/>
    <w:rsid w:val="00F81A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19A40"/>
  <w15:chartTrackingRefBased/>
  <w15:docId w15:val="{0E38767B-6297-B747-9EAE-A082B366F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2BF"/>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A43FFD"/>
    <w:pPr>
      <w:keepNext/>
      <w:keepLines/>
      <w:spacing w:before="720" w:after="360" w:line="278" w:lineRule="auto"/>
      <w:outlineLvl w:val="0"/>
    </w:pPr>
    <w:rPr>
      <w:rFonts w:ascii="Franklin Gothic Heavy" w:eastAsiaTheme="majorEastAsia" w:hAnsi="Franklin Gothic Heavy"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A43FFD"/>
    <w:pPr>
      <w:keepNext/>
      <w:keepLines/>
      <w:spacing w:before="360" w:after="120"/>
      <w:outlineLvl w:val="1"/>
    </w:pPr>
    <w:rPr>
      <w:rFonts w:ascii="Franklin Gothic Heavy" w:eastAsiaTheme="majorEastAsia" w:hAnsi="Franklin Gothic Heavy" w:cstheme="majorBidi"/>
      <w:i/>
      <w:iCs/>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A93C5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unhideWhenUsed/>
    <w:qFormat/>
    <w:rsid w:val="00A93C52"/>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A93C52"/>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A93C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3C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3C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3C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FFD"/>
    <w:rPr>
      <w:rFonts w:ascii="Franklin Gothic Heavy" w:eastAsiaTheme="majorEastAsia" w:hAnsi="Franklin Gothic Heavy" w:cstheme="majorBidi"/>
      <w:color w:val="0F4761" w:themeColor="accent1" w:themeShade="BF"/>
      <w:sz w:val="40"/>
      <w:szCs w:val="40"/>
      <w:lang w:eastAsia="en-GB"/>
    </w:rPr>
  </w:style>
  <w:style w:type="character" w:customStyle="1" w:styleId="Heading2Char">
    <w:name w:val="Heading 2 Char"/>
    <w:basedOn w:val="DefaultParagraphFont"/>
    <w:link w:val="Heading2"/>
    <w:uiPriority w:val="9"/>
    <w:rsid w:val="00A43FFD"/>
    <w:rPr>
      <w:rFonts w:ascii="Franklin Gothic Heavy" w:eastAsiaTheme="majorEastAsia" w:hAnsi="Franklin Gothic Heavy" w:cstheme="majorBidi"/>
      <w:i/>
      <w:iCs/>
      <w:color w:val="0F4761" w:themeColor="accent1" w:themeShade="BF"/>
      <w:sz w:val="32"/>
      <w:szCs w:val="32"/>
    </w:rPr>
  </w:style>
  <w:style w:type="character" w:customStyle="1" w:styleId="Heading3Char">
    <w:name w:val="Heading 3 Char"/>
    <w:basedOn w:val="DefaultParagraphFont"/>
    <w:link w:val="Heading3"/>
    <w:uiPriority w:val="9"/>
    <w:rsid w:val="00A93C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93C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3C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3C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3C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3C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3C52"/>
    <w:rPr>
      <w:rFonts w:eastAsiaTheme="majorEastAsia" w:cstheme="majorBidi"/>
      <w:color w:val="272727" w:themeColor="text1" w:themeTint="D8"/>
    </w:rPr>
  </w:style>
  <w:style w:type="paragraph" w:styleId="Title">
    <w:name w:val="Title"/>
    <w:basedOn w:val="Normal"/>
    <w:next w:val="Normal"/>
    <w:link w:val="TitleChar"/>
    <w:uiPriority w:val="10"/>
    <w:qFormat/>
    <w:rsid w:val="00A93C5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93C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3C5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93C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3C52"/>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A93C52"/>
    <w:rPr>
      <w:i/>
      <w:iCs/>
      <w:color w:val="404040" w:themeColor="text1" w:themeTint="BF"/>
    </w:rPr>
  </w:style>
  <w:style w:type="paragraph" w:styleId="ListParagraph">
    <w:name w:val="List Paragraph"/>
    <w:basedOn w:val="Normal"/>
    <w:uiPriority w:val="34"/>
    <w:qFormat/>
    <w:rsid w:val="00A93C52"/>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A93C52"/>
    <w:rPr>
      <w:i/>
      <w:iCs/>
      <w:color w:val="0F4761" w:themeColor="accent1" w:themeShade="BF"/>
    </w:rPr>
  </w:style>
  <w:style w:type="paragraph" w:styleId="IntenseQuote">
    <w:name w:val="Intense Quote"/>
    <w:basedOn w:val="Normal"/>
    <w:next w:val="Normal"/>
    <w:link w:val="IntenseQuoteChar"/>
    <w:uiPriority w:val="30"/>
    <w:qFormat/>
    <w:rsid w:val="00A93C5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A93C52"/>
    <w:rPr>
      <w:i/>
      <w:iCs/>
      <w:color w:val="0F4761" w:themeColor="accent1" w:themeShade="BF"/>
    </w:rPr>
  </w:style>
  <w:style w:type="character" w:styleId="IntenseReference">
    <w:name w:val="Intense Reference"/>
    <w:basedOn w:val="DefaultParagraphFont"/>
    <w:uiPriority w:val="32"/>
    <w:qFormat/>
    <w:rsid w:val="00A93C52"/>
    <w:rPr>
      <w:b/>
      <w:bCs/>
      <w:smallCaps/>
      <w:color w:val="0F4761" w:themeColor="accent1" w:themeShade="BF"/>
      <w:spacing w:val="5"/>
    </w:rPr>
  </w:style>
  <w:style w:type="paragraph" w:styleId="NormalWeb">
    <w:name w:val="Normal (Web)"/>
    <w:basedOn w:val="Normal"/>
    <w:uiPriority w:val="99"/>
    <w:semiHidden/>
    <w:unhideWhenUsed/>
    <w:rsid w:val="00A93C52"/>
    <w:pPr>
      <w:spacing w:before="100" w:beforeAutospacing="1" w:after="100" w:afterAutospacing="1"/>
    </w:pPr>
  </w:style>
  <w:style w:type="character" w:styleId="Strong">
    <w:name w:val="Strong"/>
    <w:basedOn w:val="DefaultParagraphFont"/>
    <w:uiPriority w:val="22"/>
    <w:qFormat/>
    <w:rsid w:val="00A93C52"/>
    <w:rPr>
      <w:b/>
      <w:bCs/>
    </w:rPr>
  </w:style>
  <w:style w:type="character" w:styleId="Emphasis">
    <w:name w:val="Emphasis"/>
    <w:basedOn w:val="DefaultParagraphFont"/>
    <w:uiPriority w:val="20"/>
    <w:qFormat/>
    <w:rsid w:val="00A93C52"/>
    <w:rPr>
      <w:i/>
      <w:iCs/>
    </w:rPr>
  </w:style>
  <w:style w:type="paragraph" w:styleId="FootnoteText">
    <w:name w:val="footnote text"/>
    <w:basedOn w:val="Normal"/>
    <w:link w:val="FootnoteTextChar"/>
    <w:uiPriority w:val="99"/>
    <w:semiHidden/>
    <w:unhideWhenUsed/>
    <w:rsid w:val="00E45573"/>
    <w:rPr>
      <w:rFonts w:asciiTheme="minorHAnsi" w:eastAsiaTheme="minorHAnsi" w:hAnsiTheme="minorHAnsi" w:cstheme="minorBid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E45573"/>
    <w:rPr>
      <w:sz w:val="20"/>
      <w:szCs w:val="20"/>
    </w:rPr>
  </w:style>
  <w:style w:type="character" w:styleId="FootnoteReference">
    <w:name w:val="footnote reference"/>
    <w:basedOn w:val="DefaultParagraphFont"/>
    <w:uiPriority w:val="99"/>
    <w:semiHidden/>
    <w:unhideWhenUsed/>
    <w:rsid w:val="00E45573"/>
    <w:rPr>
      <w:vertAlign w:val="superscript"/>
    </w:rPr>
  </w:style>
  <w:style w:type="paragraph" w:styleId="TOCHeading">
    <w:name w:val="TOC Heading"/>
    <w:basedOn w:val="Heading1"/>
    <w:next w:val="Normal"/>
    <w:uiPriority w:val="39"/>
    <w:unhideWhenUsed/>
    <w:qFormat/>
    <w:rsid w:val="003E503C"/>
    <w:pPr>
      <w:spacing w:before="480" w:after="0" w:line="276" w:lineRule="auto"/>
      <w:outlineLvl w:val="9"/>
    </w:pPr>
    <w:rPr>
      <w:b/>
      <w:bCs/>
      <w:kern w:val="0"/>
      <w:sz w:val="28"/>
      <w:szCs w:val="28"/>
      <w:lang w:val="en-US"/>
      <w14:ligatures w14:val="none"/>
    </w:rPr>
  </w:style>
  <w:style w:type="paragraph" w:styleId="TOC1">
    <w:name w:val="toc 1"/>
    <w:basedOn w:val="Normal"/>
    <w:next w:val="Normal"/>
    <w:autoRedefine/>
    <w:uiPriority w:val="39"/>
    <w:unhideWhenUsed/>
    <w:rsid w:val="003E503C"/>
    <w:pPr>
      <w:spacing w:before="120" w:line="278" w:lineRule="auto"/>
    </w:pPr>
    <w:rPr>
      <w:rFonts w:asciiTheme="minorHAnsi" w:eastAsiaTheme="minorHAnsi" w:hAnsiTheme="minorHAnsi" w:cstheme="minorBidi"/>
      <w:b/>
      <w:bCs/>
      <w:i/>
      <w:iCs/>
      <w:kern w:val="2"/>
      <w:lang w:eastAsia="en-US"/>
      <w14:ligatures w14:val="standardContextual"/>
    </w:rPr>
  </w:style>
  <w:style w:type="paragraph" w:styleId="TOC2">
    <w:name w:val="toc 2"/>
    <w:basedOn w:val="Normal"/>
    <w:next w:val="Normal"/>
    <w:autoRedefine/>
    <w:uiPriority w:val="39"/>
    <w:unhideWhenUsed/>
    <w:rsid w:val="003E503C"/>
    <w:pPr>
      <w:spacing w:before="120" w:line="278" w:lineRule="auto"/>
      <w:ind w:left="240"/>
    </w:pPr>
    <w:rPr>
      <w:rFonts w:asciiTheme="minorHAnsi" w:eastAsiaTheme="minorHAnsi" w:hAnsiTheme="minorHAnsi" w:cstheme="minorBidi"/>
      <w:b/>
      <w:bCs/>
      <w:kern w:val="2"/>
      <w:sz w:val="22"/>
      <w:szCs w:val="22"/>
      <w:lang w:eastAsia="en-US"/>
      <w14:ligatures w14:val="standardContextual"/>
    </w:rPr>
  </w:style>
  <w:style w:type="character" w:styleId="Hyperlink">
    <w:name w:val="Hyperlink"/>
    <w:basedOn w:val="DefaultParagraphFont"/>
    <w:uiPriority w:val="99"/>
    <w:unhideWhenUsed/>
    <w:rsid w:val="003E503C"/>
    <w:rPr>
      <w:color w:val="467886" w:themeColor="hyperlink"/>
      <w:u w:val="single"/>
    </w:rPr>
  </w:style>
  <w:style w:type="paragraph" w:styleId="TOC3">
    <w:name w:val="toc 3"/>
    <w:basedOn w:val="Normal"/>
    <w:next w:val="Normal"/>
    <w:autoRedefine/>
    <w:uiPriority w:val="39"/>
    <w:unhideWhenUsed/>
    <w:rsid w:val="003E503C"/>
    <w:pPr>
      <w:spacing w:line="278" w:lineRule="auto"/>
      <w:ind w:left="480"/>
    </w:pPr>
    <w:rPr>
      <w:rFonts w:asciiTheme="minorHAnsi" w:eastAsiaTheme="minorHAnsi" w:hAnsiTheme="minorHAnsi" w:cstheme="minorBidi"/>
      <w:kern w:val="2"/>
      <w:sz w:val="20"/>
      <w:szCs w:val="20"/>
      <w:lang w:eastAsia="en-US"/>
      <w14:ligatures w14:val="standardContextual"/>
    </w:rPr>
  </w:style>
  <w:style w:type="paragraph" w:styleId="TOC4">
    <w:name w:val="toc 4"/>
    <w:basedOn w:val="Normal"/>
    <w:next w:val="Normal"/>
    <w:autoRedefine/>
    <w:uiPriority w:val="39"/>
    <w:semiHidden/>
    <w:unhideWhenUsed/>
    <w:rsid w:val="003E503C"/>
    <w:pPr>
      <w:ind w:left="720"/>
    </w:pPr>
    <w:rPr>
      <w:sz w:val="20"/>
      <w:szCs w:val="20"/>
    </w:rPr>
  </w:style>
  <w:style w:type="paragraph" w:styleId="TOC5">
    <w:name w:val="toc 5"/>
    <w:basedOn w:val="Normal"/>
    <w:next w:val="Normal"/>
    <w:autoRedefine/>
    <w:uiPriority w:val="39"/>
    <w:semiHidden/>
    <w:unhideWhenUsed/>
    <w:rsid w:val="003E503C"/>
    <w:pPr>
      <w:ind w:left="960"/>
    </w:pPr>
    <w:rPr>
      <w:sz w:val="20"/>
      <w:szCs w:val="20"/>
    </w:rPr>
  </w:style>
  <w:style w:type="paragraph" w:styleId="TOC6">
    <w:name w:val="toc 6"/>
    <w:basedOn w:val="Normal"/>
    <w:next w:val="Normal"/>
    <w:autoRedefine/>
    <w:uiPriority w:val="39"/>
    <w:semiHidden/>
    <w:unhideWhenUsed/>
    <w:rsid w:val="003E503C"/>
    <w:pPr>
      <w:ind w:left="1200"/>
    </w:pPr>
    <w:rPr>
      <w:sz w:val="20"/>
      <w:szCs w:val="20"/>
    </w:rPr>
  </w:style>
  <w:style w:type="paragraph" w:styleId="TOC7">
    <w:name w:val="toc 7"/>
    <w:basedOn w:val="Normal"/>
    <w:next w:val="Normal"/>
    <w:autoRedefine/>
    <w:uiPriority w:val="39"/>
    <w:semiHidden/>
    <w:unhideWhenUsed/>
    <w:rsid w:val="003E503C"/>
    <w:pPr>
      <w:ind w:left="1440"/>
    </w:pPr>
    <w:rPr>
      <w:sz w:val="20"/>
      <w:szCs w:val="20"/>
    </w:rPr>
  </w:style>
  <w:style w:type="paragraph" w:styleId="TOC8">
    <w:name w:val="toc 8"/>
    <w:basedOn w:val="Normal"/>
    <w:next w:val="Normal"/>
    <w:autoRedefine/>
    <w:uiPriority w:val="39"/>
    <w:semiHidden/>
    <w:unhideWhenUsed/>
    <w:rsid w:val="003E503C"/>
    <w:pPr>
      <w:ind w:left="1680"/>
    </w:pPr>
    <w:rPr>
      <w:sz w:val="20"/>
      <w:szCs w:val="20"/>
    </w:rPr>
  </w:style>
  <w:style w:type="paragraph" w:styleId="TOC9">
    <w:name w:val="toc 9"/>
    <w:basedOn w:val="Normal"/>
    <w:next w:val="Normal"/>
    <w:autoRedefine/>
    <w:uiPriority w:val="39"/>
    <w:semiHidden/>
    <w:unhideWhenUsed/>
    <w:rsid w:val="003E503C"/>
    <w:pPr>
      <w:ind w:left="1920"/>
    </w:pPr>
    <w:rPr>
      <w:sz w:val="20"/>
      <w:szCs w:val="20"/>
    </w:rPr>
  </w:style>
  <w:style w:type="table" w:styleId="GridTable1Light-Accent1">
    <w:name w:val="Grid Table 1 Light Accent 1"/>
    <w:basedOn w:val="TableNormal"/>
    <w:uiPriority w:val="46"/>
    <w:rsid w:val="008C5030"/>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customStyle="1" w:styleId="p1">
    <w:name w:val="p1"/>
    <w:basedOn w:val="Normal"/>
    <w:rsid w:val="008C5030"/>
    <w:pPr>
      <w:spacing w:before="100" w:beforeAutospacing="1" w:after="100" w:afterAutospacing="1"/>
    </w:pPr>
  </w:style>
  <w:style w:type="character" w:customStyle="1" w:styleId="s1">
    <w:name w:val="s1"/>
    <w:basedOn w:val="DefaultParagraphFont"/>
    <w:rsid w:val="008C5030"/>
  </w:style>
  <w:style w:type="paragraph" w:styleId="Header">
    <w:name w:val="header"/>
    <w:basedOn w:val="Normal"/>
    <w:link w:val="HeaderChar"/>
    <w:uiPriority w:val="99"/>
    <w:unhideWhenUsed/>
    <w:rsid w:val="00CE7105"/>
    <w:pPr>
      <w:tabs>
        <w:tab w:val="center" w:pos="4819"/>
        <w:tab w:val="right" w:pos="9638"/>
      </w:tabs>
    </w:pPr>
    <w:rPr>
      <w:rFonts w:asciiTheme="minorHAnsi" w:eastAsiaTheme="minorHAnsi" w:hAnsiTheme="minorHAnsi" w:cstheme="minorBidi"/>
      <w:kern w:val="2"/>
      <w:lang w:eastAsia="en-US"/>
      <w14:ligatures w14:val="standardContextual"/>
    </w:rPr>
  </w:style>
  <w:style w:type="character" w:customStyle="1" w:styleId="HeaderChar">
    <w:name w:val="Header Char"/>
    <w:basedOn w:val="DefaultParagraphFont"/>
    <w:link w:val="Header"/>
    <w:uiPriority w:val="99"/>
    <w:rsid w:val="00CE7105"/>
  </w:style>
  <w:style w:type="paragraph" w:styleId="Footer">
    <w:name w:val="footer"/>
    <w:basedOn w:val="Normal"/>
    <w:link w:val="FooterChar"/>
    <w:uiPriority w:val="99"/>
    <w:unhideWhenUsed/>
    <w:rsid w:val="00CE7105"/>
    <w:pPr>
      <w:tabs>
        <w:tab w:val="center" w:pos="4819"/>
        <w:tab w:val="right" w:pos="9638"/>
      </w:tabs>
    </w:pPr>
    <w:rPr>
      <w:rFonts w:asciiTheme="minorHAnsi" w:eastAsiaTheme="minorHAnsi" w:hAnsiTheme="minorHAnsi" w:cstheme="minorBidi"/>
      <w:kern w:val="2"/>
      <w:lang w:eastAsia="en-US"/>
      <w14:ligatures w14:val="standardContextual"/>
    </w:rPr>
  </w:style>
  <w:style w:type="character" w:customStyle="1" w:styleId="FooterChar">
    <w:name w:val="Footer Char"/>
    <w:basedOn w:val="DefaultParagraphFont"/>
    <w:link w:val="Footer"/>
    <w:uiPriority w:val="99"/>
    <w:rsid w:val="00CE7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1DFFB-34A0-3944-A993-304EAD2C6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7141</Words>
  <Characters>40708</Characters>
  <Application>Microsoft Office Word</Application>
  <DocSecurity>0</DocSecurity>
  <Lines>339</Lines>
  <Paragraphs>95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Sanja Lakić</cp:lastModifiedBy>
  <cp:revision>1</cp:revision>
  <dcterms:created xsi:type="dcterms:W3CDTF">2026-02-05T09:18:00Z</dcterms:created>
  <dcterms:modified xsi:type="dcterms:W3CDTF">2026-02-05T09:18:00Z</dcterms:modified>
</cp:coreProperties>
</file>