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836A7" w14:textId="77777777" w:rsidR="00F02752" w:rsidRPr="00702488" w:rsidRDefault="0085232D" w:rsidP="00834AC1">
      <w:pPr>
        <w:pStyle w:val="Reporttype"/>
      </w:pPr>
      <w:r w:rsidRPr="00702488">
        <w:rPr>
          <w:noProof/>
        </w:rPr>
        <mc:AlternateContent>
          <mc:Choice Requires="wps">
            <w:drawing>
              <wp:anchor distT="0" distB="0" distL="114300" distR="114300" simplePos="0" relativeHeight="251658240" behindDoc="0" locked="0" layoutInCell="1" allowOverlap="1" wp14:anchorId="282137F4" wp14:editId="1D6C54C6">
                <wp:simplePos x="1295400" y="885825"/>
                <wp:positionH relativeFrom="page">
                  <wp:align>left</wp:align>
                </wp:positionH>
                <wp:positionV relativeFrom="page">
                  <wp:align>top</wp:align>
                </wp:positionV>
                <wp:extent cx="7560000" cy="10692000"/>
                <wp:effectExtent l="0" t="0" r="3175" b="0"/>
                <wp:wrapTopAndBottom/>
                <wp:docPr id="1" name="Text Box 1"/>
                <wp:cNvGraphicFramePr/>
                <a:graphic xmlns:a="http://schemas.openxmlformats.org/drawingml/2006/main">
                  <a:graphicData uri="http://schemas.microsoft.com/office/word/2010/wordprocessingShape">
                    <wps:wsp>
                      <wps:cNvSpPr txBox="1"/>
                      <wps:spPr>
                        <a:xfrm>
                          <a:off x="0" y="0"/>
                          <a:ext cx="7560000" cy="10692000"/>
                        </a:xfrm>
                        <a:prstGeom prst="rect">
                          <a:avLst/>
                        </a:prstGeom>
                        <a:solidFill>
                          <a:srgbClr val="C8D5EF"/>
                        </a:solidFill>
                        <a:ln w="6350">
                          <a:noFill/>
                        </a:ln>
                      </wps:spPr>
                      <wps:txbx>
                        <w:txbxContent>
                          <w:tbl>
                            <w:tblPr>
                              <w:tblW w:w="0" w:type="auto"/>
                              <w:tblLook w:val="04A0" w:firstRow="1" w:lastRow="0" w:firstColumn="1" w:lastColumn="0" w:noHBand="0" w:noVBand="1"/>
                            </w:tblPr>
                            <w:tblGrid>
                              <w:gridCol w:w="397"/>
                              <w:gridCol w:w="3005"/>
                              <w:gridCol w:w="8505"/>
                            </w:tblGrid>
                            <w:tr w:rsidR="007A640F" w14:paraId="736FC94E" w14:textId="77777777" w:rsidTr="007A640F">
                              <w:trPr>
                                <w:cantSplit/>
                                <w:trHeight w:hRule="exact" w:val="680"/>
                              </w:trPr>
                              <w:tc>
                                <w:tcPr>
                                  <w:tcW w:w="397" w:type="dxa"/>
                                  <w:shd w:val="clear" w:color="auto" w:fill="164194"/>
                                </w:tcPr>
                                <w:p w14:paraId="696B04C5" w14:textId="77777777" w:rsidR="007A640F" w:rsidRDefault="007A640F"/>
                              </w:tc>
                              <w:tc>
                                <w:tcPr>
                                  <w:tcW w:w="3005" w:type="dxa"/>
                                </w:tcPr>
                                <w:p w14:paraId="49A2EADC" w14:textId="77777777" w:rsidR="007A640F" w:rsidRDefault="007A640F"/>
                              </w:tc>
                              <w:tc>
                                <w:tcPr>
                                  <w:tcW w:w="8505" w:type="dxa"/>
                                  <w:shd w:val="clear" w:color="auto" w:fill="E5EBF8"/>
                                </w:tcPr>
                                <w:p w14:paraId="0A18C5FA" w14:textId="77777777" w:rsidR="007A640F" w:rsidRDefault="007A640F"/>
                              </w:tc>
                            </w:tr>
                            <w:tr w:rsidR="007A640F" w14:paraId="482B87A3" w14:textId="77777777" w:rsidTr="007A640F">
                              <w:trPr>
                                <w:cantSplit/>
                                <w:trHeight w:hRule="exact" w:val="2835"/>
                              </w:trPr>
                              <w:tc>
                                <w:tcPr>
                                  <w:tcW w:w="397" w:type="dxa"/>
                                  <w:shd w:val="clear" w:color="auto" w:fill="164194"/>
                                </w:tcPr>
                                <w:p w14:paraId="228AAC19" w14:textId="77777777" w:rsidR="007A640F" w:rsidRDefault="007A640F"/>
                              </w:tc>
                              <w:tc>
                                <w:tcPr>
                                  <w:tcW w:w="3005" w:type="dxa"/>
                                </w:tcPr>
                                <w:p w14:paraId="3CF9112D" w14:textId="77777777" w:rsidR="007A640F" w:rsidRDefault="007A640F"/>
                              </w:tc>
                              <w:tc>
                                <w:tcPr>
                                  <w:tcW w:w="8505" w:type="dxa"/>
                                  <w:shd w:val="clear" w:color="auto" w:fill="E5EBF8"/>
                                </w:tcPr>
                                <w:p w14:paraId="3A14B9E0" w14:textId="77777777" w:rsidR="00BF153A" w:rsidRDefault="007D1886" w:rsidP="007D1886">
                                  <w:pPr>
                                    <w:pStyle w:val="Publicationtype"/>
                                  </w:pPr>
                                  <w:r>
                                    <w:rPr>
                                      <w:noProof/>
                                    </w:rPr>
                                    <w:drawing>
                                      <wp:inline distT="0" distB="0" distL="0" distR="0" wp14:anchorId="4CDF2743" wp14:editId="27F21E3E">
                                        <wp:extent cx="2412497" cy="1086614"/>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ker til woed_pos logo.png"/>
                                                <pic:cNvPicPr/>
                                              </pic:nvPicPr>
                                              <pic:blipFill>
                                                <a:blip r:embed="rId12">
                                                  <a:extLst>
                                                    <a:ext uri="{28A0092B-C50C-407E-A947-70E740481C1C}">
                                                      <a14:useLocalDpi xmlns:a14="http://schemas.microsoft.com/office/drawing/2010/main" val="0"/>
                                                    </a:ext>
                                                  </a:extLst>
                                                </a:blip>
                                                <a:stretch>
                                                  <a:fillRect/>
                                                </a:stretch>
                                              </pic:blipFill>
                                              <pic:spPr>
                                                <a:xfrm>
                                                  <a:off x="0" y="0"/>
                                                  <a:ext cx="2412497" cy="1086614"/>
                                                </a:xfrm>
                                                <a:prstGeom prst="rect">
                                                  <a:avLst/>
                                                </a:prstGeom>
                                              </pic:spPr>
                                            </pic:pic>
                                          </a:graphicData>
                                        </a:graphic>
                                      </wp:inline>
                                    </w:drawing>
                                  </w:r>
                                </w:p>
                              </w:tc>
                            </w:tr>
                            <w:tr w:rsidR="007A640F" w14:paraId="7A5FBC23" w14:textId="77777777" w:rsidTr="007A640F">
                              <w:trPr>
                                <w:cantSplit/>
                                <w:trHeight w:hRule="exact" w:val="4990"/>
                              </w:trPr>
                              <w:tc>
                                <w:tcPr>
                                  <w:tcW w:w="397" w:type="dxa"/>
                                  <w:shd w:val="clear" w:color="auto" w:fill="164194"/>
                                </w:tcPr>
                                <w:p w14:paraId="48FF5A12" w14:textId="77777777" w:rsidR="007A640F" w:rsidRDefault="007A640F"/>
                              </w:tc>
                              <w:tc>
                                <w:tcPr>
                                  <w:tcW w:w="3005" w:type="dxa"/>
                                </w:tcPr>
                                <w:p w14:paraId="072F46EC" w14:textId="77777777" w:rsidR="007A640F" w:rsidRDefault="007A640F"/>
                              </w:tc>
                              <w:tc>
                                <w:tcPr>
                                  <w:tcW w:w="8505" w:type="dxa"/>
                                  <w:shd w:val="clear" w:color="auto" w:fill="E5EBF8"/>
                                </w:tcPr>
                                <w:p w14:paraId="3BC0922B" w14:textId="08157EDF" w:rsidR="007A640F" w:rsidRPr="001952A3" w:rsidRDefault="006C658F" w:rsidP="001952A3">
                                  <w:pPr>
                                    <w:pStyle w:val="Publicationtype"/>
                                  </w:pPr>
                                  <w:r>
                                    <w:t>ESPON targeted Analysis</w:t>
                                  </w:r>
                                </w:p>
                                <w:sdt>
                                  <w:sdtPr>
                                    <w:alias w:val="Title"/>
                                    <w:tag w:val="Title"/>
                                    <w:id w:val="1824235353"/>
                                    <w:placeholder>
                                      <w:docPart w:val="EAA3B44C3571994B8C699F0177BF4327"/>
                                    </w:placeholder>
                                    <w:dataBinding w:prefixMappings="xmlns:ns0='http://www.getsharp.dk/gsit_espon_report' " w:xpath="/ns0:gsit_espon_report[1]/ns0:publicationdata[1]/ns0:reporttitle[1]" w:storeItemID="{A9FD399A-B783-48CD-9A92-4847D56C8A13}"/>
                                    <w:text w:multiLine="1"/>
                                  </w:sdtPr>
                                  <w:sdtEndPr/>
                                  <w:sdtContent>
                                    <w:p w14:paraId="65B44B91" w14:textId="230AC923" w:rsidR="001952A3" w:rsidRPr="001952A3" w:rsidRDefault="006C658F" w:rsidP="001952A3">
                                      <w:pPr>
                                        <w:pStyle w:val="Title"/>
                                      </w:pPr>
                                      <w:r>
                                        <w:t>TEVI 2050</w:t>
                                      </w:r>
                                    </w:p>
                                  </w:sdtContent>
                                </w:sdt>
                                <w:sdt>
                                  <w:sdtPr>
                                    <w:alias w:val="Subtitle"/>
                                    <w:tag w:val="Subtitle"/>
                                    <w:id w:val="451209198"/>
                                    <w:placeholder>
                                      <w:docPart w:val="E4839C2DD4595041BF7F95C9FA6F004F"/>
                                    </w:placeholder>
                                    <w:dataBinding w:prefixMappings="xmlns:ns0='http://www.getsharp.dk/gsit_espon_report' " w:xpath="/ns0:gsit_espon_report[1]/ns0:publicationdata[1]/ns0:reportsubtitle[1]" w:storeItemID="{A9FD399A-B783-48CD-9A92-4847D56C8A13}"/>
                                    <w:text w:multiLine="1"/>
                                  </w:sdtPr>
                                  <w:sdtEndPr/>
                                  <w:sdtContent>
                                    <w:p w14:paraId="50C3F29C" w14:textId="44CDFE0A" w:rsidR="001952A3" w:rsidRPr="001952A3" w:rsidRDefault="006C658F" w:rsidP="001952A3">
                                      <w:pPr>
                                        <w:pStyle w:val="Subtitle"/>
                                      </w:pPr>
                                      <w:r>
                                        <w:t>Territorial Scenarios for the Danube and Adriatic Ionian Macro-regions</w:t>
                                      </w:r>
                                    </w:p>
                                  </w:sdtContent>
                                </w:sdt>
                                <w:p w14:paraId="083F2AF5" w14:textId="4D722354" w:rsidR="001952A3" w:rsidRPr="001952A3" w:rsidRDefault="006839DA" w:rsidP="002A2C02">
                                  <w:pPr>
                                    <w:pStyle w:val="Reporttype"/>
                                  </w:pPr>
                                  <w:sdt>
                                    <w:sdtPr>
                                      <w:alias w:val="Type of Report, Annex, etc."/>
                                      <w:tag w:val="Type of Report, Annex, etc."/>
                                      <w:id w:val="-383708224"/>
                                      <w:placeholder>
                                        <w:docPart w:val="8C422D926AB9DF489429759ABEBC188B"/>
                                      </w:placeholder>
                                      <w:dataBinding w:prefixMappings="xmlns:ns0='http://www.getsharp.dk/gsit_espon_report' " w:xpath="/ns0:gsit_espon_report[1]/ns0:publicationdata[1]/ns0:reporttype[1]" w:storeItemID="{A9FD399A-B783-48CD-9A92-4847D56C8A13}"/>
                                      <w:text/>
                                    </w:sdtPr>
                                    <w:sdtEndPr/>
                                    <w:sdtContent>
                                      <w:r>
                                        <w:t>Final Report, PART II – Possible territorial scenarios for the EUSDR //</w:t>
                                      </w:r>
                                    </w:sdtContent>
                                  </w:sdt>
                                  <w:r w:rsidR="0068045E">
                                    <w:t xml:space="preserve"> </w:t>
                                  </w:r>
                                  <w:sdt>
                                    <w:sdtPr>
                                      <w:alias w:val="Month Year"/>
                                      <w:tag w:val="Month Year"/>
                                      <w:id w:val="-1966956467"/>
                                      <w:placeholder>
                                        <w:docPart w:val="B1E8066E4A97484DBFFFE7ED539029CD"/>
                                      </w:placeholder>
                                      <w:dataBinding w:prefixMappings="xmlns:ns0='http://www.getsharp.dk/gsit_espon_report' " w:xpath="/ns0:gsit_espon_report[1]/ns0:publicationdata[1]/ns0:published[1]" w:storeItemID="{A9FD399A-B783-48CD-9A92-4847D56C8A13}"/>
                                      <w:text/>
                                    </w:sdtPr>
                                    <w:sdtEndPr/>
                                    <w:sdtContent>
                                      <w:r w:rsidR="00D349AA">
                                        <w:t xml:space="preserve">11 April 2022 </w:t>
                                      </w:r>
                                    </w:sdtContent>
                                  </w:sdt>
                                </w:p>
                              </w:tc>
                            </w:tr>
                          </w:tbl>
                          <w:p w14:paraId="45C18154" w14:textId="77777777" w:rsidR="0085232D" w:rsidRDefault="0085232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137F4" id="_x0000_t202" coordsize="21600,21600" o:spt="202" path="m,l,21600r21600,l21600,xe">
                <v:stroke joinstyle="miter"/>
                <v:path gradientshapeok="t" o:connecttype="rect"/>
              </v:shapetype>
              <v:shape id="Text Box 1" o:spid="_x0000_s1026" type="#_x0000_t202" style="position:absolute;left:0;text-align:left;margin-left:0;margin-top:0;width:595.3pt;height:841.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" fillcolor="#c8d5ef" stroked="f" strokeweight=".5pt">
                <v:textbox inset="0,0,0,0">
                  <w:txbxContent>
                    <w:tbl>
                      <w:tblPr>
                        <w:tblW w:w="0" w:type="auto"/>
                        <w:tblLook w:val="04A0" w:firstRow="1" w:lastRow="0" w:firstColumn="1" w:lastColumn="0" w:noHBand="0" w:noVBand="1"/>
                      </w:tblPr>
                      <w:tblGrid>
                        <w:gridCol w:w="397"/>
                        <w:gridCol w:w="3005"/>
                        <w:gridCol w:w="8505"/>
                      </w:tblGrid>
                      <w:tr w:rsidR="007A640F" w14:paraId="736FC94E" w14:textId="77777777" w:rsidTr="007A640F">
                        <w:trPr>
                          <w:cantSplit/>
                          <w:trHeight w:hRule="exact" w:val="680"/>
                        </w:trPr>
                        <w:tc>
                          <w:tcPr>
                            <w:tcW w:w="397" w:type="dxa"/>
                            <w:shd w:val="clear" w:color="auto" w:fill="164194"/>
                          </w:tcPr>
                          <w:p w14:paraId="696B04C5" w14:textId="77777777" w:rsidR="007A640F" w:rsidRDefault="007A640F"/>
                        </w:tc>
                        <w:tc>
                          <w:tcPr>
                            <w:tcW w:w="3005" w:type="dxa"/>
                          </w:tcPr>
                          <w:p w14:paraId="49A2EADC" w14:textId="77777777" w:rsidR="007A640F" w:rsidRDefault="007A640F"/>
                        </w:tc>
                        <w:tc>
                          <w:tcPr>
                            <w:tcW w:w="8505" w:type="dxa"/>
                            <w:shd w:val="clear" w:color="auto" w:fill="E5EBF8"/>
                          </w:tcPr>
                          <w:p w14:paraId="0A18C5FA" w14:textId="77777777" w:rsidR="007A640F" w:rsidRDefault="007A640F"/>
                        </w:tc>
                      </w:tr>
                      <w:tr w:rsidR="007A640F" w14:paraId="482B87A3" w14:textId="77777777" w:rsidTr="007A640F">
                        <w:trPr>
                          <w:cantSplit/>
                          <w:trHeight w:hRule="exact" w:val="2835"/>
                        </w:trPr>
                        <w:tc>
                          <w:tcPr>
                            <w:tcW w:w="397" w:type="dxa"/>
                            <w:shd w:val="clear" w:color="auto" w:fill="164194"/>
                          </w:tcPr>
                          <w:p w14:paraId="228AAC19" w14:textId="77777777" w:rsidR="007A640F" w:rsidRDefault="007A640F"/>
                        </w:tc>
                        <w:tc>
                          <w:tcPr>
                            <w:tcW w:w="3005" w:type="dxa"/>
                          </w:tcPr>
                          <w:p w14:paraId="3CF9112D" w14:textId="77777777" w:rsidR="007A640F" w:rsidRDefault="007A640F"/>
                        </w:tc>
                        <w:tc>
                          <w:tcPr>
                            <w:tcW w:w="8505" w:type="dxa"/>
                            <w:shd w:val="clear" w:color="auto" w:fill="E5EBF8"/>
                          </w:tcPr>
                          <w:p w14:paraId="3A14B9E0" w14:textId="77777777" w:rsidR="00BF153A" w:rsidRDefault="007D1886" w:rsidP="007D1886">
                            <w:pPr>
                              <w:pStyle w:val="Publicationtype"/>
                            </w:pPr>
                            <w:r>
                              <w:rPr>
                                <w:noProof/>
                              </w:rPr>
                              <w:drawing>
                                <wp:inline distT="0" distB="0" distL="0" distR="0" wp14:anchorId="4CDF2743" wp14:editId="27F21E3E">
                                  <wp:extent cx="2412497" cy="1086614"/>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ker til woed_pos logo.png"/>
                                          <pic:cNvPicPr/>
                                        </pic:nvPicPr>
                                        <pic:blipFill>
                                          <a:blip r:embed="rId12">
                                            <a:extLst>
                                              <a:ext uri="{28A0092B-C50C-407E-A947-70E740481C1C}">
                                                <a14:useLocalDpi xmlns:a14="http://schemas.microsoft.com/office/drawing/2010/main" val="0"/>
                                              </a:ext>
                                            </a:extLst>
                                          </a:blip>
                                          <a:stretch>
                                            <a:fillRect/>
                                          </a:stretch>
                                        </pic:blipFill>
                                        <pic:spPr>
                                          <a:xfrm>
                                            <a:off x="0" y="0"/>
                                            <a:ext cx="2412497" cy="1086614"/>
                                          </a:xfrm>
                                          <a:prstGeom prst="rect">
                                            <a:avLst/>
                                          </a:prstGeom>
                                        </pic:spPr>
                                      </pic:pic>
                                    </a:graphicData>
                                  </a:graphic>
                                </wp:inline>
                              </w:drawing>
                            </w:r>
                          </w:p>
                        </w:tc>
                      </w:tr>
                      <w:tr w:rsidR="007A640F" w14:paraId="7A5FBC23" w14:textId="77777777" w:rsidTr="007A640F">
                        <w:trPr>
                          <w:cantSplit/>
                          <w:trHeight w:hRule="exact" w:val="4990"/>
                        </w:trPr>
                        <w:tc>
                          <w:tcPr>
                            <w:tcW w:w="397" w:type="dxa"/>
                            <w:shd w:val="clear" w:color="auto" w:fill="164194"/>
                          </w:tcPr>
                          <w:p w14:paraId="48FF5A12" w14:textId="77777777" w:rsidR="007A640F" w:rsidRDefault="007A640F"/>
                        </w:tc>
                        <w:tc>
                          <w:tcPr>
                            <w:tcW w:w="3005" w:type="dxa"/>
                          </w:tcPr>
                          <w:p w14:paraId="072F46EC" w14:textId="77777777" w:rsidR="007A640F" w:rsidRDefault="007A640F"/>
                        </w:tc>
                        <w:tc>
                          <w:tcPr>
                            <w:tcW w:w="8505" w:type="dxa"/>
                            <w:shd w:val="clear" w:color="auto" w:fill="E5EBF8"/>
                          </w:tcPr>
                          <w:p w14:paraId="3BC0922B" w14:textId="08157EDF" w:rsidR="007A640F" w:rsidRPr="001952A3" w:rsidRDefault="006C658F" w:rsidP="001952A3">
                            <w:pPr>
                              <w:pStyle w:val="Publicationtype"/>
                            </w:pPr>
                            <w:r>
                              <w:t>ESPON targeted Analysis</w:t>
                            </w:r>
                          </w:p>
                          <w:sdt>
                            <w:sdtPr>
                              <w:alias w:val="Title"/>
                              <w:tag w:val="Title"/>
                              <w:id w:val="1824235353"/>
                              <w:placeholder>
                                <w:docPart w:val="EAA3B44C3571994B8C699F0177BF4327"/>
                              </w:placeholder>
                              <w:dataBinding w:prefixMappings="xmlns:ns0='http://www.getsharp.dk/gsit_espon_report' " w:xpath="/ns0:gsit_espon_report[1]/ns0:publicationdata[1]/ns0:reporttitle[1]" w:storeItemID="{A9FD399A-B783-48CD-9A92-4847D56C8A13}"/>
                              <w:text w:multiLine="1"/>
                            </w:sdtPr>
                            <w:sdtEndPr/>
                            <w:sdtContent>
                              <w:p w14:paraId="65B44B91" w14:textId="230AC923" w:rsidR="001952A3" w:rsidRPr="001952A3" w:rsidRDefault="006C658F" w:rsidP="001952A3">
                                <w:pPr>
                                  <w:pStyle w:val="Title"/>
                                </w:pPr>
                                <w:r>
                                  <w:t>TEVI 2050</w:t>
                                </w:r>
                              </w:p>
                            </w:sdtContent>
                          </w:sdt>
                          <w:sdt>
                            <w:sdtPr>
                              <w:alias w:val="Subtitle"/>
                              <w:tag w:val="Subtitle"/>
                              <w:id w:val="451209198"/>
                              <w:placeholder>
                                <w:docPart w:val="E4839C2DD4595041BF7F95C9FA6F004F"/>
                              </w:placeholder>
                              <w:dataBinding w:prefixMappings="xmlns:ns0='http://www.getsharp.dk/gsit_espon_report' " w:xpath="/ns0:gsit_espon_report[1]/ns0:publicationdata[1]/ns0:reportsubtitle[1]" w:storeItemID="{A9FD399A-B783-48CD-9A92-4847D56C8A13}"/>
                              <w:text w:multiLine="1"/>
                            </w:sdtPr>
                            <w:sdtEndPr/>
                            <w:sdtContent>
                              <w:p w14:paraId="50C3F29C" w14:textId="44CDFE0A" w:rsidR="001952A3" w:rsidRPr="001952A3" w:rsidRDefault="006C658F" w:rsidP="001952A3">
                                <w:pPr>
                                  <w:pStyle w:val="Subtitle"/>
                                </w:pPr>
                                <w:r>
                                  <w:t>Territorial Scenarios for the Danube and Adriatic Ionian Macro-regions</w:t>
                                </w:r>
                              </w:p>
                            </w:sdtContent>
                          </w:sdt>
                          <w:p w14:paraId="083F2AF5" w14:textId="4D722354" w:rsidR="001952A3" w:rsidRPr="001952A3" w:rsidRDefault="006839DA" w:rsidP="002A2C02">
                            <w:pPr>
                              <w:pStyle w:val="Reporttype"/>
                            </w:pPr>
                            <w:sdt>
                              <w:sdtPr>
                                <w:alias w:val="Type of Report, Annex, etc."/>
                                <w:tag w:val="Type of Report, Annex, etc."/>
                                <w:id w:val="-383708224"/>
                                <w:placeholder>
                                  <w:docPart w:val="8C422D926AB9DF489429759ABEBC188B"/>
                                </w:placeholder>
                                <w:dataBinding w:prefixMappings="xmlns:ns0='http://www.getsharp.dk/gsit_espon_report' " w:xpath="/ns0:gsit_espon_report[1]/ns0:publicationdata[1]/ns0:reporttype[1]" w:storeItemID="{A9FD399A-B783-48CD-9A92-4847D56C8A13}"/>
                                <w:text/>
                              </w:sdtPr>
                              <w:sdtEndPr/>
                              <w:sdtContent>
                                <w:r>
                                  <w:t>Final Report, PART II – Possible territorial scenarios for the EUSDR //</w:t>
                                </w:r>
                              </w:sdtContent>
                            </w:sdt>
                            <w:r w:rsidR="0068045E">
                              <w:t xml:space="preserve"> </w:t>
                            </w:r>
                            <w:sdt>
                              <w:sdtPr>
                                <w:alias w:val="Month Year"/>
                                <w:tag w:val="Month Year"/>
                                <w:id w:val="-1966956467"/>
                                <w:placeholder>
                                  <w:docPart w:val="B1E8066E4A97484DBFFFE7ED539029CD"/>
                                </w:placeholder>
                                <w:dataBinding w:prefixMappings="xmlns:ns0='http://www.getsharp.dk/gsit_espon_report' " w:xpath="/ns0:gsit_espon_report[1]/ns0:publicationdata[1]/ns0:published[1]" w:storeItemID="{A9FD399A-B783-48CD-9A92-4847D56C8A13}"/>
                                <w:text/>
                              </w:sdtPr>
                              <w:sdtEndPr/>
                              <w:sdtContent>
                                <w:r w:rsidR="00D349AA">
                                  <w:t xml:space="preserve">11 April 2022 </w:t>
                                </w:r>
                              </w:sdtContent>
                            </w:sdt>
                          </w:p>
                        </w:tc>
                      </w:tr>
                    </w:tbl>
                    <w:p w14:paraId="45C18154" w14:textId="77777777" w:rsidR="0085232D" w:rsidRDefault="0085232D"/>
                  </w:txbxContent>
                </v:textbox>
                <w10:wrap type="topAndBottom" anchorx="page" anchory="page"/>
              </v:shape>
            </w:pict>
          </mc:Fallback>
        </mc:AlternateContent>
      </w:r>
    </w:p>
    <w:p w14:paraId="4545968F" w14:textId="525E249B" w:rsidR="0027522D" w:rsidRPr="00702488" w:rsidRDefault="0027522D" w:rsidP="0027522D">
      <w:pPr>
        <w:pStyle w:val="Imprintbody"/>
      </w:pPr>
      <w:r w:rsidRPr="00702488">
        <w:lastRenderedPageBreak/>
        <w:t xml:space="preserve">This </w:t>
      </w:r>
      <w:sdt>
        <w:sdtPr>
          <w:alias w:val="Type of publication"/>
          <w:tag w:val="Type of publication"/>
          <w:id w:val="938865588"/>
          <w:placeholder>
            <w:docPart w:val="062966A14E7AC94EB6ADB51DAE6D1BC9"/>
          </w:placeholder>
          <w:dataBinding w:prefixMappings="xmlns:ns0='http://www.getsharp.dk/gsit_espon_report' " w:xpath="/ns0:gsit_espon_report[1]/ns0:publicationdata[1]/ns0:publicationtype[1]" w:storeItemID="{A9FD399A-B783-48CD-9A92-4847D56C8A13}"/>
          <w:text/>
        </w:sdtPr>
        <w:sdtEndPr/>
        <w:sdtContent>
          <w:r w:rsidR="002D21C7" w:rsidRPr="00702488">
            <w:t>ESPON targeted analysis</w:t>
          </w:r>
        </w:sdtContent>
      </w:sdt>
      <w:r w:rsidR="00AE1D92" w:rsidRPr="00702488">
        <w:t xml:space="preserve"> </w:t>
      </w:r>
      <w:r w:rsidRPr="00702488">
        <w:t>is conducted within the framework of the ESPON 2020 Cooperation Programme, partly financed by the European Regional Development Fund.</w:t>
      </w:r>
    </w:p>
    <w:p w14:paraId="19ADC963" w14:textId="77777777" w:rsidR="0027522D" w:rsidRPr="00702488" w:rsidRDefault="0027522D" w:rsidP="0027522D">
      <w:pPr>
        <w:pStyle w:val="Imprintbody"/>
      </w:pPr>
      <w:r w:rsidRPr="00702488">
        <w:t>The ESPON EGTC is the Single Beneficiary of the ESPON 2020 Cooperation Programme. The Single Operation within the programme is implemented by the ESPON EGTC and co-financed by the European Regional Development Fund, the EU Member States and the Partner States, Iceland, Liechtenstein, Norway and Switzerland.</w:t>
      </w:r>
    </w:p>
    <w:p w14:paraId="3B13A1D9" w14:textId="77777777" w:rsidR="00CD52A9" w:rsidRPr="00702488" w:rsidRDefault="0027522D" w:rsidP="0027522D">
      <w:pPr>
        <w:pStyle w:val="Imprintbody"/>
      </w:pPr>
      <w:r w:rsidRPr="00702488">
        <w:t>This delivery does not necessarily reflect the opinions of members of the ESPON 2020 Monitoring Committee.</w:t>
      </w:r>
    </w:p>
    <w:p w14:paraId="2C558063" w14:textId="77777777" w:rsidR="0027522D" w:rsidRPr="00702488" w:rsidRDefault="0027522D" w:rsidP="0027522D">
      <w:pPr>
        <w:pStyle w:val="Imprintheading"/>
      </w:pPr>
      <w:r w:rsidRPr="00702488">
        <w:t>Authors</w:t>
      </w:r>
    </w:p>
    <w:p w14:paraId="500344A9" w14:textId="77777777" w:rsidR="00D82134" w:rsidRPr="00702488" w:rsidRDefault="00D82134" w:rsidP="00D82134">
      <w:pPr>
        <w:pStyle w:val="Imprintbody"/>
      </w:pPr>
      <w:r w:rsidRPr="00702488">
        <w:t>Maria Toptsidou, Frank Holstein, Clément Corbineau, Sebastian Hans, Kai Böhme, Spatial Foresight, Luxembourg.</w:t>
      </w:r>
    </w:p>
    <w:p w14:paraId="195E185F" w14:textId="77777777" w:rsidR="00D82134" w:rsidRPr="00702488" w:rsidRDefault="00D82134" w:rsidP="00D82134">
      <w:pPr>
        <w:pStyle w:val="Imprintbody"/>
      </w:pPr>
      <w:r w:rsidRPr="00702488">
        <w:t>Alexandru Ghita, CDUT, Romania.</w:t>
      </w:r>
    </w:p>
    <w:p w14:paraId="3D50AF1E" w14:textId="127A4E87" w:rsidR="00D82134" w:rsidRPr="00702488" w:rsidRDefault="00D82134" w:rsidP="00D82134">
      <w:pPr>
        <w:pStyle w:val="Imprintbody"/>
      </w:pPr>
      <w:r w:rsidRPr="00702488">
        <w:t xml:space="preserve">Marko Peterlin, </w:t>
      </w:r>
      <w:r w:rsidR="00152B5B">
        <w:t>Nina Plevnik,</w:t>
      </w:r>
      <w:r w:rsidR="00152B5B" w:rsidRPr="00702488">
        <w:t xml:space="preserve"> </w:t>
      </w:r>
      <w:r w:rsidRPr="00702488">
        <w:t>IPoP, Slovenia.</w:t>
      </w:r>
    </w:p>
    <w:p w14:paraId="4A857E29" w14:textId="77777777" w:rsidR="00D82134" w:rsidRPr="00702488" w:rsidRDefault="00D82134" w:rsidP="00D82134">
      <w:pPr>
        <w:pStyle w:val="Imprintbody"/>
      </w:pPr>
      <w:r w:rsidRPr="00702488">
        <w:t>Ana Nikolov, AEBR Balkans.</w:t>
      </w:r>
    </w:p>
    <w:p w14:paraId="53D30667" w14:textId="09586368" w:rsidR="00D82134" w:rsidRPr="00702488" w:rsidRDefault="00D82134" w:rsidP="00D82134">
      <w:pPr>
        <w:pStyle w:val="Imprintbody"/>
      </w:pPr>
      <w:r w:rsidRPr="00702488">
        <w:t xml:space="preserve">Gyula Ocskay, </w:t>
      </w:r>
      <w:r w:rsidR="005E71BA">
        <w:t xml:space="preserve">Matyas Jaschitz, </w:t>
      </w:r>
      <w:r w:rsidRPr="00702488">
        <w:t>CESCI, Hungary.</w:t>
      </w:r>
    </w:p>
    <w:p w14:paraId="3D17733C" w14:textId="700E6482" w:rsidR="00D82134" w:rsidRPr="00702488" w:rsidRDefault="00D82134" w:rsidP="00D82134">
      <w:pPr>
        <w:pStyle w:val="Imprintbody"/>
      </w:pPr>
      <w:r w:rsidRPr="00702488">
        <w:t xml:space="preserve">Rudina Toto, </w:t>
      </w:r>
      <w:r w:rsidR="003807CD">
        <w:t xml:space="preserve">Kejt Dhrami, </w:t>
      </w:r>
      <w:r w:rsidRPr="00702488">
        <w:t>Co-PLAN, Albania.</w:t>
      </w:r>
    </w:p>
    <w:p w14:paraId="672B2948" w14:textId="611B9252" w:rsidR="0027522D" w:rsidRPr="00702488" w:rsidRDefault="00D82134" w:rsidP="00D82134">
      <w:pPr>
        <w:pStyle w:val="Imprintbody"/>
      </w:pPr>
      <w:r w:rsidRPr="00702488">
        <w:t>Franziska Sielker, University of Cambridge, United Kingdom.</w:t>
      </w:r>
    </w:p>
    <w:p w14:paraId="068CEBBA" w14:textId="100AE521" w:rsidR="00420D57" w:rsidRPr="00702488" w:rsidRDefault="00420D57" w:rsidP="00D82134">
      <w:pPr>
        <w:pStyle w:val="Imprintbody"/>
      </w:pPr>
      <w:r w:rsidRPr="00702488">
        <w:t>Language review by Tim Wills</w:t>
      </w:r>
    </w:p>
    <w:p w14:paraId="25457582" w14:textId="77777777" w:rsidR="0027522D" w:rsidRPr="00702488" w:rsidRDefault="0027522D" w:rsidP="004C5C1A">
      <w:pPr>
        <w:pStyle w:val="Imprintheading"/>
      </w:pPr>
      <w:r w:rsidRPr="00702488">
        <w:t>Acknowledgements</w:t>
      </w:r>
    </w:p>
    <w:p w14:paraId="74B9D038" w14:textId="3F8DBB7D" w:rsidR="0027522D" w:rsidRPr="00702488" w:rsidRDefault="002D21C7" w:rsidP="0027522D">
      <w:pPr>
        <w:pStyle w:val="Imprintbody"/>
      </w:pPr>
      <w:r w:rsidRPr="00702488">
        <w:t>To all the ESPON TEVI 2050 EUSDR and EUSAIR steering committees’ members.</w:t>
      </w:r>
    </w:p>
    <w:p w14:paraId="1775E5F0" w14:textId="77777777" w:rsidR="0027522D" w:rsidRPr="00702488" w:rsidRDefault="0027522D" w:rsidP="0027522D">
      <w:pPr>
        <w:pStyle w:val="Imprintheading"/>
      </w:pPr>
      <w:r w:rsidRPr="00702488">
        <w:t>Information on ESPON and its projects can be found at www.espon.eu.</w:t>
      </w:r>
    </w:p>
    <w:p w14:paraId="2102E9C1" w14:textId="77777777" w:rsidR="0027522D" w:rsidRPr="00702488" w:rsidRDefault="0027522D" w:rsidP="009E27B8">
      <w:pPr>
        <w:pStyle w:val="Imprintbody"/>
      </w:pPr>
      <w:r w:rsidRPr="00702488">
        <w:t>The website provides the possibility to download and examine the most recent documents produced by finalised and ongoing ESPON projects.</w:t>
      </w:r>
    </w:p>
    <w:p w14:paraId="07CE421F" w14:textId="77777777" w:rsidR="0027522D" w:rsidRPr="00702488" w:rsidRDefault="0027522D" w:rsidP="0027522D">
      <w:pPr>
        <w:pStyle w:val="Imprintbody"/>
      </w:pPr>
      <w:r w:rsidRPr="00702488">
        <w:t xml:space="preserve">ISBN: </w:t>
      </w:r>
      <w:sdt>
        <w:sdtPr>
          <w:id w:val="866642653"/>
          <w:placeholder>
            <w:docPart w:val="AEF4166D8B042B44B45EFF54C562F9FA"/>
          </w:placeholder>
          <w:temporary/>
          <w:showingPlcHdr/>
          <w:text/>
        </w:sdtPr>
        <w:sdtEndPr/>
        <w:sdtContent>
          <w:r w:rsidRPr="00702488">
            <w:rPr>
              <w:rStyle w:val="PlaceholderText"/>
            </w:rPr>
            <w:t>Click or tap here to enter text.</w:t>
          </w:r>
        </w:sdtContent>
      </w:sdt>
    </w:p>
    <w:p w14:paraId="0ECB4ACC" w14:textId="77777777" w:rsidR="0027522D" w:rsidRPr="00702488" w:rsidRDefault="0027522D" w:rsidP="0027522D">
      <w:pPr>
        <w:pStyle w:val="Imprintheading"/>
      </w:pPr>
      <w:r w:rsidRPr="00702488">
        <w:t>© ESPON, 2020</w:t>
      </w:r>
    </w:p>
    <w:p w14:paraId="28013C0B" w14:textId="77777777" w:rsidR="0027522D" w:rsidRPr="00702488" w:rsidRDefault="006A3997" w:rsidP="0027522D">
      <w:pPr>
        <w:pStyle w:val="Imprintbody"/>
      </w:pPr>
      <w:r w:rsidRPr="00702488">
        <w:t>Published</w:t>
      </w:r>
      <w:r w:rsidR="0027522D" w:rsidRPr="00702488">
        <w:t xml:space="preserve"> in </w:t>
      </w:r>
      <w:sdt>
        <w:sdtPr>
          <w:id w:val="1818601335"/>
          <w:placeholder>
            <w:docPart w:val="FD5D4DF5964DDD40A3DE5EC13505C6B4"/>
          </w:placeholder>
          <w:temporary/>
          <w:showingPlcHdr/>
          <w:text/>
        </w:sdtPr>
        <w:sdtEndPr/>
        <w:sdtContent>
          <w:r w:rsidR="0027522D" w:rsidRPr="00702488">
            <w:rPr>
              <w:rStyle w:val="PlaceholderText"/>
            </w:rPr>
            <w:t>Click or tap here to enter text.</w:t>
          </w:r>
        </w:sdtContent>
      </w:sdt>
    </w:p>
    <w:p w14:paraId="526933DB" w14:textId="77777777" w:rsidR="0027522D" w:rsidRPr="00702488" w:rsidRDefault="006A3997" w:rsidP="0027522D">
      <w:pPr>
        <w:pStyle w:val="Imprintbody"/>
      </w:pPr>
      <w:r w:rsidRPr="00702488">
        <w:t>G</w:t>
      </w:r>
      <w:r w:rsidR="0027522D" w:rsidRPr="00702488">
        <w:t>raphic design by BGRAPHIC, Denmark</w:t>
      </w:r>
    </w:p>
    <w:p w14:paraId="28F74BCD" w14:textId="77777777" w:rsidR="0027522D" w:rsidRPr="00702488" w:rsidRDefault="0027522D" w:rsidP="0027522D">
      <w:pPr>
        <w:pStyle w:val="Imprintbody"/>
      </w:pPr>
      <w:r w:rsidRPr="00702488">
        <w:t>Printing, reproduction or quotation is authorised provided the source is acknowledged and a copy is forwarded to the ESPON EGTC in Luxembourg.</w:t>
      </w:r>
    </w:p>
    <w:p w14:paraId="3223B8E3" w14:textId="77777777" w:rsidR="0027522D" w:rsidRPr="00702488" w:rsidRDefault="0027522D" w:rsidP="0027522D">
      <w:pPr>
        <w:pStyle w:val="Imprintbody"/>
      </w:pPr>
      <w:r w:rsidRPr="00702488">
        <w:t xml:space="preserve">Contact: </w:t>
      </w:r>
      <w:hyperlink r:id="rId13" w:history="1">
        <w:r w:rsidRPr="00702488">
          <w:t>info@espon.eu</w:t>
        </w:r>
      </w:hyperlink>
    </w:p>
    <w:p w14:paraId="1F78A5E6" w14:textId="77777777" w:rsidR="00524A38" w:rsidRPr="00702488" w:rsidRDefault="00524A38" w:rsidP="001952A3"/>
    <w:p w14:paraId="72811C54" w14:textId="77777777" w:rsidR="0027522D" w:rsidRPr="00702488" w:rsidRDefault="0027522D" w:rsidP="001952A3">
      <w:pPr>
        <w:sectPr w:rsidR="0027522D" w:rsidRPr="00702488" w:rsidSect="00433E69">
          <w:headerReference w:type="even" r:id="rId14"/>
          <w:headerReference w:type="default" r:id="rId15"/>
          <w:pgSz w:w="11906" w:h="16838" w:code="9"/>
          <w:pgMar w:top="1418" w:right="3402" w:bottom="1418" w:left="1701" w:header="567" w:footer="737" w:gutter="0"/>
          <w:cols w:space="708"/>
          <w:titlePg/>
          <w:docGrid w:linePitch="360"/>
        </w:sectPr>
      </w:pPr>
    </w:p>
    <w:tbl>
      <w:tblPr>
        <w:tblpPr w:leftFromText="142" w:rightFromText="142" w:vertAnchor="page" w:horzAnchor="page" w:tblpY="1"/>
        <w:tblOverlap w:val="never"/>
        <w:tblW w:w="11057" w:type="dxa"/>
        <w:tblLayout w:type="fixed"/>
        <w:tblLook w:val="04A0" w:firstRow="1" w:lastRow="0" w:firstColumn="1" w:lastColumn="0" w:noHBand="0" w:noVBand="1"/>
      </w:tblPr>
      <w:tblGrid>
        <w:gridCol w:w="397"/>
        <w:gridCol w:w="3005"/>
        <w:gridCol w:w="7655"/>
      </w:tblGrid>
      <w:tr w:rsidR="00A25F4D" w:rsidRPr="00702488" w14:paraId="4A139A7C" w14:textId="77777777" w:rsidTr="009E27B8">
        <w:trPr>
          <w:cantSplit/>
          <w:trHeight w:hRule="exact" w:val="680"/>
        </w:trPr>
        <w:tc>
          <w:tcPr>
            <w:tcW w:w="397" w:type="dxa"/>
            <w:shd w:val="clear" w:color="auto" w:fill="auto"/>
          </w:tcPr>
          <w:p w14:paraId="5E28B00F" w14:textId="77777777" w:rsidR="00A25F4D" w:rsidRPr="00702488" w:rsidRDefault="00A25F4D" w:rsidP="009E27B8"/>
        </w:tc>
        <w:tc>
          <w:tcPr>
            <w:tcW w:w="3005" w:type="dxa"/>
            <w:shd w:val="clear" w:color="auto" w:fill="auto"/>
          </w:tcPr>
          <w:p w14:paraId="59F71EDE" w14:textId="77777777" w:rsidR="00A25F4D" w:rsidRPr="00702488" w:rsidRDefault="00A25F4D" w:rsidP="009E27B8"/>
        </w:tc>
        <w:tc>
          <w:tcPr>
            <w:tcW w:w="7655" w:type="dxa"/>
            <w:shd w:val="clear" w:color="auto" w:fill="auto"/>
          </w:tcPr>
          <w:p w14:paraId="7868084E" w14:textId="77777777" w:rsidR="00A25F4D" w:rsidRPr="00702488" w:rsidRDefault="00A25F4D" w:rsidP="009E27B8"/>
        </w:tc>
      </w:tr>
      <w:tr w:rsidR="00A25F4D" w:rsidRPr="00702488" w14:paraId="72958D28" w14:textId="77777777" w:rsidTr="009E27B8">
        <w:trPr>
          <w:cantSplit/>
          <w:trHeight w:hRule="exact" w:val="2835"/>
        </w:trPr>
        <w:tc>
          <w:tcPr>
            <w:tcW w:w="397" w:type="dxa"/>
            <w:shd w:val="clear" w:color="auto" w:fill="auto"/>
          </w:tcPr>
          <w:p w14:paraId="6D1A7484" w14:textId="77777777" w:rsidR="00A25F4D" w:rsidRPr="00702488" w:rsidRDefault="00A25F4D" w:rsidP="009E27B8"/>
        </w:tc>
        <w:tc>
          <w:tcPr>
            <w:tcW w:w="3005" w:type="dxa"/>
            <w:shd w:val="clear" w:color="auto" w:fill="auto"/>
          </w:tcPr>
          <w:p w14:paraId="2AF4D441" w14:textId="77777777" w:rsidR="00A25F4D" w:rsidRPr="00702488" w:rsidRDefault="00A25F4D" w:rsidP="009E27B8"/>
        </w:tc>
        <w:tc>
          <w:tcPr>
            <w:tcW w:w="7655" w:type="dxa"/>
            <w:shd w:val="clear" w:color="auto" w:fill="auto"/>
          </w:tcPr>
          <w:p w14:paraId="0D7F9576" w14:textId="77777777" w:rsidR="00A25F4D" w:rsidRPr="00702488" w:rsidRDefault="007D1886" w:rsidP="007D1886">
            <w:pPr>
              <w:pStyle w:val="Publicationtype"/>
              <w:rPr>
                <w:lang w:val="en-GB"/>
              </w:rPr>
            </w:pPr>
            <w:r w:rsidRPr="00702488">
              <w:rPr>
                <w:noProof/>
                <w:lang w:val="en-GB"/>
              </w:rPr>
              <w:drawing>
                <wp:inline distT="0" distB="0" distL="0" distR="0" wp14:anchorId="5FFCEE32" wp14:editId="054ACBD6">
                  <wp:extent cx="2412497" cy="1086614"/>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ker til woed_pos 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12497" cy="1086614"/>
                          </a:xfrm>
                          <a:prstGeom prst="rect">
                            <a:avLst/>
                          </a:prstGeom>
                        </pic:spPr>
                      </pic:pic>
                    </a:graphicData>
                  </a:graphic>
                </wp:inline>
              </w:drawing>
            </w:r>
          </w:p>
        </w:tc>
      </w:tr>
      <w:tr w:rsidR="00A25F4D" w:rsidRPr="00702488" w14:paraId="5FCB92B2" w14:textId="77777777" w:rsidTr="009E27B8">
        <w:trPr>
          <w:cantSplit/>
          <w:trHeight w:hRule="exact" w:val="4990"/>
        </w:trPr>
        <w:tc>
          <w:tcPr>
            <w:tcW w:w="397" w:type="dxa"/>
            <w:shd w:val="clear" w:color="auto" w:fill="auto"/>
          </w:tcPr>
          <w:p w14:paraId="6E5527B2" w14:textId="77777777" w:rsidR="00A25F4D" w:rsidRPr="00702488" w:rsidRDefault="00A25F4D" w:rsidP="009E27B8"/>
        </w:tc>
        <w:tc>
          <w:tcPr>
            <w:tcW w:w="3005" w:type="dxa"/>
            <w:shd w:val="clear" w:color="auto" w:fill="auto"/>
          </w:tcPr>
          <w:p w14:paraId="53E0D4B8" w14:textId="77777777" w:rsidR="00A25F4D" w:rsidRPr="00702488" w:rsidRDefault="00A25F4D" w:rsidP="009E27B8"/>
        </w:tc>
        <w:tc>
          <w:tcPr>
            <w:tcW w:w="7655" w:type="dxa"/>
            <w:shd w:val="clear" w:color="auto" w:fill="auto"/>
          </w:tcPr>
          <w:p w14:paraId="734D76D3" w14:textId="5AEBE83E" w:rsidR="00A25F4D" w:rsidRPr="00702488" w:rsidRDefault="006839DA" w:rsidP="009E27B8">
            <w:pPr>
              <w:pStyle w:val="Publicationtype"/>
              <w:rPr>
                <w:lang w:val="en-GB"/>
              </w:rPr>
            </w:pPr>
            <w:sdt>
              <w:sdtPr>
                <w:rPr>
                  <w:lang w:val="en-GB"/>
                </w:rPr>
                <w:alias w:val="Type of publication"/>
                <w:tag w:val="Type of publication"/>
                <w:id w:val="792724066"/>
                <w:placeholder>
                  <w:docPart w:val="04C3FD4F8FFE7242968CE8649C9A9438"/>
                </w:placeholder>
                <w:dataBinding w:prefixMappings="xmlns:ns0='http://www.getsharp.dk/gsit_espon_report' " w:xpath="/ns0:gsit_espon_report[1]/ns0:publicationdata[1]/ns0:publicationtype[1]" w:storeItemID="{A9FD399A-B783-48CD-9A92-4847D56C8A13}"/>
                <w:text/>
              </w:sdtPr>
              <w:sdtEndPr/>
              <w:sdtContent>
                <w:r w:rsidR="002D21C7" w:rsidRPr="00702488">
                  <w:rPr>
                    <w:lang w:val="en-GB"/>
                  </w:rPr>
                  <w:t>ESPON targeted analysis</w:t>
                </w:r>
              </w:sdtContent>
            </w:sdt>
            <w:r w:rsidR="00A25F4D" w:rsidRPr="00702488">
              <w:rPr>
                <w:lang w:val="en-GB"/>
              </w:rPr>
              <w:t xml:space="preserve"> //</w:t>
            </w:r>
          </w:p>
          <w:sdt>
            <w:sdtPr>
              <w:alias w:val="Title"/>
              <w:tag w:val="Title"/>
              <w:id w:val="-1145586803"/>
              <w:placeholder>
                <w:docPart w:val="D69785AC108FAB4DBAB96BCDEB29D37C"/>
              </w:placeholder>
              <w:dataBinding w:prefixMappings="xmlns:ns0='http://www.getsharp.dk/gsit_espon_report' " w:xpath="/ns0:gsit_espon_report[1]/ns0:publicationdata[1]/ns0:reporttitle[1]" w:storeItemID="{A9FD399A-B783-48CD-9A92-4847D56C8A13}"/>
              <w:text w:multiLine="1"/>
            </w:sdtPr>
            <w:sdtEndPr/>
            <w:sdtContent>
              <w:p w14:paraId="7DD470A3" w14:textId="0CFCF1FC" w:rsidR="00A25F4D" w:rsidRPr="00702488" w:rsidRDefault="006C658F" w:rsidP="009E27B8">
                <w:pPr>
                  <w:pStyle w:val="Title"/>
                </w:pPr>
                <w:r w:rsidRPr="00702488">
                  <w:t>TEVI 2050</w:t>
                </w:r>
              </w:p>
            </w:sdtContent>
          </w:sdt>
          <w:sdt>
            <w:sdtPr>
              <w:alias w:val="Subtitle"/>
              <w:tag w:val="Subtitle"/>
              <w:id w:val="2129119009"/>
              <w:placeholder>
                <w:docPart w:val="716503AC85AEFC46AA5840CC0F9C4390"/>
              </w:placeholder>
              <w:dataBinding w:prefixMappings="xmlns:ns0='http://www.getsharp.dk/gsit_espon_report' " w:xpath="/ns0:gsit_espon_report[1]/ns0:publicationdata[1]/ns0:reportsubtitle[1]" w:storeItemID="{A9FD399A-B783-48CD-9A92-4847D56C8A13}"/>
              <w:text w:multiLine="1"/>
            </w:sdtPr>
            <w:sdtEndPr/>
            <w:sdtContent>
              <w:p w14:paraId="59F2244F" w14:textId="2AB14EF2" w:rsidR="00A25F4D" w:rsidRPr="00702488" w:rsidRDefault="006C658F" w:rsidP="009E27B8">
                <w:pPr>
                  <w:pStyle w:val="Subtitle"/>
                </w:pPr>
                <w:r w:rsidRPr="00702488">
                  <w:t>Territorial Scenarios for the Danube and Adriatic Ionian Macro-regions</w:t>
                </w:r>
              </w:p>
            </w:sdtContent>
          </w:sdt>
          <w:p w14:paraId="3967D7B8" w14:textId="679B0025" w:rsidR="00A25F4D" w:rsidRPr="00702488" w:rsidRDefault="006839DA" w:rsidP="009E27B8">
            <w:pPr>
              <w:pStyle w:val="Reporttype"/>
            </w:pPr>
            <w:sdt>
              <w:sdtPr>
                <w:alias w:val="Type of Report, Annex, etc."/>
                <w:tag w:val="Type of Report, Annex, etc."/>
                <w:id w:val="-1475984646"/>
                <w:placeholder>
                  <w:docPart w:val="C9A7C9819E48714C996C6480E50396F5"/>
                </w:placeholder>
                <w:dataBinding w:prefixMappings="xmlns:ns0='http://www.getsharp.dk/gsit_espon_report' " w:xpath="/ns0:gsit_espon_report[1]/ns0:publicationdata[1]/ns0:reporttype[1]" w:storeItemID="{A9FD399A-B783-48CD-9A92-4847D56C8A13}"/>
                <w:text/>
              </w:sdtPr>
              <w:sdtEndPr/>
              <w:sdtContent>
                <w:r>
                  <w:t>Final Report, PART II – Possible territorial scenarios for the EUSDR //</w:t>
                </w:r>
              </w:sdtContent>
            </w:sdt>
            <w:r w:rsidR="00A25F4D" w:rsidRPr="00702488">
              <w:t xml:space="preserve"> </w:t>
            </w:r>
            <w:sdt>
              <w:sdtPr>
                <w:alias w:val="Month Year"/>
                <w:tag w:val="Month Year"/>
                <w:id w:val="-926803433"/>
                <w:placeholder>
                  <w:docPart w:val="89129A2E5270B14E94F9401F5333E95C"/>
                </w:placeholder>
                <w:dataBinding w:prefixMappings="xmlns:ns0='http://www.getsharp.dk/gsit_espon_report' " w:xpath="/ns0:gsit_espon_report[1]/ns0:publicationdata[1]/ns0:published[1]" w:storeItemID="{A9FD399A-B783-48CD-9A92-4847D56C8A13}"/>
                <w:text/>
              </w:sdtPr>
              <w:sdtEndPr/>
              <w:sdtContent>
                <w:r w:rsidR="0068045E">
                  <w:t xml:space="preserve">11 April 2022 </w:t>
                </w:r>
              </w:sdtContent>
            </w:sdt>
          </w:p>
        </w:tc>
      </w:tr>
    </w:tbl>
    <w:tbl>
      <w:tblPr>
        <w:tblpPr w:leftFromText="142" w:rightFromText="142" w:horzAnchor="page" w:tblpYSpec="bottom"/>
        <w:tblOverlap w:val="never"/>
        <w:tblW w:w="11057" w:type="dxa"/>
        <w:tblLayout w:type="fixed"/>
        <w:tblLook w:val="04A0" w:firstRow="1" w:lastRow="0" w:firstColumn="1" w:lastColumn="0" w:noHBand="0" w:noVBand="1"/>
      </w:tblPr>
      <w:tblGrid>
        <w:gridCol w:w="397"/>
        <w:gridCol w:w="3005"/>
        <w:gridCol w:w="7655"/>
      </w:tblGrid>
      <w:tr w:rsidR="00A25F4D" w:rsidRPr="00702488" w14:paraId="7D019B74" w14:textId="77777777" w:rsidTr="009E27B8">
        <w:trPr>
          <w:cantSplit/>
        </w:trPr>
        <w:tc>
          <w:tcPr>
            <w:tcW w:w="397" w:type="dxa"/>
            <w:shd w:val="clear" w:color="auto" w:fill="auto"/>
          </w:tcPr>
          <w:p w14:paraId="1FC7A33D" w14:textId="77777777" w:rsidR="00A25F4D" w:rsidRPr="00702488" w:rsidRDefault="00A25F4D" w:rsidP="009E27B8"/>
        </w:tc>
        <w:tc>
          <w:tcPr>
            <w:tcW w:w="3005" w:type="dxa"/>
            <w:shd w:val="clear" w:color="auto" w:fill="auto"/>
          </w:tcPr>
          <w:p w14:paraId="48CE1634" w14:textId="77777777" w:rsidR="00A25F4D" w:rsidRPr="00702488" w:rsidRDefault="00A25F4D" w:rsidP="009E27B8"/>
        </w:tc>
        <w:tc>
          <w:tcPr>
            <w:tcW w:w="7655" w:type="dxa"/>
            <w:shd w:val="clear" w:color="auto" w:fill="auto"/>
            <w:vAlign w:val="bottom"/>
          </w:tcPr>
          <w:p w14:paraId="2536A7D4" w14:textId="77777777" w:rsidR="00A25F4D" w:rsidRPr="00702488" w:rsidRDefault="009E27B8" w:rsidP="009E27B8">
            <w:pPr>
              <w:pStyle w:val="Disclaimerheading"/>
            </w:pPr>
            <w:r w:rsidRPr="00702488">
              <w:t>Disclaimer</w:t>
            </w:r>
          </w:p>
          <w:p w14:paraId="3CD128D0" w14:textId="5D2DDC27" w:rsidR="009E27B8" w:rsidRPr="00702488" w:rsidRDefault="009E27B8" w:rsidP="009E27B8">
            <w:pPr>
              <w:pStyle w:val="Disclaimerbody"/>
              <w:spacing w:after="110"/>
            </w:pPr>
            <w:r w:rsidRPr="00702488">
              <w:t xml:space="preserve">This document is a </w:t>
            </w:r>
            <w:sdt>
              <w:sdtPr>
                <w:id w:val="-1825657294"/>
                <w:placeholder>
                  <w:docPart w:val="A8DD16DD25FA2549AEB36E6CABC270A1"/>
                </w:placeholder>
                <w:comboBox>
                  <w:listItem w:value="Choose an item."/>
                  <w:listItem w:displayText="inception" w:value="inception"/>
                  <w:listItem w:displayText="interim" w:value="interim"/>
                  <w:listItem w:displayText="draft" w:value="draft"/>
                  <w:listItem w:displayText="final" w:value="final"/>
                </w:comboBox>
              </w:sdtPr>
              <w:sdtEndPr/>
              <w:sdtContent>
                <w:r w:rsidR="00E8723C">
                  <w:t>f</w:t>
                </w:r>
                <w:r w:rsidR="002D21C7" w:rsidRPr="00702488">
                  <w:t>inal</w:t>
                </w:r>
              </w:sdtContent>
            </w:sdt>
            <w:r w:rsidRPr="00702488">
              <w:t xml:space="preserve"> report.</w:t>
            </w:r>
          </w:p>
          <w:p w14:paraId="3F178143" w14:textId="77777777" w:rsidR="009E27B8" w:rsidRPr="00702488" w:rsidRDefault="009E27B8" w:rsidP="009E27B8">
            <w:pPr>
              <w:pStyle w:val="Disclaimerbody"/>
              <w:spacing w:after="110"/>
            </w:pPr>
            <w:r w:rsidRPr="00702488">
              <w:t>The information contained herein is subject to change and does not commit the ESPON EGTC and the countries participating in the ESPON 2020 Cooperation Programme.</w:t>
            </w:r>
          </w:p>
          <w:p w14:paraId="03C6CF0B" w14:textId="77777777" w:rsidR="009E27B8" w:rsidRPr="00702488" w:rsidRDefault="009E27B8" w:rsidP="009E27B8">
            <w:pPr>
              <w:pStyle w:val="Disclaimerbody"/>
            </w:pPr>
            <w:r w:rsidRPr="00702488">
              <w:t>The final version of the report will be published as soon as approved.</w:t>
            </w:r>
          </w:p>
        </w:tc>
      </w:tr>
    </w:tbl>
    <w:p w14:paraId="41B5B5C4" w14:textId="77777777" w:rsidR="004161B2" w:rsidRPr="00702488" w:rsidRDefault="004161B2" w:rsidP="009E27B8">
      <w:pPr>
        <w:sectPr w:rsidR="004161B2" w:rsidRPr="00702488" w:rsidSect="00E71F5F">
          <w:headerReference w:type="default" r:id="rId17"/>
          <w:pgSz w:w="11906" w:h="16838" w:code="9"/>
          <w:pgMar w:top="1418" w:right="1418" w:bottom="1418" w:left="1985" w:header="567" w:footer="737" w:gutter="0"/>
          <w:cols w:space="708"/>
          <w:docGrid w:linePitch="360"/>
        </w:sectPr>
      </w:pPr>
    </w:p>
    <w:sdt>
      <w:sdtPr>
        <w:rPr>
          <w:rFonts w:asciiTheme="minorHAnsi" w:eastAsiaTheme="minorHAnsi" w:hAnsiTheme="minorHAnsi" w:cstheme="minorBidi"/>
          <w:b w:val="0"/>
          <w:color w:val="auto"/>
          <w:sz w:val="18"/>
          <w:szCs w:val="18"/>
        </w:rPr>
        <w:id w:val="585350001"/>
        <w:docPartObj>
          <w:docPartGallery w:val="Table of Contents"/>
          <w:docPartUnique/>
        </w:docPartObj>
      </w:sdtPr>
      <w:sdtEndPr>
        <w:rPr>
          <w:bCs/>
          <w:noProof/>
        </w:rPr>
      </w:sdtEndPr>
      <w:sdtContent>
        <w:p w14:paraId="730AE728" w14:textId="77777777" w:rsidR="008F6C52" w:rsidRPr="00702488" w:rsidRDefault="008F6C52" w:rsidP="00651F74">
          <w:pPr>
            <w:pStyle w:val="TOCHeading"/>
          </w:pPr>
          <w:r w:rsidRPr="00702488">
            <w:t>Table of contents</w:t>
          </w:r>
        </w:p>
        <w:p w14:paraId="5A30DE6C" w14:textId="7482A0CC" w:rsidR="00865340" w:rsidRDefault="008F6C52">
          <w:pPr>
            <w:pStyle w:val="TOC1"/>
            <w:rPr>
              <w:rFonts w:eastAsiaTheme="minorEastAsia"/>
              <w:b w:val="0"/>
              <w:noProof/>
              <w:color w:val="auto"/>
              <w:sz w:val="24"/>
              <w:szCs w:val="24"/>
              <w:lang w:val="en-LU" w:eastAsia="en-GB"/>
            </w:rPr>
          </w:pPr>
          <w:r w:rsidRPr="00702488">
            <w:fldChar w:fldCharType="begin"/>
          </w:r>
          <w:r w:rsidRPr="00702488">
            <w:instrText xml:space="preserve"> TOC \o "1-</w:instrText>
          </w:r>
          <w:r w:rsidR="00323BAA" w:rsidRPr="00702488">
            <w:instrText>4</w:instrText>
          </w:r>
          <w:r w:rsidRPr="00702488">
            <w:instrText xml:space="preserve">" \h \z \u </w:instrText>
          </w:r>
          <w:r w:rsidRPr="00702488">
            <w:fldChar w:fldCharType="separate"/>
          </w:r>
          <w:hyperlink w:anchor="_Toc100584653" w:history="1">
            <w:r w:rsidR="00865340" w:rsidRPr="00A35FC7">
              <w:rPr>
                <w:rStyle w:val="Hyperlink"/>
                <w:noProof/>
              </w:rPr>
              <w:t>Abbreviations</w:t>
            </w:r>
            <w:r w:rsidR="00865340">
              <w:rPr>
                <w:noProof/>
                <w:webHidden/>
              </w:rPr>
              <w:tab/>
            </w:r>
            <w:r w:rsidR="00865340">
              <w:rPr>
                <w:noProof/>
                <w:webHidden/>
              </w:rPr>
              <w:fldChar w:fldCharType="begin"/>
            </w:r>
            <w:r w:rsidR="00865340">
              <w:rPr>
                <w:noProof/>
                <w:webHidden/>
              </w:rPr>
              <w:instrText xml:space="preserve"> PAGEREF _Toc100584653 \h </w:instrText>
            </w:r>
            <w:r w:rsidR="00865340">
              <w:rPr>
                <w:noProof/>
                <w:webHidden/>
              </w:rPr>
            </w:r>
            <w:r w:rsidR="00865340">
              <w:rPr>
                <w:noProof/>
                <w:webHidden/>
              </w:rPr>
              <w:fldChar w:fldCharType="separate"/>
            </w:r>
            <w:r w:rsidR="006839DA">
              <w:rPr>
                <w:noProof/>
                <w:webHidden/>
              </w:rPr>
              <w:t>7</w:t>
            </w:r>
            <w:r w:rsidR="00865340">
              <w:rPr>
                <w:noProof/>
                <w:webHidden/>
              </w:rPr>
              <w:fldChar w:fldCharType="end"/>
            </w:r>
          </w:hyperlink>
        </w:p>
        <w:p w14:paraId="1FD1CC26" w14:textId="2E2234E6" w:rsidR="00865340" w:rsidRDefault="006839DA">
          <w:pPr>
            <w:pStyle w:val="TOC1"/>
            <w:rPr>
              <w:rFonts w:eastAsiaTheme="minorEastAsia"/>
              <w:b w:val="0"/>
              <w:noProof/>
              <w:color w:val="auto"/>
              <w:sz w:val="24"/>
              <w:szCs w:val="24"/>
              <w:lang w:val="en-LU" w:eastAsia="en-GB"/>
            </w:rPr>
          </w:pPr>
          <w:hyperlink w:anchor="_Toc100584654" w:history="1">
            <w:r w:rsidR="00865340" w:rsidRPr="00A35FC7">
              <w:rPr>
                <w:rStyle w:val="Hyperlink"/>
                <w:noProof/>
              </w:rPr>
              <w:t>1</w:t>
            </w:r>
            <w:r w:rsidR="00865340">
              <w:rPr>
                <w:rFonts w:eastAsiaTheme="minorEastAsia"/>
                <w:b w:val="0"/>
                <w:noProof/>
                <w:color w:val="auto"/>
                <w:sz w:val="24"/>
                <w:szCs w:val="24"/>
                <w:lang w:val="en-LU" w:eastAsia="en-GB"/>
              </w:rPr>
              <w:tab/>
            </w:r>
            <w:r w:rsidR="00865340" w:rsidRPr="00A35FC7">
              <w:rPr>
                <w:rStyle w:val="Hyperlink"/>
                <w:noProof/>
              </w:rPr>
              <w:t>Introduction</w:t>
            </w:r>
            <w:r w:rsidR="00865340">
              <w:rPr>
                <w:noProof/>
                <w:webHidden/>
              </w:rPr>
              <w:tab/>
            </w:r>
            <w:r w:rsidR="00865340">
              <w:rPr>
                <w:noProof/>
                <w:webHidden/>
              </w:rPr>
              <w:fldChar w:fldCharType="begin"/>
            </w:r>
            <w:r w:rsidR="00865340">
              <w:rPr>
                <w:noProof/>
                <w:webHidden/>
              </w:rPr>
              <w:instrText xml:space="preserve"> PAGEREF _Toc100584654 \h </w:instrText>
            </w:r>
            <w:r w:rsidR="00865340">
              <w:rPr>
                <w:noProof/>
                <w:webHidden/>
              </w:rPr>
            </w:r>
            <w:r w:rsidR="00865340">
              <w:rPr>
                <w:noProof/>
                <w:webHidden/>
              </w:rPr>
              <w:fldChar w:fldCharType="separate"/>
            </w:r>
            <w:r>
              <w:rPr>
                <w:noProof/>
                <w:webHidden/>
              </w:rPr>
              <w:t>8</w:t>
            </w:r>
            <w:r w:rsidR="00865340">
              <w:rPr>
                <w:noProof/>
                <w:webHidden/>
              </w:rPr>
              <w:fldChar w:fldCharType="end"/>
            </w:r>
          </w:hyperlink>
        </w:p>
        <w:p w14:paraId="4E918B65" w14:textId="46EA515B" w:rsidR="00865340" w:rsidRDefault="006839DA">
          <w:pPr>
            <w:pStyle w:val="TOC2"/>
            <w:rPr>
              <w:rFonts w:eastAsiaTheme="minorEastAsia"/>
              <w:noProof/>
              <w:sz w:val="24"/>
              <w:szCs w:val="24"/>
              <w:lang w:val="en-LU" w:eastAsia="en-GB"/>
            </w:rPr>
          </w:pPr>
          <w:hyperlink w:anchor="_Toc100584655" w:history="1">
            <w:r w:rsidR="00865340" w:rsidRPr="00A35FC7">
              <w:rPr>
                <w:rStyle w:val="Hyperlink"/>
                <w:noProof/>
              </w:rPr>
              <w:t>1.1</w:t>
            </w:r>
            <w:r w:rsidR="00865340">
              <w:rPr>
                <w:rFonts w:eastAsiaTheme="minorEastAsia"/>
                <w:noProof/>
                <w:sz w:val="24"/>
                <w:szCs w:val="24"/>
                <w:lang w:val="en-LU" w:eastAsia="en-GB"/>
              </w:rPr>
              <w:tab/>
            </w:r>
            <w:r w:rsidR="00865340" w:rsidRPr="00A35FC7">
              <w:rPr>
                <w:rStyle w:val="Hyperlink"/>
                <w:noProof/>
              </w:rPr>
              <w:t>Introduction to the study</w:t>
            </w:r>
            <w:r w:rsidR="00865340">
              <w:rPr>
                <w:noProof/>
                <w:webHidden/>
              </w:rPr>
              <w:tab/>
            </w:r>
            <w:r w:rsidR="00865340">
              <w:rPr>
                <w:noProof/>
                <w:webHidden/>
              </w:rPr>
              <w:fldChar w:fldCharType="begin"/>
            </w:r>
            <w:r w:rsidR="00865340">
              <w:rPr>
                <w:noProof/>
                <w:webHidden/>
              </w:rPr>
              <w:instrText xml:space="preserve"> PAGEREF _Toc100584655 \h </w:instrText>
            </w:r>
            <w:r w:rsidR="00865340">
              <w:rPr>
                <w:noProof/>
                <w:webHidden/>
              </w:rPr>
            </w:r>
            <w:r w:rsidR="00865340">
              <w:rPr>
                <w:noProof/>
                <w:webHidden/>
              </w:rPr>
              <w:fldChar w:fldCharType="separate"/>
            </w:r>
            <w:r>
              <w:rPr>
                <w:noProof/>
                <w:webHidden/>
              </w:rPr>
              <w:t>8</w:t>
            </w:r>
            <w:r w:rsidR="00865340">
              <w:rPr>
                <w:noProof/>
                <w:webHidden/>
              </w:rPr>
              <w:fldChar w:fldCharType="end"/>
            </w:r>
          </w:hyperlink>
        </w:p>
        <w:p w14:paraId="409D875F" w14:textId="7B08C4BA" w:rsidR="00865340" w:rsidRDefault="006839DA">
          <w:pPr>
            <w:pStyle w:val="TOC2"/>
            <w:rPr>
              <w:rFonts w:eastAsiaTheme="minorEastAsia"/>
              <w:noProof/>
              <w:sz w:val="24"/>
              <w:szCs w:val="24"/>
              <w:lang w:val="en-LU" w:eastAsia="en-GB"/>
            </w:rPr>
          </w:pPr>
          <w:hyperlink w:anchor="_Toc100584656" w:history="1">
            <w:r w:rsidR="00865340" w:rsidRPr="00A35FC7">
              <w:rPr>
                <w:rStyle w:val="Hyperlink"/>
                <w:noProof/>
              </w:rPr>
              <w:t>1.2</w:t>
            </w:r>
            <w:r w:rsidR="00865340">
              <w:rPr>
                <w:rFonts w:eastAsiaTheme="minorEastAsia"/>
                <w:noProof/>
                <w:sz w:val="24"/>
                <w:szCs w:val="24"/>
                <w:lang w:val="en-LU" w:eastAsia="en-GB"/>
              </w:rPr>
              <w:tab/>
            </w:r>
            <w:r w:rsidR="00865340" w:rsidRPr="00A35FC7">
              <w:rPr>
                <w:rStyle w:val="Hyperlink"/>
                <w:noProof/>
              </w:rPr>
              <w:t>Introduction to Part II</w:t>
            </w:r>
            <w:r w:rsidR="00865340">
              <w:rPr>
                <w:noProof/>
                <w:webHidden/>
              </w:rPr>
              <w:tab/>
            </w:r>
            <w:r w:rsidR="00865340">
              <w:rPr>
                <w:noProof/>
                <w:webHidden/>
              </w:rPr>
              <w:fldChar w:fldCharType="begin"/>
            </w:r>
            <w:r w:rsidR="00865340">
              <w:rPr>
                <w:noProof/>
                <w:webHidden/>
              </w:rPr>
              <w:instrText xml:space="preserve"> PAGEREF _Toc100584656 \h </w:instrText>
            </w:r>
            <w:r w:rsidR="00865340">
              <w:rPr>
                <w:noProof/>
                <w:webHidden/>
              </w:rPr>
            </w:r>
            <w:r w:rsidR="00865340">
              <w:rPr>
                <w:noProof/>
                <w:webHidden/>
              </w:rPr>
              <w:fldChar w:fldCharType="separate"/>
            </w:r>
            <w:r>
              <w:rPr>
                <w:noProof/>
                <w:webHidden/>
              </w:rPr>
              <w:t>8</w:t>
            </w:r>
            <w:r w:rsidR="00865340">
              <w:rPr>
                <w:noProof/>
                <w:webHidden/>
              </w:rPr>
              <w:fldChar w:fldCharType="end"/>
            </w:r>
          </w:hyperlink>
        </w:p>
        <w:p w14:paraId="765F0DA4" w14:textId="56DBF9E3" w:rsidR="00865340" w:rsidRDefault="006839DA">
          <w:pPr>
            <w:pStyle w:val="TOC2"/>
            <w:rPr>
              <w:rFonts w:eastAsiaTheme="minorEastAsia"/>
              <w:noProof/>
              <w:sz w:val="24"/>
              <w:szCs w:val="24"/>
              <w:lang w:val="en-LU" w:eastAsia="en-GB"/>
            </w:rPr>
          </w:pPr>
          <w:hyperlink w:anchor="_Toc100584657" w:history="1">
            <w:r w:rsidR="00865340" w:rsidRPr="00A35FC7">
              <w:rPr>
                <w:rStyle w:val="Hyperlink"/>
                <w:noProof/>
              </w:rPr>
              <w:t>1.3</w:t>
            </w:r>
            <w:r w:rsidR="00865340">
              <w:rPr>
                <w:rFonts w:eastAsiaTheme="minorEastAsia"/>
                <w:noProof/>
                <w:sz w:val="24"/>
                <w:szCs w:val="24"/>
                <w:lang w:val="en-LU" w:eastAsia="en-GB"/>
              </w:rPr>
              <w:tab/>
            </w:r>
            <w:r w:rsidR="00865340" w:rsidRPr="00A35FC7">
              <w:rPr>
                <w:rStyle w:val="Hyperlink"/>
                <w:noProof/>
              </w:rPr>
              <w:t>How to read the scenarios</w:t>
            </w:r>
            <w:r w:rsidR="00865340">
              <w:rPr>
                <w:noProof/>
                <w:webHidden/>
              </w:rPr>
              <w:tab/>
            </w:r>
            <w:r w:rsidR="00865340">
              <w:rPr>
                <w:noProof/>
                <w:webHidden/>
              </w:rPr>
              <w:fldChar w:fldCharType="begin"/>
            </w:r>
            <w:r w:rsidR="00865340">
              <w:rPr>
                <w:noProof/>
                <w:webHidden/>
              </w:rPr>
              <w:instrText xml:space="preserve"> PAGEREF _Toc100584657 \h </w:instrText>
            </w:r>
            <w:r w:rsidR="00865340">
              <w:rPr>
                <w:noProof/>
                <w:webHidden/>
              </w:rPr>
            </w:r>
            <w:r w:rsidR="00865340">
              <w:rPr>
                <w:noProof/>
                <w:webHidden/>
              </w:rPr>
              <w:fldChar w:fldCharType="separate"/>
            </w:r>
            <w:r>
              <w:rPr>
                <w:noProof/>
                <w:webHidden/>
              </w:rPr>
              <w:t>8</w:t>
            </w:r>
            <w:r w:rsidR="00865340">
              <w:rPr>
                <w:noProof/>
                <w:webHidden/>
              </w:rPr>
              <w:fldChar w:fldCharType="end"/>
            </w:r>
          </w:hyperlink>
        </w:p>
        <w:p w14:paraId="379B4D61" w14:textId="4F65571B" w:rsidR="00865340" w:rsidRDefault="006839DA">
          <w:pPr>
            <w:pStyle w:val="TOC1"/>
            <w:rPr>
              <w:rFonts w:eastAsiaTheme="minorEastAsia"/>
              <w:b w:val="0"/>
              <w:noProof/>
              <w:color w:val="auto"/>
              <w:sz w:val="24"/>
              <w:szCs w:val="24"/>
              <w:lang w:val="en-LU" w:eastAsia="en-GB"/>
            </w:rPr>
          </w:pPr>
          <w:hyperlink w:anchor="_Toc100584658" w:history="1">
            <w:r w:rsidR="00865340" w:rsidRPr="00A35FC7">
              <w:rPr>
                <w:rStyle w:val="Hyperlink"/>
                <w:noProof/>
              </w:rPr>
              <w:t>2</w:t>
            </w:r>
            <w:r w:rsidR="00865340">
              <w:rPr>
                <w:rFonts w:eastAsiaTheme="minorEastAsia"/>
                <w:b w:val="0"/>
                <w:noProof/>
                <w:color w:val="auto"/>
                <w:sz w:val="24"/>
                <w:szCs w:val="24"/>
                <w:lang w:val="en-LU" w:eastAsia="en-GB"/>
              </w:rPr>
              <w:tab/>
            </w:r>
            <w:r w:rsidR="00865340" w:rsidRPr="00A35FC7">
              <w:rPr>
                <w:rStyle w:val="Hyperlink"/>
                <w:noProof/>
              </w:rPr>
              <w:t>Key findings on EUSDR</w:t>
            </w:r>
            <w:r w:rsidR="00865340">
              <w:rPr>
                <w:noProof/>
                <w:webHidden/>
              </w:rPr>
              <w:tab/>
            </w:r>
            <w:r w:rsidR="00865340">
              <w:rPr>
                <w:noProof/>
                <w:webHidden/>
              </w:rPr>
              <w:fldChar w:fldCharType="begin"/>
            </w:r>
            <w:r w:rsidR="00865340">
              <w:rPr>
                <w:noProof/>
                <w:webHidden/>
              </w:rPr>
              <w:instrText xml:space="preserve"> PAGEREF _Toc100584658 \h </w:instrText>
            </w:r>
            <w:r w:rsidR="00865340">
              <w:rPr>
                <w:noProof/>
                <w:webHidden/>
              </w:rPr>
            </w:r>
            <w:r w:rsidR="00865340">
              <w:rPr>
                <w:noProof/>
                <w:webHidden/>
              </w:rPr>
              <w:fldChar w:fldCharType="separate"/>
            </w:r>
            <w:r>
              <w:rPr>
                <w:noProof/>
                <w:webHidden/>
              </w:rPr>
              <w:t>10</w:t>
            </w:r>
            <w:r w:rsidR="00865340">
              <w:rPr>
                <w:noProof/>
                <w:webHidden/>
              </w:rPr>
              <w:fldChar w:fldCharType="end"/>
            </w:r>
          </w:hyperlink>
        </w:p>
        <w:p w14:paraId="5BF4655E" w14:textId="0155A607" w:rsidR="00865340" w:rsidRDefault="006839DA">
          <w:pPr>
            <w:pStyle w:val="TOC1"/>
            <w:rPr>
              <w:rFonts w:eastAsiaTheme="minorEastAsia"/>
              <w:b w:val="0"/>
              <w:noProof/>
              <w:color w:val="auto"/>
              <w:sz w:val="24"/>
              <w:szCs w:val="24"/>
              <w:lang w:val="en-LU" w:eastAsia="en-GB"/>
            </w:rPr>
          </w:pPr>
          <w:hyperlink w:anchor="_Toc100584659" w:history="1">
            <w:r w:rsidR="00865340" w:rsidRPr="00A35FC7">
              <w:rPr>
                <w:rStyle w:val="Hyperlink"/>
                <w:noProof/>
              </w:rPr>
              <w:t>3</w:t>
            </w:r>
            <w:r w:rsidR="00865340">
              <w:rPr>
                <w:rFonts w:eastAsiaTheme="minorEastAsia"/>
                <w:b w:val="0"/>
                <w:noProof/>
                <w:color w:val="auto"/>
                <w:sz w:val="24"/>
                <w:szCs w:val="24"/>
                <w:lang w:val="en-LU" w:eastAsia="en-GB"/>
              </w:rPr>
              <w:tab/>
            </w:r>
            <w:r w:rsidR="00865340" w:rsidRPr="00A35FC7">
              <w:rPr>
                <w:rStyle w:val="Hyperlink"/>
                <w:noProof/>
              </w:rPr>
              <w:t>Setting the scene</w:t>
            </w:r>
            <w:r w:rsidR="00865340">
              <w:rPr>
                <w:noProof/>
                <w:webHidden/>
              </w:rPr>
              <w:tab/>
            </w:r>
            <w:r w:rsidR="00865340">
              <w:rPr>
                <w:noProof/>
                <w:webHidden/>
              </w:rPr>
              <w:fldChar w:fldCharType="begin"/>
            </w:r>
            <w:r w:rsidR="00865340">
              <w:rPr>
                <w:noProof/>
                <w:webHidden/>
              </w:rPr>
              <w:instrText xml:space="preserve"> PAGEREF _Toc100584659 \h </w:instrText>
            </w:r>
            <w:r w:rsidR="00865340">
              <w:rPr>
                <w:noProof/>
                <w:webHidden/>
              </w:rPr>
            </w:r>
            <w:r w:rsidR="00865340">
              <w:rPr>
                <w:noProof/>
                <w:webHidden/>
              </w:rPr>
              <w:fldChar w:fldCharType="separate"/>
            </w:r>
            <w:r>
              <w:rPr>
                <w:noProof/>
                <w:webHidden/>
              </w:rPr>
              <w:t>12</w:t>
            </w:r>
            <w:r w:rsidR="00865340">
              <w:rPr>
                <w:noProof/>
                <w:webHidden/>
              </w:rPr>
              <w:fldChar w:fldCharType="end"/>
            </w:r>
          </w:hyperlink>
        </w:p>
        <w:p w14:paraId="49E1ACE7" w14:textId="1948BF4A" w:rsidR="00865340" w:rsidRDefault="006839DA">
          <w:pPr>
            <w:pStyle w:val="TOC2"/>
            <w:rPr>
              <w:rFonts w:eastAsiaTheme="minorEastAsia"/>
              <w:noProof/>
              <w:sz w:val="24"/>
              <w:szCs w:val="24"/>
              <w:lang w:val="en-LU" w:eastAsia="en-GB"/>
            </w:rPr>
          </w:pPr>
          <w:hyperlink w:anchor="_Toc100584660" w:history="1">
            <w:r w:rsidR="00865340" w:rsidRPr="00A35FC7">
              <w:rPr>
                <w:rStyle w:val="Hyperlink"/>
                <w:noProof/>
              </w:rPr>
              <w:t>3.1</w:t>
            </w:r>
            <w:r w:rsidR="00865340">
              <w:rPr>
                <w:rFonts w:eastAsiaTheme="minorEastAsia"/>
                <w:noProof/>
                <w:sz w:val="24"/>
                <w:szCs w:val="24"/>
                <w:lang w:val="en-LU" w:eastAsia="en-GB"/>
              </w:rPr>
              <w:tab/>
            </w:r>
            <w:r w:rsidR="00865340" w:rsidRPr="00A35FC7">
              <w:rPr>
                <w:rStyle w:val="Hyperlink"/>
                <w:noProof/>
              </w:rPr>
              <w:t>What is in it for cooperation?</w:t>
            </w:r>
            <w:r w:rsidR="00865340">
              <w:rPr>
                <w:noProof/>
                <w:webHidden/>
              </w:rPr>
              <w:tab/>
            </w:r>
            <w:r w:rsidR="00865340">
              <w:rPr>
                <w:noProof/>
                <w:webHidden/>
              </w:rPr>
              <w:fldChar w:fldCharType="begin"/>
            </w:r>
            <w:r w:rsidR="00865340">
              <w:rPr>
                <w:noProof/>
                <w:webHidden/>
              </w:rPr>
              <w:instrText xml:space="preserve"> PAGEREF _Toc100584660 \h </w:instrText>
            </w:r>
            <w:r w:rsidR="00865340">
              <w:rPr>
                <w:noProof/>
                <w:webHidden/>
              </w:rPr>
            </w:r>
            <w:r w:rsidR="00865340">
              <w:rPr>
                <w:noProof/>
                <w:webHidden/>
              </w:rPr>
              <w:fldChar w:fldCharType="separate"/>
            </w:r>
            <w:r>
              <w:rPr>
                <w:noProof/>
                <w:webHidden/>
              </w:rPr>
              <w:t>14</w:t>
            </w:r>
            <w:r w:rsidR="00865340">
              <w:rPr>
                <w:noProof/>
                <w:webHidden/>
              </w:rPr>
              <w:fldChar w:fldCharType="end"/>
            </w:r>
          </w:hyperlink>
        </w:p>
        <w:p w14:paraId="71B2E704" w14:textId="0B29909B" w:rsidR="00865340" w:rsidRDefault="006839DA">
          <w:pPr>
            <w:pStyle w:val="TOC1"/>
            <w:rPr>
              <w:rFonts w:eastAsiaTheme="minorEastAsia"/>
              <w:b w:val="0"/>
              <w:noProof/>
              <w:color w:val="auto"/>
              <w:sz w:val="24"/>
              <w:szCs w:val="24"/>
              <w:lang w:val="en-LU" w:eastAsia="en-GB"/>
            </w:rPr>
          </w:pPr>
          <w:hyperlink w:anchor="_Toc100584661" w:history="1">
            <w:r w:rsidR="00865340" w:rsidRPr="00A35FC7">
              <w:rPr>
                <w:rStyle w:val="Hyperlink"/>
                <w:noProof/>
              </w:rPr>
              <w:t>4</w:t>
            </w:r>
            <w:r w:rsidR="00865340">
              <w:rPr>
                <w:rFonts w:eastAsiaTheme="minorEastAsia"/>
                <w:b w:val="0"/>
                <w:noProof/>
                <w:color w:val="auto"/>
                <w:sz w:val="24"/>
                <w:szCs w:val="24"/>
                <w:lang w:val="en-LU" w:eastAsia="en-GB"/>
              </w:rPr>
              <w:tab/>
            </w:r>
            <w:r w:rsidR="00865340" w:rsidRPr="00A35FC7">
              <w:rPr>
                <w:rStyle w:val="Hyperlink"/>
                <w:noProof/>
              </w:rPr>
              <w:t>EUSDR baseline scenario</w:t>
            </w:r>
            <w:r w:rsidR="00865340">
              <w:rPr>
                <w:noProof/>
                <w:webHidden/>
              </w:rPr>
              <w:tab/>
            </w:r>
            <w:r w:rsidR="00865340">
              <w:rPr>
                <w:noProof/>
                <w:webHidden/>
              </w:rPr>
              <w:fldChar w:fldCharType="begin"/>
            </w:r>
            <w:r w:rsidR="00865340">
              <w:rPr>
                <w:noProof/>
                <w:webHidden/>
              </w:rPr>
              <w:instrText xml:space="preserve"> PAGEREF _Toc100584661 \h </w:instrText>
            </w:r>
            <w:r w:rsidR="00865340">
              <w:rPr>
                <w:noProof/>
                <w:webHidden/>
              </w:rPr>
            </w:r>
            <w:r w:rsidR="00865340">
              <w:rPr>
                <w:noProof/>
                <w:webHidden/>
              </w:rPr>
              <w:fldChar w:fldCharType="separate"/>
            </w:r>
            <w:r>
              <w:rPr>
                <w:noProof/>
                <w:webHidden/>
              </w:rPr>
              <w:t>16</w:t>
            </w:r>
            <w:r w:rsidR="00865340">
              <w:rPr>
                <w:noProof/>
                <w:webHidden/>
              </w:rPr>
              <w:fldChar w:fldCharType="end"/>
            </w:r>
          </w:hyperlink>
        </w:p>
        <w:p w14:paraId="77558121" w14:textId="2FD973DF" w:rsidR="00865340" w:rsidRDefault="006839DA">
          <w:pPr>
            <w:pStyle w:val="TOC2"/>
            <w:rPr>
              <w:rFonts w:eastAsiaTheme="minorEastAsia"/>
              <w:noProof/>
              <w:sz w:val="24"/>
              <w:szCs w:val="24"/>
              <w:lang w:val="en-LU" w:eastAsia="en-GB"/>
            </w:rPr>
          </w:pPr>
          <w:hyperlink w:anchor="_Toc100584662" w:history="1">
            <w:r w:rsidR="00865340" w:rsidRPr="00A35FC7">
              <w:rPr>
                <w:rStyle w:val="Hyperlink"/>
                <w:noProof/>
              </w:rPr>
              <w:t>4.1</w:t>
            </w:r>
            <w:r w:rsidR="00865340">
              <w:rPr>
                <w:rFonts w:eastAsiaTheme="minorEastAsia"/>
                <w:noProof/>
                <w:sz w:val="24"/>
                <w:szCs w:val="24"/>
                <w:lang w:val="en-LU" w:eastAsia="en-GB"/>
              </w:rPr>
              <w:tab/>
            </w:r>
            <w:r w:rsidR="00865340" w:rsidRPr="00A35FC7">
              <w:rPr>
                <w:rStyle w:val="Hyperlink"/>
                <w:noProof/>
              </w:rPr>
              <w:t>The Danube macro-region by 2050</w:t>
            </w:r>
            <w:r w:rsidR="00865340">
              <w:rPr>
                <w:noProof/>
                <w:webHidden/>
              </w:rPr>
              <w:tab/>
            </w:r>
            <w:r w:rsidR="00865340">
              <w:rPr>
                <w:noProof/>
                <w:webHidden/>
              </w:rPr>
              <w:fldChar w:fldCharType="begin"/>
            </w:r>
            <w:r w:rsidR="00865340">
              <w:rPr>
                <w:noProof/>
                <w:webHidden/>
              </w:rPr>
              <w:instrText xml:space="preserve"> PAGEREF _Toc100584662 \h </w:instrText>
            </w:r>
            <w:r w:rsidR="00865340">
              <w:rPr>
                <w:noProof/>
                <w:webHidden/>
              </w:rPr>
            </w:r>
            <w:r w:rsidR="00865340">
              <w:rPr>
                <w:noProof/>
                <w:webHidden/>
              </w:rPr>
              <w:fldChar w:fldCharType="separate"/>
            </w:r>
            <w:r>
              <w:rPr>
                <w:noProof/>
                <w:webHidden/>
              </w:rPr>
              <w:t>17</w:t>
            </w:r>
            <w:r w:rsidR="00865340">
              <w:rPr>
                <w:noProof/>
                <w:webHidden/>
              </w:rPr>
              <w:fldChar w:fldCharType="end"/>
            </w:r>
          </w:hyperlink>
        </w:p>
        <w:p w14:paraId="2647D8C9" w14:textId="429991A7" w:rsidR="00865340" w:rsidRDefault="006839DA">
          <w:pPr>
            <w:pStyle w:val="TOC2"/>
            <w:rPr>
              <w:rFonts w:eastAsiaTheme="minorEastAsia"/>
              <w:noProof/>
              <w:sz w:val="24"/>
              <w:szCs w:val="24"/>
              <w:lang w:val="en-LU" w:eastAsia="en-GB"/>
            </w:rPr>
          </w:pPr>
          <w:hyperlink w:anchor="_Toc100584663" w:history="1">
            <w:r w:rsidR="00865340" w:rsidRPr="00A35FC7">
              <w:rPr>
                <w:rStyle w:val="Hyperlink"/>
                <w:noProof/>
              </w:rPr>
              <w:t>4.2</w:t>
            </w:r>
            <w:r w:rsidR="00865340">
              <w:rPr>
                <w:rFonts w:eastAsiaTheme="minorEastAsia"/>
                <w:noProof/>
                <w:sz w:val="24"/>
                <w:szCs w:val="24"/>
                <w:lang w:val="en-LU" w:eastAsia="en-GB"/>
              </w:rPr>
              <w:tab/>
            </w:r>
            <w:r w:rsidR="00865340" w:rsidRPr="00A35FC7">
              <w:rPr>
                <w:rStyle w:val="Hyperlink"/>
                <w:noProof/>
              </w:rPr>
              <w:t>Conclusions</w:t>
            </w:r>
            <w:r w:rsidR="00865340">
              <w:rPr>
                <w:noProof/>
                <w:webHidden/>
              </w:rPr>
              <w:tab/>
            </w:r>
            <w:r w:rsidR="00865340">
              <w:rPr>
                <w:noProof/>
                <w:webHidden/>
              </w:rPr>
              <w:fldChar w:fldCharType="begin"/>
            </w:r>
            <w:r w:rsidR="00865340">
              <w:rPr>
                <w:noProof/>
                <w:webHidden/>
              </w:rPr>
              <w:instrText xml:space="preserve"> PAGEREF _Toc100584663 \h </w:instrText>
            </w:r>
            <w:r w:rsidR="00865340">
              <w:rPr>
                <w:noProof/>
                <w:webHidden/>
              </w:rPr>
            </w:r>
            <w:r w:rsidR="00865340">
              <w:rPr>
                <w:noProof/>
                <w:webHidden/>
              </w:rPr>
              <w:fldChar w:fldCharType="separate"/>
            </w:r>
            <w:r>
              <w:rPr>
                <w:noProof/>
                <w:webHidden/>
              </w:rPr>
              <w:t>22</w:t>
            </w:r>
            <w:r w:rsidR="00865340">
              <w:rPr>
                <w:noProof/>
                <w:webHidden/>
              </w:rPr>
              <w:fldChar w:fldCharType="end"/>
            </w:r>
          </w:hyperlink>
        </w:p>
        <w:p w14:paraId="2D544BFF" w14:textId="6DE586E0" w:rsidR="00865340" w:rsidRDefault="006839DA">
          <w:pPr>
            <w:pStyle w:val="TOC1"/>
            <w:rPr>
              <w:rFonts w:eastAsiaTheme="minorEastAsia"/>
              <w:b w:val="0"/>
              <w:noProof/>
              <w:color w:val="auto"/>
              <w:sz w:val="24"/>
              <w:szCs w:val="24"/>
              <w:lang w:val="en-LU" w:eastAsia="en-GB"/>
            </w:rPr>
          </w:pPr>
          <w:hyperlink w:anchor="_Toc100584664" w:history="1">
            <w:r w:rsidR="00865340" w:rsidRPr="00A35FC7">
              <w:rPr>
                <w:rStyle w:val="Hyperlink"/>
                <w:noProof/>
              </w:rPr>
              <w:t>5</w:t>
            </w:r>
            <w:r w:rsidR="00865340">
              <w:rPr>
                <w:rFonts w:eastAsiaTheme="minorEastAsia"/>
                <w:b w:val="0"/>
                <w:noProof/>
                <w:color w:val="auto"/>
                <w:sz w:val="24"/>
                <w:szCs w:val="24"/>
                <w:lang w:val="en-LU" w:eastAsia="en-GB"/>
              </w:rPr>
              <w:tab/>
            </w:r>
            <w:r w:rsidR="00865340" w:rsidRPr="00A35FC7">
              <w:rPr>
                <w:rStyle w:val="Hyperlink"/>
                <w:noProof/>
              </w:rPr>
              <w:t>Flourishing in green and social wellbeing</w:t>
            </w:r>
            <w:r w:rsidR="00865340">
              <w:rPr>
                <w:noProof/>
                <w:webHidden/>
              </w:rPr>
              <w:tab/>
            </w:r>
            <w:r w:rsidR="00865340">
              <w:rPr>
                <w:noProof/>
                <w:webHidden/>
              </w:rPr>
              <w:fldChar w:fldCharType="begin"/>
            </w:r>
            <w:r w:rsidR="00865340">
              <w:rPr>
                <w:noProof/>
                <w:webHidden/>
              </w:rPr>
              <w:instrText xml:space="preserve"> PAGEREF _Toc100584664 \h </w:instrText>
            </w:r>
            <w:r w:rsidR="00865340">
              <w:rPr>
                <w:noProof/>
                <w:webHidden/>
              </w:rPr>
            </w:r>
            <w:r w:rsidR="00865340">
              <w:rPr>
                <w:noProof/>
                <w:webHidden/>
              </w:rPr>
              <w:fldChar w:fldCharType="separate"/>
            </w:r>
            <w:r>
              <w:rPr>
                <w:noProof/>
                <w:webHidden/>
              </w:rPr>
              <w:t>23</w:t>
            </w:r>
            <w:r w:rsidR="00865340">
              <w:rPr>
                <w:noProof/>
                <w:webHidden/>
              </w:rPr>
              <w:fldChar w:fldCharType="end"/>
            </w:r>
          </w:hyperlink>
        </w:p>
        <w:p w14:paraId="15F4393A" w14:textId="1828AB96" w:rsidR="00865340" w:rsidRDefault="006839DA">
          <w:pPr>
            <w:pStyle w:val="TOC1"/>
            <w:rPr>
              <w:rFonts w:eastAsiaTheme="minorEastAsia"/>
              <w:b w:val="0"/>
              <w:noProof/>
              <w:color w:val="auto"/>
              <w:sz w:val="24"/>
              <w:szCs w:val="24"/>
              <w:lang w:val="en-LU" w:eastAsia="en-GB"/>
            </w:rPr>
          </w:pPr>
          <w:hyperlink w:anchor="_Toc100584665" w:history="1">
            <w:r w:rsidR="00865340" w:rsidRPr="00A35FC7">
              <w:rPr>
                <w:rStyle w:val="Hyperlink"/>
                <w:noProof/>
              </w:rPr>
              <w:t>6</w:t>
            </w:r>
            <w:r w:rsidR="00865340">
              <w:rPr>
                <w:rFonts w:eastAsiaTheme="minorEastAsia"/>
                <w:b w:val="0"/>
                <w:noProof/>
                <w:color w:val="auto"/>
                <w:sz w:val="24"/>
                <w:szCs w:val="24"/>
                <w:lang w:val="en-LU" w:eastAsia="en-GB"/>
              </w:rPr>
              <w:tab/>
            </w:r>
            <w:r w:rsidR="00865340" w:rsidRPr="00A35FC7">
              <w:rPr>
                <w:rStyle w:val="Hyperlink"/>
                <w:noProof/>
              </w:rPr>
              <w:t>Concluding reflections</w:t>
            </w:r>
            <w:r w:rsidR="00865340">
              <w:rPr>
                <w:noProof/>
                <w:webHidden/>
              </w:rPr>
              <w:tab/>
            </w:r>
            <w:r w:rsidR="00865340">
              <w:rPr>
                <w:noProof/>
                <w:webHidden/>
              </w:rPr>
              <w:fldChar w:fldCharType="begin"/>
            </w:r>
            <w:r w:rsidR="00865340">
              <w:rPr>
                <w:noProof/>
                <w:webHidden/>
              </w:rPr>
              <w:instrText xml:space="preserve"> PAGEREF _Toc100584665 \h </w:instrText>
            </w:r>
            <w:r w:rsidR="00865340">
              <w:rPr>
                <w:noProof/>
                <w:webHidden/>
              </w:rPr>
            </w:r>
            <w:r w:rsidR="00865340">
              <w:rPr>
                <w:noProof/>
                <w:webHidden/>
              </w:rPr>
              <w:fldChar w:fldCharType="separate"/>
            </w:r>
            <w:r>
              <w:rPr>
                <w:noProof/>
                <w:webHidden/>
              </w:rPr>
              <w:t>32</w:t>
            </w:r>
            <w:r w:rsidR="00865340">
              <w:rPr>
                <w:noProof/>
                <w:webHidden/>
              </w:rPr>
              <w:fldChar w:fldCharType="end"/>
            </w:r>
          </w:hyperlink>
        </w:p>
        <w:p w14:paraId="55441367" w14:textId="45279CFF" w:rsidR="00865340" w:rsidRDefault="006839DA">
          <w:pPr>
            <w:pStyle w:val="TOC2"/>
            <w:rPr>
              <w:rFonts w:eastAsiaTheme="minorEastAsia"/>
              <w:noProof/>
              <w:sz w:val="24"/>
              <w:szCs w:val="24"/>
              <w:lang w:val="en-LU" w:eastAsia="en-GB"/>
            </w:rPr>
          </w:pPr>
          <w:hyperlink w:anchor="_Toc100584666" w:history="1">
            <w:r w:rsidR="00865340" w:rsidRPr="00A35FC7">
              <w:rPr>
                <w:rStyle w:val="Hyperlink"/>
                <w:noProof/>
              </w:rPr>
              <w:t>6.1</w:t>
            </w:r>
            <w:r w:rsidR="00865340">
              <w:rPr>
                <w:rFonts w:eastAsiaTheme="minorEastAsia"/>
                <w:noProof/>
                <w:sz w:val="24"/>
                <w:szCs w:val="24"/>
                <w:lang w:val="en-LU" w:eastAsia="en-GB"/>
              </w:rPr>
              <w:tab/>
            </w:r>
            <w:r w:rsidR="00865340" w:rsidRPr="00A35FC7">
              <w:rPr>
                <w:rStyle w:val="Hyperlink"/>
                <w:noProof/>
              </w:rPr>
              <w:t>What are the foundations of the scenario?</w:t>
            </w:r>
            <w:r w:rsidR="00865340">
              <w:rPr>
                <w:noProof/>
                <w:webHidden/>
              </w:rPr>
              <w:tab/>
            </w:r>
            <w:r w:rsidR="00865340">
              <w:rPr>
                <w:noProof/>
                <w:webHidden/>
              </w:rPr>
              <w:fldChar w:fldCharType="begin"/>
            </w:r>
            <w:r w:rsidR="00865340">
              <w:rPr>
                <w:noProof/>
                <w:webHidden/>
              </w:rPr>
              <w:instrText xml:space="preserve"> PAGEREF _Toc100584666 \h </w:instrText>
            </w:r>
            <w:r w:rsidR="00865340">
              <w:rPr>
                <w:noProof/>
                <w:webHidden/>
              </w:rPr>
            </w:r>
            <w:r w:rsidR="00865340">
              <w:rPr>
                <w:noProof/>
                <w:webHidden/>
              </w:rPr>
              <w:fldChar w:fldCharType="separate"/>
            </w:r>
            <w:r>
              <w:rPr>
                <w:noProof/>
                <w:webHidden/>
              </w:rPr>
              <w:t>32</w:t>
            </w:r>
            <w:r w:rsidR="00865340">
              <w:rPr>
                <w:noProof/>
                <w:webHidden/>
              </w:rPr>
              <w:fldChar w:fldCharType="end"/>
            </w:r>
          </w:hyperlink>
        </w:p>
        <w:p w14:paraId="2FA92C23" w14:textId="7DE73649" w:rsidR="00865340" w:rsidRDefault="006839DA">
          <w:pPr>
            <w:pStyle w:val="TOC2"/>
            <w:rPr>
              <w:rFonts w:eastAsiaTheme="minorEastAsia"/>
              <w:noProof/>
              <w:sz w:val="24"/>
              <w:szCs w:val="24"/>
              <w:lang w:val="en-LU" w:eastAsia="en-GB"/>
            </w:rPr>
          </w:pPr>
          <w:hyperlink w:anchor="_Toc100584667" w:history="1">
            <w:r w:rsidR="00865340" w:rsidRPr="00A35FC7">
              <w:rPr>
                <w:rStyle w:val="Hyperlink"/>
                <w:noProof/>
              </w:rPr>
              <w:t>6.2</w:t>
            </w:r>
            <w:r w:rsidR="00865340">
              <w:rPr>
                <w:rFonts w:eastAsiaTheme="minorEastAsia"/>
                <w:noProof/>
                <w:sz w:val="24"/>
                <w:szCs w:val="24"/>
                <w:lang w:val="en-LU" w:eastAsia="en-GB"/>
              </w:rPr>
              <w:tab/>
            </w:r>
            <w:r w:rsidR="00865340" w:rsidRPr="00A35FC7">
              <w:rPr>
                <w:rStyle w:val="Hyperlink"/>
                <w:noProof/>
              </w:rPr>
              <w:t>What are the territorial implications of the scenario foundations?</w:t>
            </w:r>
            <w:r w:rsidR="00865340">
              <w:rPr>
                <w:noProof/>
                <w:webHidden/>
              </w:rPr>
              <w:tab/>
            </w:r>
            <w:r w:rsidR="00865340">
              <w:rPr>
                <w:noProof/>
                <w:webHidden/>
              </w:rPr>
              <w:fldChar w:fldCharType="begin"/>
            </w:r>
            <w:r w:rsidR="00865340">
              <w:rPr>
                <w:noProof/>
                <w:webHidden/>
              </w:rPr>
              <w:instrText xml:space="preserve"> PAGEREF _Toc100584667 \h </w:instrText>
            </w:r>
            <w:r w:rsidR="00865340">
              <w:rPr>
                <w:noProof/>
                <w:webHidden/>
              </w:rPr>
            </w:r>
            <w:r w:rsidR="00865340">
              <w:rPr>
                <w:noProof/>
                <w:webHidden/>
              </w:rPr>
              <w:fldChar w:fldCharType="separate"/>
            </w:r>
            <w:r>
              <w:rPr>
                <w:noProof/>
                <w:webHidden/>
              </w:rPr>
              <w:t>33</w:t>
            </w:r>
            <w:r w:rsidR="00865340">
              <w:rPr>
                <w:noProof/>
                <w:webHidden/>
              </w:rPr>
              <w:fldChar w:fldCharType="end"/>
            </w:r>
          </w:hyperlink>
        </w:p>
        <w:p w14:paraId="080F0CC4" w14:textId="5524C082" w:rsidR="00865340" w:rsidRDefault="006839DA">
          <w:pPr>
            <w:pStyle w:val="TOC1"/>
            <w:rPr>
              <w:rFonts w:eastAsiaTheme="minorEastAsia"/>
              <w:b w:val="0"/>
              <w:noProof/>
              <w:color w:val="auto"/>
              <w:sz w:val="24"/>
              <w:szCs w:val="24"/>
              <w:lang w:val="en-LU" w:eastAsia="en-GB"/>
            </w:rPr>
          </w:pPr>
          <w:hyperlink w:anchor="_Toc100584668" w:history="1">
            <w:r w:rsidR="00865340" w:rsidRPr="00A35FC7">
              <w:rPr>
                <w:rStyle w:val="Hyperlink"/>
                <w:noProof/>
              </w:rPr>
              <w:t>7</w:t>
            </w:r>
            <w:r w:rsidR="00865340">
              <w:rPr>
                <w:rFonts w:eastAsiaTheme="minorEastAsia"/>
                <w:b w:val="0"/>
                <w:noProof/>
                <w:color w:val="auto"/>
                <w:sz w:val="24"/>
                <w:szCs w:val="24"/>
                <w:lang w:val="en-LU" w:eastAsia="en-GB"/>
              </w:rPr>
              <w:tab/>
            </w:r>
            <w:r w:rsidR="00865340" w:rsidRPr="00A35FC7">
              <w:rPr>
                <w:rStyle w:val="Hyperlink"/>
                <w:noProof/>
              </w:rPr>
              <w:t>Transforming to a hyper-digital economy</w:t>
            </w:r>
            <w:r w:rsidR="00865340">
              <w:rPr>
                <w:noProof/>
                <w:webHidden/>
              </w:rPr>
              <w:tab/>
            </w:r>
            <w:r w:rsidR="00865340">
              <w:rPr>
                <w:noProof/>
                <w:webHidden/>
              </w:rPr>
              <w:fldChar w:fldCharType="begin"/>
            </w:r>
            <w:r w:rsidR="00865340">
              <w:rPr>
                <w:noProof/>
                <w:webHidden/>
              </w:rPr>
              <w:instrText xml:space="preserve"> PAGEREF _Toc100584668 \h </w:instrText>
            </w:r>
            <w:r w:rsidR="00865340">
              <w:rPr>
                <w:noProof/>
                <w:webHidden/>
              </w:rPr>
            </w:r>
            <w:r w:rsidR="00865340">
              <w:rPr>
                <w:noProof/>
                <w:webHidden/>
              </w:rPr>
              <w:fldChar w:fldCharType="separate"/>
            </w:r>
            <w:r>
              <w:rPr>
                <w:noProof/>
                <w:webHidden/>
              </w:rPr>
              <w:t>36</w:t>
            </w:r>
            <w:r w:rsidR="00865340">
              <w:rPr>
                <w:noProof/>
                <w:webHidden/>
              </w:rPr>
              <w:fldChar w:fldCharType="end"/>
            </w:r>
          </w:hyperlink>
        </w:p>
        <w:p w14:paraId="44696AB5" w14:textId="003785A2" w:rsidR="00865340" w:rsidRDefault="006839DA">
          <w:pPr>
            <w:pStyle w:val="TOC1"/>
            <w:rPr>
              <w:rFonts w:eastAsiaTheme="minorEastAsia"/>
              <w:b w:val="0"/>
              <w:noProof/>
              <w:color w:val="auto"/>
              <w:sz w:val="24"/>
              <w:szCs w:val="24"/>
              <w:lang w:val="en-LU" w:eastAsia="en-GB"/>
            </w:rPr>
          </w:pPr>
          <w:hyperlink w:anchor="_Toc100584669" w:history="1">
            <w:r w:rsidR="00865340" w:rsidRPr="00A35FC7">
              <w:rPr>
                <w:rStyle w:val="Hyperlink"/>
                <w:noProof/>
              </w:rPr>
              <w:t>8</w:t>
            </w:r>
            <w:r w:rsidR="00865340">
              <w:rPr>
                <w:rFonts w:eastAsiaTheme="minorEastAsia"/>
                <w:b w:val="0"/>
                <w:noProof/>
                <w:color w:val="auto"/>
                <w:sz w:val="24"/>
                <w:szCs w:val="24"/>
                <w:lang w:val="en-LU" w:eastAsia="en-GB"/>
              </w:rPr>
              <w:tab/>
            </w:r>
            <w:r w:rsidR="00865340" w:rsidRPr="00A35FC7">
              <w:rPr>
                <w:rStyle w:val="Hyperlink"/>
                <w:noProof/>
              </w:rPr>
              <w:t>Concluding reflections</w:t>
            </w:r>
            <w:r w:rsidR="00865340">
              <w:rPr>
                <w:noProof/>
                <w:webHidden/>
              </w:rPr>
              <w:tab/>
            </w:r>
            <w:r w:rsidR="00865340">
              <w:rPr>
                <w:noProof/>
                <w:webHidden/>
              </w:rPr>
              <w:fldChar w:fldCharType="begin"/>
            </w:r>
            <w:r w:rsidR="00865340">
              <w:rPr>
                <w:noProof/>
                <w:webHidden/>
              </w:rPr>
              <w:instrText xml:space="preserve"> PAGEREF _Toc100584669 \h </w:instrText>
            </w:r>
            <w:r w:rsidR="00865340">
              <w:rPr>
                <w:noProof/>
                <w:webHidden/>
              </w:rPr>
            </w:r>
            <w:r w:rsidR="00865340">
              <w:rPr>
                <w:noProof/>
                <w:webHidden/>
              </w:rPr>
              <w:fldChar w:fldCharType="separate"/>
            </w:r>
            <w:r>
              <w:rPr>
                <w:noProof/>
                <w:webHidden/>
              </w:rPr>
              <w:t>47</w:t>
            </w:r>
            <w:r w:rsidR="00865340">
              <w:rPr>
                <w:noProof/>
                <w:webHidden/>
              </w:rPr>
              <w:fldChar w:fldCharType="end"/>
            </w:r>
          </w:hyperlink>
        </w:p>
        <w:p w14:paraId="1B2F81BD" w14:textId="58ABE458" w:rsidR="00865340" w:rsidRDefault="006839DA">
          <w:pPr>
            <w:pStyle w:val="TOC2"/>
            <w:rPr>
              <w:rFonts w:eastAsiaTheme="minorEastAsia"/>
              <w:noProof/>
              <w:sz w:val="24"/>
              <w:szCs w:val="24"/>
              <w:lang w:val="en-LU" w:eastAsia="en-GB"/>
            </w:rPr>
          </w:pPr>
          <w:hyperlink w:anchor="_Toc100584670" w:history="1">
            <w:r w:rsidR="00865340" w:rsidRPr="00A35FC7">
              <w:rPr>
                <w:rStyle w:val="Hyperlink"/>
                <w:noProof/>
              </w:rPr>
              <w:t>8.1</w:t>
            </w:r>
            <w:r w:rsidR="00865340">
              <w:rPr>
                <w:rFonts w:eastAsiaTheme="minorEastAsia"/>
                <w:noProof/>
                <w:sz w:val="24"/>
                <w:szCs w:val="24"/>
                <w:lang w:val="en-LU" w:eastAsia="en-GB"/>
              </w:rPr>
              <w:tab/>
            </w:r>
            <w:r w:rsidR="00865340" w:rsidRPr="00A35FC7">
              <w:rPr>
                <w:rStyle w:val="Hyperlink"/>
                <w:noProof/>
              </w:rPr>
              <w:t>What are the foundations of the scenario?</w:t>
            </w:r>
            <w:r w:rsidR="00865340">
              <w:rPr>
                <w:noProof/>
                <w:webHidden/>
              </w:rPr>
              <w:tab/>
            </w:r>
            <w:r w:rsidR="00865340">
              <w:rPr>
                <w:noProof/>
                <w:webHidden/>
              </w:rPr>
              <w:fldChar w:fldCharType="begin"/>
            </w:r>
            <w:r w:rsidR="00865340">
              <w:rPr>
                <w:noProof/>
                <w:webHidden/>
              </w:rPr>
              <w:instrText xml:space="preserve"> PAGEREF _Toc100584670 \h </w:instrText>
            </w:r>
            <w:r w:rsidR="00865340">
              <w:rPr>
                <w:noProof/>
                <w:webHidden/>
              </w:rPr>
            </w:r>
            <w:r w:rsidR="00865340">
              <w:rPr>
                <w:noProof/>
                <w:webHidden/>
              </w:rPr>
              <w:fldChar w:fldCharType="separate"/>
            </w:r>
            <w:r>
              <w:rPr>
                <w:noProof/>
                <w:webHidden/>
              </w:rPr>
              <w:t>47</w:t>
            </w:r>
            <w:r w:rsidR="00865340">
              <w:rPr>
                <w:noProof/>
                <w:webHidden/>
              </w:rPr>
              <w:fldChar w:fldCharType="end"/>
            </w:r>
          </w:hyperlink>
        </w:p>
        <w:p w14:paraId="0890FD4A" w14:textId="73411FDE" w:rsidR="00865340" w:rsidRDefault="006839DA">
          <w:pPr>
            <w:pStyle w:val="TOC2"/>
            <w:rPr>
              <w:rFonts w:eastAsiaTheme="minorEastAsia"/>
              <w:noProof/>
              <w:sz w:val="24"/>
              <w:szCs w:val="24"/>
              <w:lang w:val="en-LU" w:eastAsia="en-GB"/>
            </w:rPr>
          </w:pPr>
          <w:hyperlink w:anchor="_Toc100584671" w:history="1">
            <w:r w:rsidR="00865340" w:rsidRPr="00A35FC7">
              <w:rPr>
                <w:rStyle w:val="Hyperlink"/>
                <w:noProof/>
              </w:rPr>
              <w:t>8.2</w:t>
            </w:r>
            <w:r w:rsidR="00865340">
              <w:rPr>
                <w:rFonts w:eastAsiaTheme="minorEastAsia"/>
                <w:noProof/>
                <w:sz w:val="24"/>
                <w:szCs w:val="24"/>
                <w:lang w:val="en-LU" w:eastAsia="en-GB"/>
              </w:rPr>
              <w:tab/>
            </w:r>
            <w:r w:rsidR="00865340" w:rsidRPr="00A35FC7">
              <w:rPr>
                <w:rStyle w:val="Hyperlink"/>
                <w:noProof/>
              </w:rPr>
              <w:t>What are the territorial implications of the scenario foundations?</w:t>
            </w:r>
            <w:r w:rsidR="00865340">
              <w:rPr>
                <w:noProof/>
                <w:webHidden/>
              </w:rPr>
              <w:tab/>
            </w:r>
            <w:r w:rsidR="00865340">
              <w:rPr>
                <w:noProof/>
                <w:webHidden/>
              </w:rPr>
              <w:fldChar w:fldCharType="begin"/>
            </w:r>
            <w:r w:rsidR="00865340">
              <w:rPr>
                <w:noProof/>
                <w:webHidden/>
              </w:rPr>
              <w:instrText xml:space="preserve"> PAGEREF _Toc100584671 \h </w:instrText>
            </w:r>
            <w:r w:rsidR="00865340">
              <w:rPr>
                <w:noProof/>
                <w:webHidden/>
              </w:rPr>
            </w:r>
            <w:r w:rsidR="00865340">
              <w:rPr>
                <w:noProof/>
                <w:webHidden/>
              </w:rPr>
              <w:fldChar w:fldCharType="separate"/>
            </w:r>
            <w:r>
              <w:rPr>
                <w:noProof/>
                <w:webHidden/>
              </w:rPr>
              <w:t>48</w:t>
            </w:r>
            <w:r w:rsidR="00865340">
              <w:rPr>
                <w:noProof/>
                <w:webHidden/>
              </w:rPr>
              <w:fldChar w:fldCharType="end"/>
            </w:r>
          </w:hyperlink>
        </w:p>
        <w:p w14:paraId="3D51BA41" w14:textId="0C0748B9" w:rsidR="00865340" w:rsidRDefault="006839DA">
          <w:pPr>
            <w:pStyle w:val="TOC1"/>
            <w:rPr>
              <w:rFonts w:eastAsiaTheme="minorEastAsia"/>
              <w:b w:val="0"/>
              <w:noProof/>
              <w:color w:val="auto"/>
              <w:sz w:val="24"/>
              <w:szCs w:val="24"/>
              <w:lang w:val="en-LU" w:eastAsia="en-GB"/>
            </w:rPr>
          </w:pPr>
          <w:hyperlink w:anchor="_Toc100584672" w:history="1">
            <w:r w:rsidR="00865340" w:rsidRPr="00A35FC7">
              <w:rPr>
                <w:rStyle w:val="Hyperlink"/>
                <w:noProof/>
              </w:rPr>
              <w:t>9</w:t>
            </w:r>
            <w:r w:rsidR="00865340">
              <w:rPr>
                <w:rFonts w:eastAsiaTheme="minorEastAsia"/>
                <w:b w:val="0"/>
                <w:noProof/>
                <w:color w:val="auto"/>
                <w:sz w:val="24"/>
                <w:szCs w:val="24"/>
                <w:lang w:val="en-LU" w:eastAsia="en-GB"/>
              </w:rPr>
              <w:tab/>
            </w:r>
            <w:r w:rsidR="00865340" w:rsidRPr="00A35FC7">
              <w:rPr>
                <w:rStyle w:val="Hyperlink"/>
                <w:noProof/>
              </w:rPr>
              <w:t>Policy recommendations</w:t>
            </w:r>
            <w:r w:rsidR="00865340">
              <w:rPr>
                <w:noProof/>
                <w:webHidden/>
              </w:rPr>
              <w:tab/>
            </w:r>
            <w:r w:rsidR="00865340">
              <w:rPr>
                <w:noProof/>
                <w:webHidden/>
              </w:rPr>
              <w:fldChar w:fldCharType="begin"/>
            </w:r>
            <w:r w:rsidR="00865340">
              <w:rPr>
                <w:noProof/>
                <w:webHidden/>
              </w:rPr>
              <w:instrText xml:space="preserve"> PAGEREF _Toc100584672 \h </w:instrText>
            </w:r>
            <w:r w:rsidR="00865340">
              <w:rPr>
                <w:noProof/>
                <w:webHidden/>
              </w:rPr>
            </w:r>
            <w:r w:rsidR="00865340">
              <w:rPr>
                <w:noProof/>
                <w:webHidden/>
              </w:rPr>
              <w:fldChar w:fldCharType="separate"/>
            </w:r>
            <w:r>
              <w:rPr>
                <w:noProof/>
                <w:webHidden/>
              </w:rPr>
              <w:t>51</w:t>
            </w:r>
            <w:r w:rsidR="00865340">
              <w:rPr>
                <w:noProof/>
                <w:webHidden/>
              </w:rPr>
              <w:fldChar w:fldCharType="end"/>
            </w:r>
          </w:hyperlink>
        </w:p>
        <w:p w14:paraId="03631633" w14:textId="01ACBB89" w:rsidR="00865340" w:rsidRDefault="006839DA">
          <w:pPr>
            <w:pStyle w:val="TOC2"/>
            <w:rPr>
              <w:rFonts w:eastAsiaTheme="minorEastAsia"/>
              <w:noProof/>
              <w:sz w:val="24"/>
              <w:szCs w:val="24"/>
              <w:lang w:val="en-LU" w:eastAsia="en-GB"/>
            </w:rPr>
          </w:pPr>
          <w:hyperlink w:anchor="_Toc100584673" w:history="1">
            <w:r w:rsidR="00865340" w:rsidRPr="00A35FC7">
              <w:rPr>
                <w:rStyle w:val="Hyperlink"/>
                <w:noProof/>
              </w:rPr>
              <w:t>9.1</w:t>
            </w:r>
            <w:r w:rsidR="00865340">
              <w:rPr>
                <w:rFonts w:eastAsiaTheme="minorEastAsia"/>
                <w:noProof/>
                <w:sz w:val="24"/>
                <w:szCs w:val="24"/>
                <w:lang w:val="en-LU" w:eastAsia="en-GB"/>
              </w:rPr>
              <w:tab/>
            </w:r>
            <w:r w:rsidR="00865340" w:rsidRPr="00A35FC7">
              <w:rPr>
                <w:rStyle w:val="Hyperlink"/>
                <w:noProof/>
              </w:rPr>
              <w:t>Policy recommendations for the EUSDR</w:t>
            </w:r>
            <w:r w:rsidR="00865340">
              <w:rPr>
                <w:noProof/>
                <w:webHidden/>
              </w:rPr>
              <w:tab/>
            </w:r>
            <w:r w:rsidR="00865340">
              <w:rPr>
                <w:noProof/>
                <w:webHidden/>
              </w:rPr>
              <w:fldChar w:fldCharType="begin"/>
            </w:r>
            <w:r w:rsidR="00865340">
              <w:rPr>
                <w:noProof/>
                <w:webHidden/>
              </w:rPr>
              <w:instrText xml:space="preserve"> PAGEREF _Toc100584673 \h </w:instrText>
            </w:r>
            <w:r w:rsidR="00865340">
              <w:rPr>
                <w:noProof/>
                <w:webHidden/>
              </w:rPr>
            </w:r>
            <w:r w:rsidR="00865340">
              <w:rPr>
                <w:noProof/>
                <w:webHidden/>
              </w:rPr>
              <w:fldChar w:fldCharType="separate"/>
            </w:r>
            <w:r>
              <w:rPr>
                <w:noProof/>
                <w:webHidden/>
              </w:rPr>
              <w:t>51</w:t>
            </w:r>
            <w:r w:rsidR="00865340">
              <w:rPr>
                <w:noProof/>
                <w:webHidden/>
              </w:rPr>
              <w:fldChar w:fldCharType="end"/>
            </w:r>
          </w:hyperlink>
        </w:p>
        <w:p w14:paraId="0B575A0E" w14:textId="41B517C2" w:rsidR="00865340" w:rsidRDefault="006839DA">
          <w:pPr>
            <w:pStyle w:val="TOC2"/>
            <w:rPr>
              <w:rFonts w:eastAsiaTheme="minorEastAsia"/>
              <w:noProof/>
              <w:sz w:val="24"/>
              <w:szCs w:val="24"/>
              <w:lang w:val="en-LU" w:eastAsia="en-GB"/>
            </w:rPr>
          </w:pPr>
          <w:hyperlink w:anchor="_Toc100584674" w:history="1">
            <w:r w:rsidR="00865340" w:rsidRPr="00A35FC7">
              <w:rPr>
                <w:rStyle w:val="Hyperlink"/>
                <w:noProof/>
              </w:rPr>
              <w:t>9.2</w:t>
            </w:r>
            <w:r w:rsidR="00865340">
              <w:rPr>
                <w:rFonts w:eastAsiaTheme="minorEastAsia"/>
                <w:noProof/>
                <w:sz w:val="24"/>
                <w:szCs w:val="24"/>
                <w:lang w:val="en-LU" w:eastAsia="en-GB"/>
              </w:rPr>
              <w:tab/>
            </w:r>
            <w:r w:rsidR="00865340" w:rsidRPr="00A35FC7">
              <w:rPr>
                <w:rStyle w:val="Hyperlink"/>
                <w:noProof/>
              </w:rPr>
              <w:t>Cross-cutting recommendations</w:t>
            </w:r>
            <w:r w:rsidR="00865340">
              <w:rPr>
                <w:noProof/>
                <w:webHidden/>
              </w:rPr>
              <w:tab/>
            </w:r>
            <w:r w:rsidR="00865340">
              <w:rPr>
                <w:noProof/>
                <w:webHidden/>
              </w:rPr>
              <w:fldChar w:fldCharType="begin"/>
            </w:r>
            <w:r w:rsidR="00865340">
              <w:rPr>
                <w:noProof/>
                <w:webHidden/>
              </w:rPr>
              <w:instrText xml:space="preserve"> PAGEREF _Toc100584674 \h </w:instrText>
            </w:r>
            <w:r w:rsidR="00865340">
              <w:rPr>
                <w:noProof/>
                <w:webHidden/>
              </w:rPr>
            </w:r>
            <w:r w:rsidR="00865340">
              <w:rPr>
                <w:noProof/>
                <w:webHidden/>
              </w:rPr>
              <w:fldChar w:fldCharType="separate"/>
            </w:r>
            <w:r>
              <w:rPr>
                <w:noProof/>
                <w:webHidden/>
              </w:rPr>
              <w:t>55</w:t>
            </w:r>
            <w:r w:rsidR="00865340">
              <w:rPr>
                <w:noProof/>
                <w:webHidden/>
              </w:rPr>
              <w:fldChar w:fldCharType="end"/>
            </w:r>
          </w:hyperlink>
        </w:p>
        <w:p w14:paraId="31266F0E" w14:textId="2440C334" w:rsidR="00865340" w:rsidRDefault="006839DA">
          <w:pPr>
            <w:pStyle w:val="TOC3"/>
            <w:rPr>
              <w:rFonts w:eastAsiaTheme="minorEastAsia"/>
              <w:sz w:val="24"/>
              <w:szCs w:val="24"/>
              <w:lang w:val="en-LU" w:eastAsia="en-GB"/>
            </w:rPr>
          </w:pPr>
          <w:hyperlink w:anchor="_Toc100584675" w:history="1">
            <w:r w:rsidR="00865340" w:rsidRPr="00A35FC7">
              <w:rPr>
                <w:rStyle w:val="Hyperlink"/>
              </w:rPr>
              <w:t>9.2.1</w:t>
            </w:r>
            <w:r w:rsidR="00865340">
              <w:rPr>
                <w:rFonts w:eastAsiaTheme="minorEastAsia"/>
                <w:sz w:val="24"/>
                <w:szCs w:val="24"/>
                <w:lang w:val="en-LU" w:eastAsia="en-GB"/>
              </w:rPr>
              <w:tab/>
            </w:r>
            <w:r w:rsidR="00865340" w:rsidRPr="00A35FC7">
              <w:rPr>
                <w:rStyle w:val="Hyperlink"/>
              </w:rPr>
              <w:t>Cooperation between macro-regional strategies</w:t>
            </w:r>
            <w:r w:rsidR="00865340">
              <w:rPr>
                <w:webHidden/>
              </w:rPr>
              <w:tab/>
            </w:r>
            <w:r w:rsidR="00865340">
              <w:rPr>
                <w:webHidden/>
              </w:rPr>
              <w:fldChar w:fldCharType="begin"/>
            </w:r>
            <w:r w:rsidR="00865340">
              <w:rPr>
                <w:webHidden/>
              </w:rPr>
              <w:instrText xml:space="preserve"> PAGEREF _Toc100584675 \h </w:instrText>
            </w:r>
            <w:r w:rsidR="00865340">
              <w:rPr>
                <w:webHidden/>
              </w:rPr>
            </w:r>
            <w:r w:rsidR="00865340">
              <w:rPr>
                <w:webHidden/>
              </w:rPr>
              <w:fldChar w:fldCharType="separate"/>
            </w:r>
            <w:r>
              <w:rPr>
                <w:webHidden/>
              </w:rPr>
              <w:t>55</w:t>
            </w:r>
            <w:r w:rsidR="00865340">
              <w:rPr>
                <w:webHidden/>
              </w:rPr>
              <w:fldChar w:fldCharType="end"/>
            </w:r>
          </w:hyperlink>
        </w:p>
        <w:p w14:paraId="2A7F26C2" w14:textId="43526351" w:rsidR="00865340" w:rsidRDefault="006839DA">
          <w:pPr>
            <w:pStyle w:val="TOC3"/>
            <w:rPr>
              <w:rFonts w:eastAsiaTheme="minorEastAsia"/>
              <w:sz w:val="24"/>
              <w:szCs w:val="24"/>
              <w:lang w:val="en-LU" w:eastAsia="en-GB"/>
            </w:rPr>
          </w:pPr>
          <w:hyperlink w:anchor="_Toc100584676" w:history="1">
            <w:r w:rsidR="00865340" w:rsidRPr="00A35FC7">
              <w:rPr>
                <w:rStyle w:val="Hyperlink"/>
              </w:rPr>
              <w:t>9.2.2</w:t>
            </w:r>
            <w:r w:rsidR="00865340">
              <w:rPr>
                <w:rFonts w:eastAsiaTheme="minorEastAsia"/>
                <w:sz w:val="24"/>
                <w:szCs w:val="24"/>
                <w:lang w:val="en-LU" w:eastAsia="en-GB"/>
              </w:rPr>
              <w:tab/>
            </w:r>
            <w:r w:rsidR="00865340" w:rsidRPr="00A35FC7">
              <w:rPr>
                <w:rStyle w:val="Hyperlink"/>
              </w:rPr>
              <w:t>ESPON</w:t>
            </w:r>
            <w:r w:rsidR="00865340">
              <w:rPr>
                <w:webHidden/>
              </w:rPr>
              <w:tab/>
            </w:r>
            <w:r w:rsidR="00865340">
              <w:rPr>
                <w:webHidden/>
              </w:rPr>
              <w:fldChar w:fldCharType="begin"/>
            </w:r>
            <w:r w:rsidR="00865340">
              <w:rPr>
                <w:webHidden/>
              </w:rPr>
              <w:instrText xml:space="preserve"> PAGEREF _Toc100584676 \h </w:instrText>
            </w:r>
            <w:r w:rsidR="00865340">
              <w:rPr>
                <w:webHidden/>
              </w:rPr>
            </w:r>
            <w:r w:rsidR="00865340">
              <w:rPr>
                <w:webHidden/>
              </w:rPr>
              <w:fldChar w:fldCharType="separate"/>
            </w:r>
            <w:r>
              <w:rPr>
                <w:webHidden/>
              </w:rPr>
              <w:t>56</w:t>
            </w:r>
            <w:r w:rsidR="00865340">
              <w:rPr>
                <w:webHidden/>
              </w:rPr>
              <w:fldChar w:fldCharType="end"/>
            </w:r>
          </w:hyperlink>
        </w:p>
        <w:p w14:paraId="6AFE9C91" w14:textId="338E313D" w:rsidR="00865340" w:rsidRDefault="006839DA">
          <w:pPr>
            <w:pStyle w:val="TOC1"/>
            <w:rPr>
              <w:rFonts w:eastAsiaTheme="minorEastAsia"/>
              <w:b w:val="0"/>
              <w:noProof/>
              <w:color w:val="auto"/>
              <w:sz w:val="24"/>
              <w:szCs w:val="24"/>
              <w:lang w:val="en-LU" w:eastAsia="en-GB"/>
            </w:rPr>
          </w:pPr>
          <w:hyperlink w:anchor="_Toc100584677" w:history="1">
            <w:r w:rsidR="00865340" w:rsidRPr="00A35FC7">
              <w:rPr>
                <w:rStyle w:val="Hyperlink"/>
                <w:noProof/>
              </w:rPr>
              <w:t>References</w:t>
            </w:r>
            <w:r w:rsidR="00865340">
              <w:rPr>
                <w:noProof/>
                <w:webHidden/>
              </w:rPr>
              <w:tab/>
            </w:r>
            <w:r w:rsidR="00865340">
              <w:rPr>
                <w:noProof/>
                <w:webHidden/>
              </w:rPr>
              <w:fldChar w:fldCharType="begin"/>
            </w:r>
            <w:r w:rsidR="00865340">
              <w:rPr>
                <w:noProof/>
                <w:webHidden/>
              </w:rPr>
              <w:instrText xml:space="preserve"> PAGEREF _Toc100584677 \h </w:instrText>
            </w:r>
            <w:r w:rsidR="00865340">
              <w:rPr>
                <w:noProof/>
                <w:webHidden/>
              </w:rPr>
            </w:r>
            <w:r w:rsidR="00865340">
              <w:rPr>
                <w:noProof/>
                <w:webHidden/>
              </w:rPr>
              <w:fldChar w:fldCharType="separate"/>
            </w:r>
            <w:r>
              <w:rPr>
                <w:noProof/>
                <w:webHidden/>
              </w:rPr>
              <w:t>57</w:t>
            </w:r>
            <w:r w:rsidR="00865340">
              <w:rPr>
                <w:noProof/>
                <w:webHidden/>
              </w:rPr>
              <w:fldChar w:fldCharType="end"/>
            </w:r>
          </w:hyperlink>
        </w:p>
        <w:p w14:paraId="4026BEEB" w14:textId="44C95A71" w:rsidR="008F6C52" w:rsidRPr="00702488" w:rsidRDefault="008F6C52">
          <w:r w:rsidRPr="00702488">
            <w:rPr>
              <w:b/>
              <w:bCs/>
              <w:noProof/>
            </w:rPr>
            <w:fldChar w:fldCharType="end"/>
          </w:r>
        </w:p>
      </w:sdtContent>
    </w:sdt>
    <w:p w14:paraId="297702FB" w14:textId="1B933684" w:rsidR="00B91890" w:rsidRDefault="00B91890" w:rsidP="00651F74">
      <w:pPr>
        <w:pStyle w:val="TOCHeading"/>
      </w:pPr>
      <w:r w:rsidRPr="00702488">
        <w:t>List of maps, figures</w:t>
      </w:r>
      <w:r w:rsidR="00BB41BB">
        <w:t xml:space="preserve"> </w:t>
      </w:r>
      <w:r w:rsidRPr="00702488">
        <w:t>and tables</w:t>
      </w:r>
    </w:p>
    <w:p w14:paraId="126C3E2A" w14:textId="77777777" w:rsidR="00866D52" w:rsidRPr="00866D52" w:rsidRDefault="00866D52" w:rsidP="00866D52"/>
    <w:p w14:paraId="55BA2735" w14:textId="77777777" w:rsidR="00B91890" w:rsidRPr="00702488" w:rsidRDefault="008A27F2" w:rsidP="008A27F2">
      <w:pPr>
        <w:pStyle w:val="TOCBold"/>
      </w:pPr>
      <w:r w:rsidRPr="00702488">
        <w:t>List of maps</w:t>
      </w:r>
    </w:p>
    <w:p w14:paraId="45B81560" w14:textId="73587571" w:rsidR="00865340" w:rsidRDefault="00F61D9A">
      <w:pPr>
        <w:pStyle w:val="TableofFigures"/>
        <w:rPr>
          <w:rFonts w:eastAsiaTheme="minorEastAsia"/>
          <w:noProof/>
          <w:sz w:val="24"/>
          <w:szCs w:val="24"/>
          <w:lang w:val="en-LU" w:eastAsia="en-GB"/>
        </w:rPr>
      </w:pPr>
      <w:r w:rsidRPr="00702488">
        <w:fldChar w:fldCharType="begin"/>
      </w:r>
      <w:r w:rsidRPr="00702488">
        <w:instrText xml:space="preserve"> TOC \h \z \c "Map" </w:instrText>
      </w:r>
      <w:r w:rsidRPr="00702488">
        <w:fldChar w:fldCharType="separate"/>
      </w:r>
      <w:hyperlink w:anchor="_Toc100584678" w:history="1">
        <w:r w:rsidR="00865340" w:rsidRPr="00EC6D87">
          <w:rPr>
            <w:rStyle w:val="Hyperlink"/>
            <w:noProof/>
          </w:rPr>
          <w:t>Map 3</w:t>
        </w:r>
        <w:r w:rsidR="00865340" w:rsidRPr="00EC6D87">
          <w:rPr>
            <w:rStyle w:val="Hyperlink"/>
            <w:noProof/>
          </w:rPr>
          <w:noBreakHyphen/>
          <w:t>1 EUSDR mapshot</w:t>
        </w:r>
        <w:r w:rsidR="00865340">
          <w:rPr>
            <w:noProof/>
            <w:webHidden/>
          </w:rPr>
          <w:tab/>
        </w:r>
        <w:r w:rsidR="00865340">
          <w:rPr>
            <w:noProof/>
            <w:webHidden/>
          </w:rPr>
          <w:fldChar w:fldCharType="begin"/>
        </w:r>
        <w:r w:rsidR="00865340">
          <w:rPr>
            <w:noProof/>
            <w:webHidden/>
          </w:rPr>
          <w:instrText xml:space="preserve"> PAGEREF _Toc100584678 \h </w:instrText>
        </w:r>
        <w:r w:rsidR="00865340">
          <w:rPr>
            <w:noProof/>
            <w:webHidden/>
          </w:rPr>
        </w:r>
        <w:r w:rsidR="00865340">
          <w:rPr>
            <w:noProof/>
            <w:webHidden/>
          </w:rPr>
          <w:fldChar w:fldCharType="separate"/>
        </w:r>
        <w:r w:rsidR="006839DA">
          <w:rPr>
            <w:noProof/>
            <w:webHidden/>
          </w:rPr>
          <w:t>12</w:t>
        </w:r>
        <w:r w:rsidR="00865340">
          <w:rPr>
            <w:noProof/>
            <w:webHidden/>
          </w:rPr>
          <w:fldChar w:fldCharType="end"/>
        </w:r>
      </w:hyperlink>
    </w:p>
    <w:p w14:paraId="4218DC84" w14:textId="0D42E206" w:rsidR="00865340" w:rsidRDefault="006839DA">
      <w:pPr>
        <w:pStyle w:val="TableofFigures"/>
        <w:rPr>
          <w:rFonts w:eastAsiaTheme="minorEastAsia"/>
          <w:noProof/>
          <w:sz w:val="24"/>
          <w:szCs w:val="24"/>
          <w:lang w:val="en-LU" w:eastAsia="en-GB"/>
        </w:rPr>
      </w:pPr>
      <w:hyperlink w:anchor="_Toc100584679" w:history="1">
        <w:r w:rsidR="00865340" w:rsidRPr="00EC6D87">
          <w:rPr>
            <w:rStyle w:val="Hyperlink"/>
            <w:noProof/>
          </w:rPr>
          <w:t>Map 4</w:t>
        </w:r>
        <w:r w:rsidR="00865340" w:rsidRPr="00EC6D87">
          <w:rPr>
            <w:rStyle w:val="Hyperlink"/>
            <w:noProof/>
          </w:rPr>
          <w:noBreakHyphen/>
          <w:t>1 The ‘business as usual’ future for the EUSDR in 2050 – Baseline scenario</w:t>
        </w:r>
        <w:r w:rsidR="00865340">
          <w:rPr>
            <w:noProof/>
            <w:webHidden/>
          </w:rPr>
          <w:tab/>
        </w:r>
        <w:r w:rsidR="00865340">
          <w:rPr>
            <w:noProof/>
            <w:webHidden/>
          </w:rPr>
          <w:fldChar w:fldCharType="begin"/>
        </w:r>
        <w:r w:rsidR="00865340">
          <w:rPr>
            <w:noProof/>
            <w:webHidden/>
          </w:rPr>
          <w:instrText xml:space="preserve"> PAGEREF _Toc100584679 \h </w:instrText>
        </w:r>
        <w:r w:rsidR="00865340">
          <w:rPr>
            <w:noProof/>
            <w:webHidden/>
          </w:rPr>
        </w:r>
        <w:r w:rsidR="00865340">
          <w:rPr>
            <w:noProof/>
            <w:webHidden/>
          </w:rPr>
          <w:fldChar w:fldCharType="separate"/>
        </w:r>
        <w:r>
          <w:rPr>
            <w:noProof/>
            <w:webHidden/>
          </w:rPr>
          <w:t>18</w:t>
        </w:r>
        <w:r w:rsidR="00865340">
          <w:rPr>
            <w:noProof/>
            <w:webHidden/>
          </w:rPr>
          <w:fldChar w:fldCharType="end"/>
        </w:r>
      </w:hyperlink>
    </w:p>
    <w:p w14:paraId="4ED08939" w14:textId="5BEDA86B" w:rsidR="00865340" w:rsidRDefault="006839DA">
      <w:pPr>
        <w:pStyle w:val="TableofFigures"/>
        <w:rPr>
          <w:rFonts w:eastAsiaTheme="minorEastAsia"/>
          <w:noProof/>
          <w:sz w:val="24"/>
          <w:szCs w:val="24"/>
          <w:lang w:val="en-LU" w:eastAsia="en-GB"/>
        </w:rPr>
      </w:pPr>
      <w:hyperlink w:anchor="_Toc100584680" w:history="1">
        <w:r w:rsidR="00865340" w:rsidRPr="00EC6D87">
          <w:rPr>
            <w:rStyle w:val="Hyperlink"/>
            <w:noProof/>
          </w:rPr>
          <w:t>Map 5</w:t>
        </w:r>
        <w:r w:rsidR="00865340" w:rsidRPr="00EC6D87">
          <w:rPr>
            <w:rStyle w:val="Hyperlink"/>
            <w:noProof/>
          </w:rPr>
          <w:noBreakHyphen/>
          <w:t>1 Flourishing in green and social wellbeing – Danube Region 2050</w:t>
        </w:r>
        <w:r w:rsidR="00865340">
          <w:rPr>
            <w:noProof/>
            <w:webHidden/>
          </w:rPr>
          <w:tab/>
        </w:r>
        <w:r w:rsidR="00865340">
          <w:rPr>
            <w:noProof/>
            <w:webHidden/>
          </w:rPr>
          <w:fldChar w:fldCharType="begin"/>
        </w:r>
        <w:r w:rsidR="00865340">
          <w:rPr>
            <w:noProof/>
            <w:webHidden/>
          </w:rPr>
          <w:instrText xml:space="preserve"> PAGEREF _Toc100584680 \h </w:instrText>
        </w:r>
        <w:r w:rsidR="00865340">
          <w:rPr>
            <w:noProof/>
            <w:webHidden/>
          </w:rPr>
        </w:r>
        <w:r w:rsidR="00865340">
          <w:rPr>
            <w:noProof/>
            <w:webHidden/>
          </w:rPr>
          <w:fldChar w:fldCharType="separate"/>
        </w:r>
        <w:r>
          <w:rPr>
            <w:noProof/>
            <w:webHidden/>
          </w:rPr>
          <w:t>25</w:t>
        </w:r>
        <w:r w:rsidR="00865340">
          <w:rPr>
            <w:noProof/>
            <w:webHidden/>
          </w:rPr>
          <w:fldChar w:fldCharType="end"/>
        </w:r>
      </w:hyperlink>
    </w:p>
    <w:p w14:paraId="312D1E4F" w14:textId="3A3A69A0" w:rsidR="00865340" w:rsidRDefault="006839DA">
      <w:pPr>
        <w:pStyle w:val="TableofFigures"/>
        <w:rPr>
          <w:rFonts w:eastAsiaTheme="minorEastAsia"/>
          <w:noProof/>
          <w:sz w:val="24"/>
          <w:szCs w:val="24"/>
          <w:lang w:val="en-LU" w:eastAsia="en-GB"/>
        </w:rPr>
      </w:pPr>
      <w:hyperlink w:anchor="_Toc100584681" w:history="1">
        <w:r w:rsidR="00865340" w:rsidRPr="00EC6D87">
          <w:rPr>
            <w:rStyle w:val="Hyperlink"/>
            <w:noProof/>
          </w:rPr>
          <w:t>Map 7</w:t>
        </w:r>
        <w:r w:rsidR="00865340" w:rsidRPr="00EC6D87">
          <w:rPr>
            <w:rStyle w:val="Hyperlink"/>
            <w:noProof/>
          </w:rPr>
          <w:noBreakHyphen/>
          <w:t>1 Transforming into a hyper-digital economy – Danube Region 2050</w:t>
        </w:r>
        <w:r w:rsidR="00865340">
          <w:rPr>
            <w:noProof/>
            <w:webHidden/>
          </w:rPr>
          <w:tab/>
        </w:r>
        <w:r w:rsidR="00865340">
          <w:rPr>
            <w:noProof/>
            <w:webHidden/>
          </w:rPr>
          <w:fldChar w:fldCharType="begin"/>
        </w:r>
        <w:r w:rsidR="00865340">
          <w:rPr>
            <w:noProof/>
            <w:webHidden/>
          </w:rPr>
          <w:instrText xml:space="preserve"> PAGEREF _Toc100584681 \h </w:instrText>
        </w:r>
        <w:r w:rsidR="00865340">
          <w:rPr>
            <w:noProof/>
            <w:webHidden/>
          </w:rPr>
        </w:r>
        <w:r w:rsidR="00865340">
          <w:rPr>
            <w:noProof/>
            <w:webHidden/>
          </w:rPr>
          <w:fldChar w:fldCharType="separate"/>
        </w:r>
        <w:r>
          <w:rPr>
            <w:noProof/>
            <w:webHidden/>
          </w:rPr>
          <w:t>38</w:t>
        </w:r>
        <w:r w:rsidR="00865340">
          <w:rPr>
            <w:noProof/>
            <w:webHidden/>
          </w:rPr>
          <w:fldChar w:fldCharType="end"/>
        </w:r>
      </w:hyperlink>
    </w:p>
    <w:p w14:paraId="617EF5CB" w14:textId="2AF084EF" w:rsidR="0081732D" w:rsidRPr="00702488" w:rsidRDefault="00F61D9A" w:rsidP="009C6F70">
      <w:pPr>
        <w:pStyle w:val="NoSpacing"/>
      </w:pPr>
      <w:r w:rsidRPr="00702488">
        <w:fldChar w:fldCharType="end"/>
      </w:r>
    </w:p>
    <w:p w14:paraId="5EA848E8" w14:textId="77777777" w:rsidR="00426EE6" w:rsidRPr="00702488" w:rsidRDefault="00426EE6" w:rsidP="00440F1C">
      <w:pPr>
        <w:pStyle w:val="NoSpacing"/>
        <w:spacing w:line="60" w:lineRule="exact"/>
      </w:pPr>
    </w:p>
    <w:p w14:paraId="7901D627" w14:textId="77777777" w:rsidR="008A27F2" w:rsidRPr="00702488" w:rsidRDefault="008A27F2" w:rsidP="00F61D9A">
      <w:pPr>
        <w:pStyle w:val="TOCBold"/>
      </w:pPr>
      <w:r w:rsidRPr="00702488">
        <w:t>List of figures</w:t>
      </w:r>
    </w:p>
    <w:p w14:paraId="32E469DB" w14:textId="1ABF2A81" w:rsidR="00865340" w:rsidRDefault="00F61D9A">
      <w:pPr>
        <w:pStyle w:val="TableofFigures"/>
        <w:rPr>
          <w:rFonts w:eastAsiaTheme="minorEastAsia"/>
          <w:noProof/>
          <w:sz w:val="24"/>
          <w:szCs w:val="24"/>
          <w:lang w:val="en-LU" w:eastAsia="en-GB"/>
        </w:rPr>
      </w:pPr>
      <w:r w:rsidRPr="00702488">
        <w:fldChar w:fldCharType="begin"/>
      </w:r>
      <w:r w:rsidRPr="00702488">
        <w:instrText xml:space="preserve"> TOC \h \z \c "Figure" </w:instrText>
      </w:r>
      <w:r w:rsidRPr="00702488">
        <w:fldChar w:fldCharType="separate"/>
      </w:r>
      <w:hyperlink w:anchor="_Toc100584682" w:history="1">
        <w:r w:rsidR="00865340" w:rsidRPr="007B3EB9">
          <w:rPr>
            <w:rStyle w:val="Hyperlink"/>
            <w:noProof/>
          </w:rPr>
          <w:t>Figure 4</w:t>
        </w:r>
        <w:r w:rsidR="00865340" w:rsidRPr="007B3EB9">
          <w:rPr>
            <w:rStyle w:val="Hyperlink"/>
            <w:noProof/>
          </w:rPr>
          <w:noBreakHyphen/>
          <w:t>1 EUSDR and EUSAIR baseline scenario assumptions</w:t>
        </w:r>
        <w:r w:rsidR="00865340">
          <w:rPr>
            <w:noProof/>
            <w:webHidden/>
          </w:rPr>
          <w:tab/>
        </w:r>
        <w:r w:rsidR="00865340">
          <w:rPr>
            <w:noProof/>
            <w:webHidden/>
          </w:rPr>
          <w:fldChar w:fldCharType="begin"/>
        </w:r>
        <w:r w:rsidR="00865340">
          <w:rPr>
            <w:noProof/>
            <w:webHidden/>
          </w:rPr>
          <w:instrText xml:space="preserve"> PAGEREF _Toc100584682 \h </w:instrText>
        </w:r>
        <w:r w:rsidR="00865340">
          <w:rPr>
            <w:noProof/>
            <w:webHidden/>
          </w:rPr>
        </w:r>
        <w:r w:rsidR="00865340">
          <w:rPr>
            <w:noProof/>
            <w:webHidden/>
          </w:rPr>
          <w:fldChar w:fldCharType="separate"/>
        </w:r>
        <w:r w:rsidR="006839DA">
          <w:rPr>
            <w:noProof/>
            <w:webHidden/>
          </w:rPr>
          <w:t>16</w:t>
        </w:r>
        <w:r w:rsidR="00865340">
          <w:rPr>
            <w:noProof/>
            <w:webHidden/>
          </w:rPr>
          <w:fldChar w:fldCharType="end"/>
        </w:r>
      </w:hyperlink>
    </w:p>
    <w:p w14:paraId="7FBDC754" w14:textId="2FF272AD" w:rsidR="00865340" w:rsidRDefault="006839DA">
      <w:pPr>
        <w:pStyle w:val="TableofFigures"/>
        <w:rPr>
          <w:rFonts w:eastAsiaTheme="minorEastAsia"/>
          <w:noProof/>
          <w:sz w:val="24"/>
          <w:szCs w:val="24"/>
          <w:lang w:val="en-LU" w:eastAsia="en-GB"/>
        </w:rPr>
      </w:pPr>
      <w:hyperlink w:anchor="_Toc100584683" w:history="1">
        <w:r w:rsidR="00865340" w:rsidRPr="007B3EB9">
          <w:rPr>
            <w:rStyle w:val="Hyperlink"/>
            <w:noProof/>
          </w:rPr>
          <w:t>Figure 4</w:t>
        </w:r>
        <w:r w:rsidR="00865340" w:rsidRPr="007B3EB9">
          <w:rPr>
            <w:rStyle w:val="Hyperlink"/>
            <w:noProof/>
          </w:rPr>
          <w:noBreakHyphen/>
          <w:t>2 Population projections 2020-2050 in the Danube area by typology</w:t>
        </w:r>
        <w:r w:rsidR="00865340">
          <w:rPr>
            <w:noProof/>
            <w:webHidden/>
          </w:rPr>
          <w:tab/>
        </w:r>
        <w:r w:rsidR="00865340">
          <w:rPr>
            <w:noProof/>
            <w:webHidden/>
          </w:rPr>
          <w:fldChar w:fldCharType="begin"/>
        </w:r>
        <w:r w:rsidR="00865340">
          <w:rPr>
            <w:noProof/>
            <w:webHidden/>
          </w:rPr>
          <w:instrText xml:space="preserve"> PAGEREF _Toc100584683 \h </w:instrText>
        </w:r>
        <w:r w:rsidR="00865340">
          <w:rPr>
            <w:noProof/>
            <w:webHidden/>
          </w:rPr>
        </w:r>
        <w:r w:rsidR="00865340">
          <w:rPr>
            <w:noProof/>
            <w:webHidden/>
          </w:rPr>
          <w:fldChar w:fldCharType="separate"/>
        </w:r>
        <w:r>
          <w:rPr>
            <w:noProof/>
            <w:webHidden/>
          </w:rPr>
          <w:t>20</w:t>
        </w:r>
        <w:r w:rsidR="00865340">
          <w:rPr>
            <w:noProof/>
            <w:webHidden/>
          </w:rPr>
          <w:fldChar w:fldCharType="end"/>
        </w:r>
      </w:hyperlink>
    </w:p>
    <w:p w14:paraId="2E94DA60" w14:textId="666F57ED" w:rsidR="00865340" w:rsidRDefault="006839DA">
      <w:pPr>
        <w:pStyle w:val="TableofFigures"/>
        <w:rPr>
          <w:rFonts w:eastAsiaTheme="minorEastAsia"/>
          <w:noProof/>
          <w:sz w:val="24"/>
          <w:szCs w:val="24"/>
          <w:lang w:val="en-LU" w:eastAsia="en-GB"/>
        </w:rPr>
      </w:pPr>
      <w:hyperlink w:anchor="_Toc100584684" w:history="1">
        <w:r w:rsidR="00865340" w:rsidRPr="007B3EB9">
          <w:rPr>
            <w:rStyle w:val="Hyperlink"/>
            <w:noProof/>
          </w:rPr>
          <w:t>Figure 6</w:t>
        </w:r>
        <w:r w:rsidR="00865340" w:rsidRPr="007B3EB9">
          <w:rPr>
            <w:rStyle w:val="Hyperlink"/>
            <w:noProof/>
          </w:rPr>
          <w:noBreakHyphen/>
          <w:t>1 Flourishing in green and social wellbeing foundations – EUSDR and EUSAIR in 2050</w:t>
        </w:r>
        <w:r w:rsidR="00865340">
          <w:rPr>
            <w:noProof/>
            <w:webHidden/>
          </w:rPr>
          <w:tab/>
        </w:r>
        <w:r w:rsidR="00865340">
          <w:rPr>
            <w:noProof/>
            <w:webHidden/>
          </w:rPr>
          <w:fldChar w:fldCharType="begin"/>
        </w:r>
        <w:r w:rsidR="00865340">
          <w:rPr>
            <w:noProof/>
            <w:webHidden/>
          </w:rPr>
          <w:instrText xml:space="preserve"> PAGEREF _Toc100584684 \h </w:instrText>
        </w:r>
        <w:r w:rsidR="00865340">
          <w:rPr>
            <w:noProof/>
            <w:webHidden/>
          </w:rPr>
        </w:r>
        <w:r w:rsidR="00865340">
          <w:rPr>
            <w:noProof/>
            <w:webHidden/>
          </w:rPr>
          <w:fldChar w:fldCharType="separate"/>
        </w:r>
        <w:r>
          <w:rPr>
            <w:noProof/>
            <w:webHidden/>
          </w:rPr>
          <w:t>32</w:t>
        </w:r>
        <w:r w:rsidR="00865340">
          <w:rPr>
            <w:noProof/>
            <w:webHidden/>
          </w:rPr>
          <w:fldChar w:fldCharType="end"/>
        </w:r>
      </w:hyperlink>
    </w:p>
    <w:p w14:paraId="1F8A6E44" w14:textId="33D230E1" w:rsidR="00865340" w:rsidRDefault="006839DA">
      <w:pPr>
        <w:pStyle w:val="TableofFigures"/>
        <w:rPr>
          <w:rFonts w:eastAsiaTheme="minorEastAsia"/>
          <w:noProof/>
          <w:sz w:val="24"/>
          <w:szCs w:val="24"/>
          <w:lang w:val="en-LU" w:eastAsia="en-GB"/>
        </w:rPr>
      </w:pPr>
      <w:hyperlink w:anchor="_Toc100584685" w:history="1">
        <w:r w:rsidR="00865340" w:rsidRPr="007B3EB9">
          <w:rPr>
            <w:rStyle w:val="Hyperlink"/>
            <w:noProof/>
          </w:rPr>
          <w:t>Figure 6</w:t>
        </w:r>
        <w:r w:rsidR="00865340" w:rsidRPr="007B3EB9">
          <w:rPr>
            <w:rStyle w:val="Hyperlink"/>
            <w:noProof/>
          </w:rPr>
          <w:noBreakHyphen/>
          <w:t>2 What territories are affected by the ‘Flourishing in green and social wellbeing’ alternative scenario?</w:t>
        </w:r>
        <w:r w:rsidR="00865340">
          <w:rPr>
            <w:noProof/>
            <w:webHidden/>
          </w:rPr>
          <w:tab/>
        </w:r>
        <w:r w:rsidR="00865340">
          <w:rPr>
            <w:noProof/>
            <w:webHidden/>
          </w:rPr>
          <w:fldChar w:fldCharType="begin"/>
        </w:r>
        <w:r w:rsidR="00865340">
          <w:rPr>
            <w:noProof/>
            <w:webHidden/>
          </w:rPr>
          <w:instrText xml:space="preserve"> PAGEREF _Toc100584685 \h </w:instrText>
        </w:r>
        <w:r w:rsidR="00865340">
          <w:rPr>
            <w:noProof/>
            <w:webHidden/>
          </w:rPr>
        </w:r>
        <w:r w:rsidR="00865340">
          <w:rPr>
            <w:noProof/>
            <w:webHidden/>
          </w:rPr>
          <w:fldChar w:fldCharType="separate"/>
        </w:r>
        <w:r>
          <w:rPr>
            <w:noProof/>
            <w:webHidden/>
          </w:rPr>
          <w:t>35</w:t>
        </w:r>
        <w:r w:rsidR="00865340">
          <w:rPr>
            <w:noProof/>
            <w:webHidden/>
          </w:rPr>
          <w:fldChar w:fldCharType="end"/>
        </w:r>
      </w:hyperlink>
    </w:p>
    <w:p w14:paraId="1CB4F4EE" w14:textId="11C37FAC" w:rsidR="00865340" w:rsidRDefault="006839DA">
      <w:pPr>
        <w:pStyle w:val="TableofFigures"/>
        <w:rPr>
          <w:rFonts w:eastAsiaTheme="minorEastAsia"/>
          <w:noProof/>
          <w:sz w:val="24"/>
          <w:szCs w:val="24"/>
          <w:lang w:val="en-LU" w:eastAsia="en-GB"/>
        </w:rPr>
      </w:pPr>
      <w:hyperlink w:anchor="_Toc100584686" w:history="1">
        <w:r w:rsidR="00865340" w:rsidRPr="007B3EB9">
          <w:rPr>
            <w:rStyle w:val="Hyperlink"/>
            <w:noProof/>
          </w:rPr>
          <w:t>Figure 8</w:t>
        </w:r>
        <w:r w:rsidR="00865340" w:rsidRPr="007B3EB9">
          <w:rPr>
            <w:rStyle w:val="Hyperlink"/>
            <w:noProof/>
          </w:rPr>
          <w:noBreakHyphen/>
          <w:t>1 Transforming to a hyper-digital economy foundations – EUSDR in 2050</w:t>
        </w:r>
        <w:r w:rsidR="00865340">
          <w:rPr>
            <w:noProof/>
            <w:webHidden/>
          </w:rPr>
          <w:tab/>
        </w:r>
        <w:r w:rsidR="00865340">
          <w:rPr>
            <w:noProof/>
            <w:webHidden/>
          </w:rPr>
          <w:fldChar w:fldCharType="begin"/>
        </w:r>
        <w:r w:rsidR="00865340">
          <w:rPr>
            <w:noProof/>
            <w:webHidden/>
          </w:rPr>
          <w:instrText xml:space="preserve"> PAGEREF _Toc100584686 \h </w:instrText>
        </w:r>
        <w:r w:rsidR="00865340">
          <w:rPr>
            <w:noProof/>
            <w:webHidden/>
          </w:rPr>
        </w:r>
        <w:r w:rsidR="00865340">
          <w:rPr>
            <w:noProof/>
            <w:webHidden/>
          </w:rPr>
          <w:fldChar w:fldCharType="separate"/>
        </w:r>
        <w:r>
          <w:rPr>
            <w:noProof/>
            <w:webHidden/>
          </w:rPr>
          <w:t>47</w:t>
        </w:r>
        <w:r w:rsidR="00865340">
          <w:rPr>
            <w:noProof/>
            <w:webHidden/>
          </w:rPr>
          <w:fldChar w:fldCharType="end"/>
        </w:r>
      </w:hyperlink>
    </w:p>
    <w:p w14:paraId="65251A36" w14:textId="3A430E6C" w:rsidR="00865340" w:rsidRDefault="006839DA">
      <w:pPr>
        <w:pStyle w:val="TableofFigures"/>
        <w:rPr>
          <w:rFonts w:eastAsiaTheme="minorEastAsia"/>
          <w:noProof/>
          <w:sz w:val="24"/>
          <w:szCs w:val="24"/>
          <w:lang w:val="en-LU" w:eastAsia="en-GB"/>
        </w:rPr>
      </w:pPr>
      <w:hyperlink w:anchor="_Toc100584687" w:history="1">
        <w:r w:rsidR="00865340" w:rsidRPr="007B3EB9">
          <w:rPr>
            <w:rStyle w:val="Hyperlink"/>
            <w:noProof/>
          </w:rPr>
          <w:t>Figure 8</w:t>
        </w:r>
        <w:r w:rsidR="00865340" w:rsidRPr="007B3EB9">
          <w:rPr>
            <w:rStyle w:val="Hyperlink"/>
            <w:noProof/>
          </w:rPr>
          <w:noBreakHyphen/>
          <w:t>2 What territories are affected by the ‘Transforming into a hyper-digital economy’ alternative scenario?</w:t>
        </w:r>
        <w:r w:rsidR="00865340">
          <w:rPr>
            <w:noProof/>
            <w:webHidden/>
          </w:rPr>
          <w:tab/>
        </w:r>
        <w:r w:rsidR="00865340">
          <w:rPr>
            <w:noProof/>
            <w:webHidden/>
          </w:rPr>
          <w:fldChar w:fldCharType="begin"/>
        </w:r>
        <w:r w:rsidR="00865340">
          <w:rPr>
            <w:noProof/>
            <w:webHidden/>
          </w:rPr>
          <w:instrText xml:space="preserve"> PAGEREF _Toc100584687 \h </w:instrText>
        </w:r>
        <w:r w:rsidR="00865340">
          <w:rPr>
            <w:noProof/>
            <w:webHidden/>
          </w:rPr>
        </w:r>
        <w:r w:rsidR="00865340">
          <w:rPr>
            <w:noProof/>
            <w:webHidden/>
          </w:rPr>
          <w:fldChar w:fldCharType="separate"/>
        </w:r>
        <w:r>
          <w:rPr>
            <w:noProof/>
            <w:webHidden/>
          </w:rPr>
          <w:t>50</w:t>
        </w:r>
        <w:r w:rsidR="00865340">
          <w:rPr>
            <w:noProof/>
            <w:webHidden/>
          </w:rPr>
          <w:fldChar w:fldCharType="end"/>
        </w:r>
      </w:hyperlink>
    </w:p>
    <w:p w14:paraId="5B6B7BF5" w14:textId="7583925B" w:rsidR="00865340" w:rsidRDefault="006839DA">
      <w:pPr>
        <w:pStyle w:val="TableofFigures"/>
        <w:rPr>
          <w:rFonts w:eastAsiaTheme="minorEastAsia"/>
          <w:noProof/>
          <w:sz w:val="24"/>
          <w:szCs w:val="24"/>
          <w:lang w:val="en-LU" w:eastAsia="en-GB"/>
        </w:rPr>
      </w:pPr>
      <w:hyperlink w:anchor="_Toc100584688" w:history="1">
        <w:r w:rsidR="00865340" w:rsidRPr="007B3EB9">
          <w:rPr>
            <w:rStyle w:val="Hyperlink"/>
            <w:noProof/>
          </w:rPr>
          <w:t>Figure 9</w:t>
        </w:r>
        <w:r w:rsidR="00865340" w:rsidRPr="007B3EB9">
          <w:rPr>
            <w:rStyle w:val="Hyperlink"/>
            <w:noProof/>
          </w:rPr>
          <w:noBreakHyphen/>
          <w:t>1 Possible fields for policy recommendations</w:t>
        </w:r>
        <w:r w:rsidR="00865340">
          <w:rPr>
            <w:noProof/>
            <w:webHidden/>
          </w:rPr>
          <w:tab/>
        </w:r>
        <w:r w:rsidR="00865340">
          <w:rPr>
            <w:noProof/>
            <w:webHidden/>
          </w:rPr>
          <w:fldChar w:fldCharType="begin"/>
        </w:r>
        <w:r w:rsidR="00865340">
          <w:rPr>
            <w:noProof/>
            <w:webHidden/>
          </w:rPr>
          <w:instrText xml:space="preserve"> PAGEREF _Toc100584688 \h </w:instrText>
        </w:r>
        <w:r w:rsidR="00865340">
          <w:rPr>
            <w:noProof/>
            <w:webHidden/>
          </w:rPr>
        </w:r>
        <w:r w:rsidR="00865340">
          <w:rPr>
            <w:noProof/>
            <w:webHidden/>
          </w:rPr>
          <w:fldChar w:fldCharType="separate"/>
        </w:r>
        <w:r>
          <w:rPr>
            <w:noProof/>
            <w:webHidden/>
          </w:rPr>
          <w:t>51</w:t>
        </w:r>
        <w:r w:rsidR="00865340">
          <w:rPr>
            <w:noProof/>
            <w:webHidden/>
          </w:rPr>
          <w:fldChar w:fldCharType="end"/>
        </w:r>
      </w:hyperlink>
    </w:p>
    <w:p w14:paraId="56818942" w14:textId="457F46E3" w:rsidR="00E273AB" w:rsidRPr="00702488" w:rsidRDefault="00F61D9A" w:rsidP="009C6F70">
      <w:pPr>
        <w:pStyle w:val="NoSpacing"/>
      </w:pPr>
      <w:r w:rsidRPr="00702488">
        <w:fldChar w:fldCharType="end"/>
      </w:r>
    </w:p>
    <w:p w14:paraId="427B82D1" w14:textId="77777777" w:rsidR="00426EE6" w:rsidRPr="00702488" w:rsidRDefault="00426EE6" w:rsidP="00440F1C">
      <w:pPr>
        <w:pStyle w:val="NoSpacing"/>
        <w:spacing w:line="60" w:lineRule="exact"/>
      </w:pPr>
    </w:p>
    <w:p w14:paraId="3F0D11AF" w14:textId="77777777" w:rsidR="00426EE6" w:rsidRPr="00702488" w:rsidRDefault="00426EE6" w:rsidP="00440F1C">
      <w:pPr>
        <w:pStyle w:val="NoSpacing"/>
        <w:spacing w:line="60" w:lineRule="exact"/>
      </w:pPr>
    </w:p>
    <w:p w14:paraId="736C3253" w14:textId="77777777" w:rsidR="008A27F2" w:rsidRPr="00702488" w:rsidRDefault="008A27F2" w:rsidP="00FF617E">
      <w:pPr>
        <w:pStyle w:val="TOCBold"/>
        <w:tabs>
          <w:tab w:val="left" w:pos="1021"/>
        </w:tabs>
      </w:pPr>
      <w:r w:rsidRPr="00702488">
        <w:t>List of tables</w:t>
      </w:r>
    </w:p>
    <w:p w14:paraId="14267B92" w14:textId="3CD71778" w:rsidR="00E54085" w:rsidRDefault="00F61D9A">
      <w:pPr>
        <w:pStyle w:val="TableofFigures"/>
        <w:rPr>
          <w:rFonts w:eastAsiaTheme="minorEastAsia"/>
          <w:noProof/>
          <w:sz w:val="24"/>
          <w:szCs w:val="24"/>
          <w:lang w:val="en-LU" w:eastAsia="en-GB"/>
        </w:rPr>
      </w:pPr>
      <w:r w:rsidRPr="00702488">
        <w:fldChar w:fldCharType="begin"/>
      </w:r>
      <w:r w:rsidRPr="00702488">
        <w:instrText xml:space="preserve"> TOC \h \z \c "Table" </w:instrText>
      </w:r>
      <w:r w:rsidRPr="00702488">
        <w:fldChar w:fldCharType="separate"/>
      </w:r>
      <w:hyperlink w:anchor="_Toc100584726" w:history="1">
        <w:r w:rsidR="00E54085" w:rsidRPr="00D61896">
          <w:rPr>
            <w:rStyle w:val="Hyperlink"/>
            <w:noProof/>
          </w:rPr>
          <w:t>Table 4.1 Territorial consequences impact opportunities of today’s key topics in the Danube macro-region</w:t>
        </w:r>
        <w:r w:rsidR="00E54085">
          <w:rPr>
            <w:noProof/>
            <w:webHidden/>
          </w:rPr>
          <w:tab/>
        </w:r>
        <w:r w:rsidR="00E54085">
          <w:rPr>
            <w:noProof/>
            <w:webHidden/>
          </w:rPr>
          <w:fldChar w:fldCharType="begin"/>
        </w:r>
        <w:r w:rsidR="00E54085">
          <w:rPr>
            <w:noProof/>
            <w:webHidden/>
          </w:rPr>
          <w:instrText xml:space="preserve"> PAGEREF _Toc100584726 \h </w:instrText>
        </w:r>
        <w:r w:rsidR="00E54085">
          <w:rPr>
            <w:noProof/>
            <w:webHidden/>
          </w:rPr>
        </w:r>
        <w:r w:rsidR="00E54085">
          <w:rPr>
            <w:noProof/>
            <w:webHidden/>
          </w:rPr>
          <w:fldChar w:fldCharType="separate"/>
        </w:r>
        <w:r w:rsidR="006839DA">
          <w:rPr>
            <w:noProof/>
            <w:webHidden/>
          </w:rPr>
          <w:t>21</w:t>
        </w:r>
        <w:r w:rsidR="00E54085">
          <w:rPr>
            <w:noProof/>
            <w:webHidden/>
          </w:rPr>
          <w:fldChar w:fldCharType="end"/>
        </w:r>
      </w:hyperlink>
    </w:p>
    <w:p w14:paraId="18D38C7F" w14:textId="235F57BF" w:rsidR="00F61D9A" w:rsidRPr="00702488" w:rsidRDefault="00F61D9A" w:rsidP="009C6F70">
      <w:pPr>
        <w:pStyle w:val="NoSpacing"/>
      </w:pPr>
      <w:r w:rsidRPr="00702488">
        <w:fldChar w:fldCharType="end"/>
      </w:r>
    </w:p>
    <w:p w14:paraId="06C19ECF" w14:textId="77777777" w:rsidR="00426EE6" w:rsidRPr="00702488" w:rsidRDefault="00426EE6" w:rsidP="009C6F70">
      <w:pPr>
        <w:pStyle w:val="NoSpacing"/>
      </w:pPr>
    </w:p>
    <w:p w14:paraId="3A2D64A5" w14:textId="77777777" w:rsidR="001A61A3" w:rsidRDefault="001A61A3" w:rsidP="00651F74">
      <w:pPr>
        <w:pStyle w:val="Heading1NoNumber"/>
      </w:pPr>
      <w:bookmarkStart w:id="0" w:name="_Toc100584653"/>
      <w:r w:rsidRPr="00702488">
        <w:t>Abbreviations</w:t>
      </w:r>
      <w:bookmarkEnd w:id="0"/>
    </w:p>
    <w:p w14:paraId="795F875A" w14:textId="77777777" w:rsidR="00866D52" w:rsidRPr="00866D52" w:rsidRDefault="00866D52" w:rsidP="00866D52"/>
    <w:tbl>
      <w:tblPr>
        <w:tblW w:w="0" w:type="auto"/>
        <w:tblLayout w:type="fixed"/>
        <w:tblCellMar>
          <w:left w:w="0" w:type="dxa"/>
          <w:right w:w="0" w:type="dxa"/>
        </w:tblCellMar>
        <w:tblLook w:val="04A0" w:firstRow="1" w:lastRow="0" w:firstColumn="1" w:lastColumn="0" w:noHBand="0" w:noVBand="1"/>
      </w:tblPr>
      <w:tblGrid>
        <w:gridCol w:w="1020"/>
        <w:gridCol w:w="7484"/>
      </w:tblGrid>
      <w:tr w:rsidR="00AE3253" w:rsidRPr="00702488" w14:paraId="2FC06916" w14:textId="77777777" w:rsidTr="00644E93">
        <w:trPr>
          <w:cantSplit/>
        </w:trPr>
        <w:tc>
          <w:tcPr>
            <w:tcW w:w="1020" w:type="dxa"/>
          </w:tcPr>
          <w:p w14:paraId="5ACD9E96" w14:textId="77777777" w:rsidR="00AE3253" w:rsidRDefault="00AE3253" w:rsidP="00644E93">
            <w:pPr>
              <w:pStyle w:val="NoSpacing"/>
            </w:pPr>
            <w:r>
              <w:t>EGTC</w:t>
            </w:r>
          </w:p>
        </w:tc>
        <w:tc>
          <w:tcPr>
            <w:tcW w:w="7484" w:type="dxa"/>
          </w:tcPr>
          <w:p w14:paraId="1D49B563" w14:textId="77777777" w:rsidR="00AE3253" w:rsidRDefault="00AE3253" w:rsidP="00644E93">
            <w:pPr>
              <w:pStyle w:val="NoSpacing"/>
            </w:pPr>
            <w:r>
              <w:t>European Groupings of Territorial Cooperation</w:t>
            </w:r>
          </w:p>
        </w:tc>
      </w:tr>
      <w:tr w:rsidR="00AE3253" w:rsidRPr="00702488" w14:paraId="6B261ABC" w14:textId="77777777" w:rsidTr="00644E93">
        <w:trPr>
          <w:cantSplit/>
        </w:trPr>
        <w:tc>
          <w:tcPr>
            <w:tcW w:w="1020" w:type="dxa"/>
          </w:tcPr>
          <w:p w14:paraId="038C4DD5" w14:textId="77777777" w:rsidR="00AE3253" w:rsidRPr="00702488" w:rsidRDefault="00AE3253" w:rsidP="00644E93">
            <w:pPr>
              <w:pStyle w:val="NoSpacing"/>
            </w:pPr>
            <w:r>
              <w:t>EU</w:t>
            </w:r>
          </w:p>
        </w:tc>
        <w:tc>
          <w:tcPr>
            <w:tcW w:w="7484" w:type="dxa"/>
          </w:tcPr>
          <w:p w14:paraId="389299E1" w14:textId="77777777" w:rsidR="00AE3253" w:rsidRPr="00702488" w:rsidRDefault="00AE3253" w:rsidP="00644E93">
            <w:pPr>
              <w:pStyle w:val="NoSpacing"/>
            </w:pPr>
            <w:r>
              <w:t>European Union</w:t>
            </w:r>
          </w:p>
        </w:tc>
      </w:tr>
      <w:tr w:rsidR="00AE3253" w14:paraId="6EF21C73" w14:textId="77777777" w:rsidTr="00644E93">
        <w:trPr>
          <w:cantSplit/>
        </w:trPr>
        <w:tc>
          <w:tcPr>
            <w:tcW w:w="1020" w:type="dxa"/>
          </w:tcPr>
          <w:p w14:paraId="2FDCA1DF" w14:textId="77777777" w:rsidR="00AE3253" w:rsidRDefault="00AE3253" w:rsidP="00644E93">
            <w:pPr>
              <w:pStyle w:val="NoSpacing"/>
            </w:pPr>
            <w:r>
              <w:t>EUSAIR</w:t>
            </w:r>
          </w:p>
        </w:tc>
        <w:tc>
          <w:tcPr>
            <w:tcW w:w="7484" w:type="dxa"/>
          </w:tcPr>
          <w:p w14:paraId="3E3AC05A" w14:textId="77777777" w:rsidR="00AE3253" w:rsidRDefault="00AE3253" w:rsidP="00644E93">
            <w:pPr>
              <w:pStyle w:val="NoSpacing"/>
            </w:pPr>
            <w:r>
              <w:t>European Union Strategy for the Adriatic Ionian Region</w:t>
            </w:r>
          </w:p>
        </w:tc>
      </w:tr>
      <w:tr w:rsidR="00AE3253" w14:paraId="25FD542B" w14:textId="77777777" w:rsidTr="00644E93">
        <w:trPr>
          <w:cantSplit/>
        </w:trPr>
        <w:tc>
          <w:tcPr>
            <w:tcW w:w="1020" w:type="dxa"/>
          </w:tcPr>
          <w:p w14:paraId="593A6D39" w14:textId="77777777" w:rsidR="00AE3253" w:rsidRDefault="00AE3253" w:rsidP="00644E93">
            <w:pPr>
              <w:pStyle w:val="NoSpacing"/>
            </w:pPr>
            <w:r>
              <w:t>EUSDR</w:t>
            </w:r>
          </w:p>
        </w:tc>
        <w:tc>
          <w:tcPr>
            <w:tcW w:w="7484" w:type="dxa"/>
          </w:tcPr>
          <w:p w14:paraId="317D10E1" w14:textId="77777777" w:rsidR="00AE3253" w:rsidRDefault="00AE3253" w:rsidP="00644E93">
            <w:pPr>
              <w:pStyle w:val="NoSpacing"/>
            </w:pPr>
            <w:r>
              <w:t>European Union Strategy for the Danube Region</w:t>
            </w:r>
          </w:p>
        </w:tc>
      </w:tr>
      <w:tr w:rsidR="00AE3253" w14:paraId="16FBAF33" w14:textId="77777777" w:rsidTr="00644E93">
        <w:trPr>
          <w:cantSplit/>
        </w:trPr>
        <w:tc>
          <w:tcPr>
            <w:tcW w:w="1020" w:type="dxa"/>
          </w:tcPr>
          <w:p w14:paraId="0292B397" w14:textId="77777777" w:rsidR="00AE3253" w:rsidRDefault="00AE3253" w:rsidP="00644E93">
            <w:pPr>
              <w:pStyle w:val="NoSpacing"/>
            </w:pPr>
            <w:r>
              <w:t>GDP</w:t>
            </w:r>
          </w:p>
        </w:tc>
        <w:tc>
          <w:tcPr>
            <w:tcW w:w="7484" w:type="dxa"/>
          </w:tcPr>
          <w:p w14:paraId="510063A6" w14:textId="77777777" w:rsidR="00AE3253" w:rsidRDefault="00AE3253" w:rsidP="00644E93">
            <w:pPr>
              <w:pStyle w:val="NoSpacing"/>
            </w:pPr>
            <w:r>
              <w:t>Gross Domestic Product</w:t>
            </w:r>
          </w:p>
        </w:tc>
      </w:tr>
      <w:tr w:rsidR="00954110" w14:paraId="2E469500" w14:textId="77777777" w:rsidTr="00644E93">
        <w:trPr>
          <w:cantSplit/>
        </w:trPr>
        <w:tc>
          <w:tcPr>
            <w:tcW w:w="1020" w:type="dxa"/>
          </w:tcPr>
          <w:p w14:paraId="7B11B025" w14:textId="77777777" w:rsidR="00954110" w:rsidRDefault="00954110" w:rsidP="00644E93">
            <w:pPr>
              <w:pStyle w:val="NoSpacing"/>
            </w:pPr>
            <w:r>
              <w:t>PA</w:t>
            </w:r>
          </w:p>
        </w:tc>
        <w:tc>
          <w:tcPr>
            <w:tcW w:w="7484" w:type="dxa"/>
          </w:tcPr>
          <w:p w14:paraId="709F6730" w14:textId="77777777" w:rsidR="00954110" w:rsidRDefault="00954110" w:rsidP="00644E93">
            <w:pPr>
              <w:pStyle w:val="NoSpacing"/>
            </w:pPr>
            <w:r>
              <w:t>Priority Area</w:t>
            </w:r>
          </w:p>
        </w:tc>
      </w:tr>
      <w:tr w:rsidR="00AE3253" w14:paraId="11AC707D" w14:textId="77777777" w:rsidTr="00644E93">
        <w:trPr>
          <w:cantSplit/>
        </w:trPr>
        <w:tc>
          <w:tcPr>
            <w:tcW w:w="1020" w:type="dxa"/>
          </w:tcPr>
          <w:p w14:paraId="507D047A" w14:textId="77777777" w:rsidR="00AE3253" w:rsidRDefault="00AE3253" w:rsidP="00644E93">
            <w:pPr>
              <w:pStyle w:val="NoSpacing"/>
            </w:pPr>
            <w:r>
              <w:t>R&amp;D</w:t>
            </w:r>
          </w:p>
        </w:tc>
        <w:tc>
          <w:tcPr>
            <w:tcW w:w="7484" w:type="dxa"/>
          </w:tcPr>
          <w:p w14:paraId="6721AB10" w14:textId="77777777" w:rsidR="00AE3253" w:rsidRDefault="00AE3253" w:rsidP="00644E93">
            <w:pPr>
              <w:pStyle w:val="NoSpacing"/>
            </w:pPr>
            <w:r>
              <w:t>Research and Development</w:t>
            </w:r>
          </w:p>
        </w:tc>
      </w:tr>
      <w:tr w:rsidR="00AE3253" w14:paraId="41151D1F" w14:textId="77777777" w:rsidTr="00644E93">
        <w:trPr>
          <w:cantSplit/>
        </w:trPr>
        <w:tc>
          <w:tcPr>
            <w:tcW w:w="1020" w:type="dxa"/>
          </w:tcPr>
          <w:p w14:paraId="1F641F90" w14:textId="77777777" w:rsidR="00AE3253" w:rsidRDefault="00AE3253" w:rsidP="00644E93">
            <w:pPr>
              <w:pStyle w:val="NoSpacing"/>
            </w:pPr>
            <w:r>
              <w:t>SME</w:t>
            </w:r>
          </w:p>
        </w:tc>
        <w:tc>
          <w:tcPr>
            <w:tcW w:w="7484" w:type="dxa"/>
          </w:tcPr>
          <w:p w14:paraId="5F1B9AF9" w14:textId="77777777" w:rsidR="00AE3253" w:rsidRDefault="00AE3253" w:rsidP="00644E93">
            <w:pPr>
              <w:pStyle w:val="NoSpacing"/>
            </w:pPr>
            <w:r>
              <w:t>Small and Medium-sized Enterprise</w:t>
            </w:r>
          </w:p>
        </w:tc>
      </w:tr>
    </w:tbl>
    <w:p w14:paraId="70311F1D" w14:textId="77777777" w:rsidR="00531567" w:rsidRPr="00702488" w:rsidRDefault="00531567" w:rsidP="00531567"/>
    <w:p w14:paraId="2E8454FD" w14:textId="77777777" w:rsidR="00AA26B6" w:rsidRPr="00702488" w:rsidRDefault="00AA26B6" w:rsidP="00AA26B6"/>
    <w:p w14:paraId="3B6F9FDF" w14:textId="1609AD97" w:rsidR="00710589" w:rsidRPr="00702488" w:rsidRDefault="00C65945" w:rsidP="00646167">
      <w:pPr>
        <w:pStyle w:val="Heading1"/>
      </w:pPr>
      <w:bookmarkStart w:id="1" w:name="_Toc100584654"/>
      <w:r w:rsidRPr="00702488">
        <w:t>Introduction</w:t>
      </w:r>
      <w:bookmarkEnd w:id="1"/>
      <w:r w:rsidRPr="00702488">
        <w:t xml:space="preserve"> </w:t>
      </w:r>
    </w:p>
    <w:p w14:paraId="758101D5" w14:textId="715E496E" w:rsidR="00586AF3" w:rsidRPr="00702488" w:rsidRDefault="00586AF3" w:rsidP="00586AF3">
      <w:r w:rsidRPr="00702488">
        <w:t xml:space="preserve">The ESPON project Territorial Scenarios for the Danube and the Adriatic Ionian macro-regions 2050 (TEVI 2050) belongs to Specific Objective 2 of the ESPON Programme. The project aims to ‘develop territorial scenarios for the European Union Strategy for the Danube Region and European Union Strategy for the Adriatic Ionian Region as the means to enhance the territorial dimension of the respective EU Strategies and to embed the territorial evidence in policymaking at relevant levels of the countries involved in their implementation’ </w:t>
      </w:r>
      <w:r w:rsidRPr="00702488">
        <w:fldChar w:fldCharType="begin"/>
      </w:r>
      <w:r w:rsidR="00DC4537">
        <w:instrText xml:space="preserve"> ADDIN ZOTERO_ITEM CSL_CITATION {"citationID":"MTJRKDHX","properties":{"formattedCitation":"(ESPON EGTC, 2020)","plainCitation":"(ESPON EGTC, 2020)","noteIndex":0},"citationItems":[{"id":"dRfTzFBz/CK5rRrU6","uris":["http://zotero.org/groups/4075961/items/HMPXFCXT"],"itemData":{"id":8792,"type":"article","title":"Call for tenders. Terms of Reference. \"Territorial Scenarios for the Danube and Adriatic Ionian Macro-regions (TEVI2050). Technical and Administrative Terms and Conditions","author":[{"family":"ESPON EGTC","given":""}],"issued":{"date-parts":[["2020",12,9]]}}}],"schema":"https://github.com/citation-style-language/schema/raw/master/csl-citation.json"} </w:instrText>
      </w:r>
      <w:r w:rsidRPr="00702488">
        <w:fldChar w:fldCharType="separate"/>
      </w:r>
      <w:r w:rsidRPr="00702488">
        <w:t>(ESPON EGTC, 2020)</w:t>
      </w:r>
      <w:r w:rsidRPr="00702488">
        <w:fldChar w:fldCharType="end"/>
      </w:r>
      <w:r w:rsidRPr="00702488">
        <w:t xml:space="preserve">. </w:t>
      </w:r>
    </w:p>
    <w:p w14:paraId="1AAD4D9E" w14:textId="11883936" w:rsidR="00C65945" w:rsidRPr="00702488" w:rsidRDefault="00C65945" w:rsidP="00C65945">
      <w:pPr>
        <w:pStyle w:val="Heading2"/>
      </w:pPr>
      <w:bookmarkStart w:id="2" w:name="_Toc100584655"/>
      <w:r w:rsidRPr="00702488">
        <w:t>Introduction to the study</w:t>
      </w:r>
      <w:bookmarkEnd w:id="2"/>
      <w:r w:rsidRPr="00702488">
        <w:t xml:space="preserve"> </w:t>
      </w:r>
    </w:p>
    <w:p w14:paraId="426F94FC" w14:textId="4B5336C5" w:rsidR="00872D20" w:rsidRPr="00702488" w:rsidRDefault="00872D20" w:rsidP="00872D20">
      <w:r w:rsidRPr="00702488">
        <w:t xml:space="preserve">As stated in the Terms of Reference, the objectives of the project are </w:t>
      </w:r>
      <w:r w:rsidRPr="00702488">
        <w:fldChar w:fldCharType="begin"/>
      </w:r>
      <w:r w:rsidR="00DC4537">
        <w:instrText xml:space="preserve"> ADDIN ZOTERO_ITEM CSL_CITATION {"citationID":"6hSHZaD8","properties":{"formattedCitation":"(ESPON EGTC, 2020)","plainCitation":"(ESPON EGTC, 2020)","noteIndex":0},"citationItems":[{"id":"dRfTzFBz/CK5rRrU6","uris":["http://zotero.org/groups/4075961/items/HMPXFCXT"],"itemData":{"id":8792,"type":"article","title":"Call for tenders. Terms of Reference. \"Territorial Scenarios for the Danube and Adriatic Ionian Macro-regions (TEVI2050). Technical and Administrative Terms and Conditions","author":[{"family":"ESPON EGTC","given":""}],"issued":{"date-parts":[["2020",12,9]]}}}],"schema":"https://github.com/citation-style-language/schema/raw/master/csl-citation.json"} </w:instrText>
      </w:r>
      <w:r w:rsidRPr="00702488">
        <w:fldChar w:fldCharType="separate"/>
      </w:r>
      <w:r w:rsidRPr="00702488">
        <w:t>(ESPON EGTC, 2020)</w:t>
      </w:r>
      <w:r w:rsidRPr="00702488">
        <w:fldChar w:fldCharType="end"/>
      </w:r>
      <w:r w:rsidRPr="00702488">
        <w:t xml:space="preserve">: </w:t>
      </w:r>
    </w:p>
    <w:p w14:paraId="4DB36236" w14:textId="77777777" w:rsidR="00872D20" w:rsidRPr="00702488" w:rsidRDefault="00872D20" w:rsidP="00872D20">
      <w:pPr>
        <w:pStyle w:val="Bulletpoints"/>
        <w:rPr>
          <w:szCs w:val="18"/>
        </w:rPr>
      </w:pPr>
      <w:r w:rsidRPr="00702488">
        <w:rPr>
          <w:szCs w:val="18"/>
        </w:rPr>
        <w:t>Identification of the main processes, factors, obstacles and drivers that will shape the territorial development and spatial integration of the Danube Region and the Adriatic and Ionian Region in 2050. The common challenges identified in the strategic documents for each macro-region (e.g. demography, energy issues, mobility, connectivity, digitalization, innovation and climate change) shall be taken into consideration.</w:t>
      </w:r>
    </w:p>
    <w:p w14:paraId="75CB8336" w14:textId="77777777" w:rsidR="00872D20" w:rsidRPr="00702488" w:rsidRDefault="00872D20" w:rsidP="00872D20">
      <w:pPr>
        <w:pStyle w:val="Bulletpoints"/>
        <w:rPr>
          <w:szCs w:val="18"/>
        </w:rPr>
      </w:pPr>
      <w:r w:rsidRPr="00702488">
        <w:rPr>
          <w:szCs w:val="18"/>
        </w:rPr>
        <w:t xml:space="preserve">Identification of synergies and conflicts between the above-mentioned factors, obstacles and drivers (in particular, from the perspective of the key policy processes). </w:t>
      </w:r>
    </w:p>
    <w:p w14:paraId="1B75A767" w14:textId="77777777" w:rsidR="00872D20" w:rsidRPr="00702488" w:rsidRDefault="00872D20" w:rsidP="00872D20">
      <w:pPr>
        <w:pStyle w:val="Bulletpoints"/>
        <w:rPr>
          <w:szCs w:val="18"/>
        </w:rPr>
      </w:pPr>
      <w:r w:rsidRPr="00702488">
        <w:rPr>
          <w:szCs w:val="18"/>
        </w:rPr>
        <w:t xml:space="preserve">Formulation of baseline territorial development scenarios for the Danube Region and for the Adriatic and Ionian Region for 2050. </w:t>
      </w:r>
    </w:p>
    <w:p w14:paraId="0BA3ECC5" w14:textId="77777777" w:rsidR="00872D20" w:rsidRPr="00702488" w:rsidRDefault="00872D20" w:rsidP="00872D20">
      <w:pPr>
        <w:pStyle w:val="Bulletpoints"/>
        <w:rPr>
          <w:szCs w:val="18"/>
        </w:rPr>
      </w:pPr>
      <w:r w:rsidRPr="00702488">
        <w:rPr>
          <w:szCs w:val="18"/>
        </w:rPr>
        <w:t xml:space="preserve">Production of alternative territorial development scenarios for the Danube Region and for the Adriatic and Ionian Region through a participatory dialogue with the steering committee and possibly involving other stakeholders. </w:t>
      </w:r>
    </w:p>
    <w:p w14:paraId="2ABEE695" w14:textId="77777777" w:rsidR="00872D20" w:rsidRPr="00702488" w:rsidRDefault="00872D20" w:rsidP="00872D20">
      <w:pPr>
        <w:pStyle w:val="Bulletpoints"/>
        <w:rPr>
          <w:szCs w:val="18"/>
        </w:rPr>
      </w:pPr>
      <w:r w:rsidRPr="00702488">
        <w:rPr>
          <w:szCs w:val="18"/>
        </w:rPr>
        <w:t xml:space="preserve">Development of policy recommendations on possible policy pathways i.e. policy actions requiring joint attention of the European Union Strategy for the Danube Region (EUSDR) and the European Union Strategy for the Adriatic Ionian Region (EUSAIR) governance bodies and other levels of governance in the respective EU macro-regions in order to steer the development towards the chosen scenarios. In this case, soft cooperation and multi-level governance actions shall be taken into consideration. </w:t>
      </w:r>
    </w:p>
    <w:p w14:paraId="05875EAC" w14:textId="6E67A5A9" w:rsidR="00C65945" w:rsidRPr="00702488" w:rsidRDefault="00C65945" w:rsidP="00C65945">
      <w:pPr>
        <w:pStyle w:val="Heading2"/>
      </w:pPr>
      <w:bookmarkStart w:id="3" w:name="_Toc100584656"/>
      <w:r w:rsidRPr="00702488">
        <w:t xml:space="preserve">Introduction to </w:t>
      </w:r>
      <w:r w:rsidR="007335B4" w:rsidRPr="00702488">
        <w:t>Part II</w:t>
      </w:r>
      <w:bookmarkEnd w:id="3"/>
    </w:p>
    <w:p w14:paraId="1970719C" w14:textId="4EBF2A6A" w:rsidR="00A9511A" w:rsidRPr="00702488" w:rsidRDefault="00A9511A" w:rsidP="00FF2CE5">
      <w:r w:rsidRPr="00702488">
        <w:t xml:space="preserve">What </w:t>
      </w:r>
      <w:r w:rsidR="008A329F" w:rsidRPr="00702488">
        <w:t xml:space="preserve">can be possible </w:t>
      </w:r>
      <w:r w:rsidRPr="00702488">
        <w:t>futures for the EUSDR? How can the different territories of the EUSDR develop by 2050, based</w:t>
      </w:r>
      <w:r w:rsidR="00EA5C18" w:rsidRPr="00702488">
        <w:t xml:space="preserve"> </w:t>
      </w:r>
      <w:r w:rsidRPr="00702488">
        <w:t xml:space="preserve">on different scenario assumptions? </w:t>
      </w:r>
      <w:r w:rsidR="002F555E" w:rsidRPr="00702488">
        <w:t xml:space="preserve">How would these futures differ from today and </w:t>
      </w:r>
      <w:r w:rsidR="00515579" w:rsidRPr="00702488">
        <w:t>what can be possible policy recommendations for more informed policy making in the years to come?</w:t>
      </w:r>
    </w:p>
    <w:p w14:paraId="3949AB7F" w14:textId="5C622B0C" w:rsidR="00785FFD" w:rsidRPr="00702488" w:rsidRDefault="00E36C83" w:rsidP="00FF2CE5">
      <w:r w:rsidRPr="00702488">
        <w:t>Part II</w:t>
      </w:r>
      <w:r>
        <w:t>I</w:t>
      </w:r>
      <w:r w:rsidRPr="00702488">
        <w:t xml:space="preserve"> of the ESPON TEVI 2050 final report is dedicated to the EUS</w:t>
      </w:r>
      <w:r>
        <w:t>D</w:t>
      </w:r>
      <w:r w:rsidRPr="00702488">
        <w:t xml:space="preserve">R macro-regional strategy findings. The aim of the report is to present in </w:t>
      </w:r>
      <w:r>
        <w:t>a</w:t>
      </w:r>
      <w:r w:rsidRPr="00702488">
        <w:t xml:space="preserve"> single document the path from the present to the development of the different futures and scenarios of the Adriatic Ionian Region. The report starts with a short overview </w:t>
      </w:r>
      <w:r>
        <w:t>of</w:t>
      </w:r>
      <w:r w:rsidRPr="00702488">
        <w:t xml:space="preserve"> key findings relevant for the EUS</w:t>
      </w:r>
      <w:r>
        <w:t>D</w:t>
      </w:r>
      <w:r w:rsidRPr="00702488">
        <w:t xml:space="preserve">R (Chapter </w:t>
      </w:r>
      <w:r>
        <w:t>2</w:t>
      </w:r>
      <w:r w:rsidRPr="00702488">
        <w:t xml:space="preserve">). Chapter </w:t>
      </w:r>
      <w:r>
        <w:t>3</w:t>
      </w:r>
      <w:r w:rsidRPr="00702488">
        <w:t xml:space="preserve"> gives a first aggregated picture of the Adriatic Ionian Region today to set the scene for the development of the different scenarios. Chapter </w:t>
      </w:r>
      <w:r>
        <w:t xml:space="preserve">4 </w:t>
      </w:r>
      <w:r w:rsidRPr="00702488">
        <w:t>presents the baseline scenario developed for the EUS</w:t>
      </w:r>
      <w:r>
        <w:t>D</w:t>
      </w:r>
      <w:r w:rsidRPr="00702488">
        <w:t>R</w:t>
      </w:r>
      <w:r w:rsidR="00673513">
        <w:t xml:space="preserve">, which is </w:t>
      </w:r>
      <w:r w:rsidR="000C4F86">
        <w:t>based on the same assumptions as for the EUSAIR</w:t>
      </w:r>
      <w:r w:rsidRPr="00702488">
        <w:t xml:space="preserve">. The baseline scenario shows what is possible to happen if </w:t>
      </w:r>
      <w:r>
        <w:t>there are no changes</w:t>
      </w:r>
      <w:r w:rsidRPr="00702488">
        <w:t xml:space="preserve">. Chapter </w:t>
      </w:r>
      <w:r>
        <w:t>5</w:t>
      </w:r>
      <w:r w:rsidRPr="00702488">
        <w:t xml:space="preserve"> presents the first alternative territorial scenario for the Adriatic Ionian region, which is based on the same assumptions </w:t>
      </w:r>
      <w:r>
        <w:t>as for</w:t>
      </w:r>
      <w:r w:rsidRPr="00702488">
        <w:t xml:space="preserve"> EUS</w:t>
      </w:r>
      <w:r>
        <w:t>AI</w:t>
      </w:r>
      <w:r w:rsidRPr="00702488">
        <w:t xml:space="preserve">R. Chapter </w:t>
      </w:r>
      <w:r>
        <w:t>6</w:t>
      </w:r>
      <w:r w:rsidRPr="00702488">
        <w:t xml:space="preserve"> presents the alternative territorial scenario for the EUS</w:t>
      </w:r>
      <w:r>
        <w:t>D</w:t>
      </w:r>
      <w:r w:rsidRPr="00702488">
        <w:t>R, based on EUS</w:t>
      </w:r>
      <w:r>
        <w:t>D</w:t>
      </w:r>
      <w:r w:rsidRPr="00702488">
        <w:t xml:space="preserve">R specific assumptions. The report concludes with chapter </w:t>
      </w:r>
      <w:r>
        <w:t>7</w:t>
      </w:r>
      <w:r w:rsidRPr="00702488">
        <w:t xml:space="preserve"> which presents conclusions and policy recommendations. </w:t>
      </w:r>
    </w:p>
    <w:p w14:paraId="3A12C70F" w14:textId="6C5A0DF5" w:rsidR="00D7400C" w:rsidRPr="00702488" w:rsidRDefault="007335B4" w:rsidP="007335B4">
      <w:pPr>
        <w:pStyle w:val="Heading2"/>
      </w:pPr>
      <w:bookmarkStart w:id="4" w:name="_Toc100584657"/>
      <w:r w:rsidRPr="00702488">
        <w:t xml:space="preserve">How to read the </w:t>
      </w:r>
      <w:r w:rsidR="005E46CA" w:rsidRPr="00702488">
        <w:t>scenarios</w:t>
      </w:r>
      <w:bookmarkEnd w:id="4"/>
    </w:p>
    <w:p w14:paraId="24153954" w14:textId="77777777" w:rsidR="00195F04" w:rsidRPr="00702488" w:rsidRDefault="00195F04" w:rsidP="00195F04">
      <w:r w:rsidRPr="00702488">
        <w:rPr>
          <w:b/>
          <w:bCs/>
        </w:rPr>
        <w:t>Baseline scenario</w:t>
      </w:r>
      <w:r w:rsidRPr="00702488">
        <w:t>: The baseline scenario</w:t>
      </w:r>
      <w:r>
        <w:t xml:space="preserve">, or ‘business as usual scenario’ </w:t>
      </w:r>
      <w:r w:rsidRPr="00702488">
        <w:t xml:space="preserve">presents the future of the Adriatic Ionian Region if no major changes happen, i.e. if things continue as today. It is based on four key assumptions for the future, following the trend selection carried out in the desk study and </w:t>
      </w:r>
      <w:r>
        <w:t xml:space="preserve">the </w:t>
      </w:r>
      <w:r w:rsidRPr="00702488">
        <w:t xml:space="preserve">co-creation </w:t>
      </w:r>
      <w:r>
        <w:t>process</w:t>
      </w:r>
      <w:r w:rsidRPr="00702488">
        <w:t xml:space="preserve"> of the project. The scenario also provides the territorial implication, i.e., what territories in the region will be affected by what</w:t>
      </w:r>
      <w:r>
        <w:t xml:space="preserve"> factors</w:t>
      </w:r>
      <w:r w:rsidRPr="00702488">
        <w:t>.</w:t>
      </w:r>
    </w:p>
    <w:p w14:paraId="5D452055" w14:textId="77777777" w:rsidR="00195F04" w:rsidRDefault="00195F04" w:rsidP="00195F04">
      <w:r w:rsidRPr="00702488">
        <w:rPr>
          <w:b/>
          <w:bCs/>
        </w:rPr>
        <w:t>Alternative territorial scenarios</w:t>
      </w:r>
      <w:r w:rsidRPr="00702488">
        <w:t xml:space="preserve">. The alternative territorial scenarios take the trends to a more extreme version, </w:t>
      </w:r>
      <w:r>
        <w:t xml:space="preserve">also </w:t>
      </w:r>
      <w:r w:rsidRPr="00702488">
        <w:t>giving the territorial implication</w:t>
      </w:r>
      <w:r>
        <w:t>s</w:t>
      </w:r>
      <w:r w:rsidRPr="00702488">
        <w:t xml:space="preserve">, i.e., what territories in the region will be affected by what. </w:t>
      </w:r>
      <w:r>
        <w:t xml:space="preserve">A few things need to be taken into account when reading the alternative territorial scenarios: </w:t>
      </w:r>
    </w:p>
    <w:p w14:paraId="3FF64E65" w14:textId="77777777" w:rsidR="00195F04" w:rsidRDefault="00195F04" w:rsidP="00195F04">
      <w:pPr>
        <w:pStyle w:val="Bulletpoints"/>
      </w:pPr>
      <w:r w:rsidRPr="00702488">
        <w:t xml:space="preserve">The green parts </w:t>
      </w:r>
      <w:r>
        <w:t>at</w:t>
      </w:r>
      <w:r w:rsidRPr="00702488">
        <w:t xml:space="preserve"> the beginning of the scenario give the theoretical bas</w:t>
      </w:r>
      <w:r>
        <w:t>is</w:t>
      </w:r>
      <w:r w:rsidRPr="00702488">
        <w:t xml:space="preserve"> for the scenarios, explaining what lies behind each story. </w:t>
      </w:r>
    </w:p>
    <w:p w14:paraId="672A59A6" w14:textId="77777777" w:rsidR="00195F04" w:rsidRDefault="00195F04" w:rsidP="00195F04">
      <w:pPr>
        <w:pStyle w:val="Bulletpoints"/>
      </w:pPr>
      <w:r>
        <w:t>A</w:t>
      </w:r>
      <w:r w:rsidRPr="00702488">
        <w:t xml:space="preserve"> short paragraph in </w:t>
      </w:r>
      <w:r w:rsidRPr="00702488">
        <w:rPr>
          <w:i/>
          <w:iCs/>
        </w:rPr>
        <w:t>italics</w:t>
      </w:r>
      <w:r w:rsidRPr="00702488">
        <w:t xml:space="preserve"> </w:t>
      </w:r>
      <w:r>
        <w:t>a</w:t>
      </w:r>
      <w:r w:rsidRPr="00702488">
        <w:t xml:space="preserve">t the end of every thematic focus </w:t>
      </w:r>
      <w:r>
        <w:t>for</w:t>
      </w:r>
      <w:r w:rsidRPr="00702488">
        <w:t xml:space="preserve"> each scenario </w:t>
      </w:r>
      <w:r>
        <w:t>is</w:t>
      </w:r>
      <w:r w:rsidRPr="00702488">
        <w:t xml:space="preserve"> pinpointing the territorial implications</w:t>
      </w:r>
      <w:r>
        <w:t xml:space="preserve"> of each focus. This is </w:t>
      </w:r>
      <w:r w:rsidRPr="00702488">
        <w:t xml:space="preserve">complemented by </w:t>
      </w:r>
      <w:r>
        <w:t>an</w:t>
      </w:r>
      <w:r w:rsidRPr="00702488">
        <w:t xml:space="preserve"> alternative map per scenario to support the key messages and complete the story visually. </w:t>
      </w:r>
    </w:p>
    <w:p w14:paraId="5EBE10CA" w14:textId="77777777" w:rsidR="00195F04" w:rsidRPr="007B1571" w:rsidRDefault="00195F04" w:rsidP="00195F04">
      <w:pPr>
        <w:pStyle w:val="Bulletpoints"/>
      </w:pPr>
      <w:r w:rsidRPr="007B1571">
        <w:t xml:space="preserve">The ‘terristories’ </w:t>
      </w:r>
      <w:r>
        <w:t xml:space="preserve">grey </w:t>
      </w:r>
      <w:r w:rsidRPr="007B1571">
        <w:t xml:space="preserve">boxes in the alternative scenarios are imaginary stories of the future, to make the storyline more imaginative, creative and vivid. </w:t>
      </w:r>
    </w:p>
    <w:p w14:paraId="3C970D45" w14:textId="77777777" w:rsidR="00195F04" w:rsidRPr="007B1571" w:rsidRDefault="00195F04" w:rsidP="00195F04">
      <w:pPr>
        <w:pStyle w:val="Bulletpoints"/>
      </w:pPr>
      <w:r w:rsidRPr="007B1571">
        <w:t xml:space="preserve">The scenarios are written looking back from the future, i.e. as if today were the year 2050. Hence present and past are used where relevant. </w:t>
      </w:r>
    </w:p>
    <w:p w14:paraId="122B218B" w14:textId="4FA154D7" w:rsidR="00532DC4" w:rsidRPr="00702488" w:rsidRDefault="007E14BC" w:rsidP="00195F04">
      <w:r>
        <w:t xml:space="preserve">All scenarios are built along the desk research and the thorough co-creation process </w:t>
      </w:r>
      <w:r w:rsidR="00705D04">
        <w:t>that took place throughout the project</w:t>
      </w:r>
      <w:r w:rsidR="006A2701">
        <w:t xml:space="preserve"> and guided the </w:t>
      </w:r>
      <w:r w:rsidR="0038600C">
        <w:t>focus of the scenarios</w:t>
      </w:r>
      <w:r w:rsidR="00705D04">
        <w:t xml:space="preserve">. </w:t>
      </w:r>
      <w:r w:rsidR="00195F04" w:rsidRPr="007B1571">
        <w:t xml:space="preserve">The methodology of how the two scenarios were developed are described in </w:t>
      </w:r>
      <w:r w:rsidR="00705D04">
        <w:t xml:space="preserve">more </w:t>
      </w:r>
      <w:r w:rsidR="00195F04" w:rsidRPr="007B1571">
        <w:t xml:space="preserve">detail in </w:t>
      </w:r>
      <w:r w:rsidR="00705D04">
        <w:t xml:space="preserve">Part I of the final report, as well as in </w:t>
      </w:r>
      <w:r w:rsidR="00195F04">
        <w:t>Scientific Annex</w:t>
      </w:r>
      <w:r w:rsidR="00705D04">
        <w:t>es</w:t>
      </w:r>
      <w:r w:rsidR="00195F04">
        <w:t xml:space="preserve"> </w:t>
      </w:r>
      <w:r w:rsidR="006A2701">
        <w:t xml:space="preserve">1, </w:t>
      </w:r>
      <w:r w:rsidR="00705D04">
        <w:t>2 and 3</w:t>
      </w:r>
      <w:r w:rsidR="00195F04" w:rsidRPr="007B1571">
        <w:t xml:space="preserve"> of t</w:t>
      </w:r>
      <w:r w:rsidR="00195F04">
        <w:t>he final</w:t>
      </w:r>
      <w:r w:rsidR="00195F04" w:rsidRPr="007B1571">
        <w:t xml:space="preserve"> report.</w:t>
      </w:r>
    </w:p>
    <w:p w14:paraId="26B7A7AD" w14:textId="4C89F090" w:rsidR="00C65945" w:rsidRPr="00702488" w:rsidRDefault="002E3A70" w:rsidP="00646167">
      <w:pPr>
        <w:pStyle w:val="Heading1"/>
      </w:pPr>
      <w:bookmarkStart w:id="5" w:name="_Toc100584658"/>
      <w:r w:rsidRPr="00702488">
        <w:t>Key findings on EUSDR</w:t>
      </w:r>
      <w:bookmarkEnd w:id="5"/>
      <w:r w:rsidRPr="00702488">
        <w:t xml:space="preserve"> </w:t>
      </w:r>
    </w:p>
    <w:p w14:paraId="06558313" w14:textId="77777777" w:rsidR="005A3B99" w:rsidRDefault="005A3B99" w:rsidP="005A3B99">
      <w:r>
        <w:t xml:space="preserve">What are possible future paths for the Danube Region? The ESPON TEVI 2050 has looked into various territorial scenarios to explore different future pathways for the region. Starting from the present, with current trends, developments and challenges, the project has used a thorough co-creation approach to develop a baseline and two territorial scenarios. These are followed by policy recommendations on possible future actions. The following bullet points give the key findings of the ESPON TEVI 2050 project. </w:t>
      </w:r>
    </w:p>
    <w:p w14:paraId="19921A17" w14:textId="77777777" w:rsidR="005A3B99" w:rsidRDefault="005A3B99" w:rsidP="005A3B99">
      <w:pPr>
        <w:pStyle w:val="Bulletpoints"/>
        <w:numPr>
          <w:ilvl w:val="0"/>
          <w:numId w:val="33"/>
        </w:numPr>
        <w:spacing w:before="120" w:line="240" w:lineRule="atLeast"/>
        <w:ind w:left="714" w:hanging="357"/>
      </w:pPr>
      <w:r>
        <w:rPr>
          <w:b/>
          <w:bCs/>
          <w:szCs w:val="18"/>
        </w:rPr>
        <w:t xml:space="preserve">A mantra: </w:t>
      </w:r>
      <w:r w:rsidRPr="00C722C4">
        <w:rPr>
          <w:b/>
          <w:bCs/>
          <w:szCs w:val="18"/>
        </w:rPr>
        <w:t>Scenarios are not future predictions</w:t>
      </w:r>
      <w:r>
        <w:rPr>
          <w:szCs w:val="18"/>
        </w:rPr>
        <w:t>. Scenarios are useful for preparing for the future and showing how things may develop by looking at different interrelations of trends. Scenarios do not make predictions or accurate prognosis. They allow glimpses into the future, by considering how different trends or developments may interact, looking at how different factors may change and how these changes may affect other factors. They can inform policy makers through more focused thinking about the future and improved understanding of the present, by providing different possible pathways for developing desirable futures and avoiding future dystopias.</w:t>
      </w:r>
    </w:p>
    <w:p w14:paraId="14FFA1F3" w14:textId="77777777" w:rsidR="005A3B99" w:rsidRDefault="005A3B99" w:rsidP="005A3B99">
      <w:pPr>
        <w:pStyle w:val="Bulletpoints"/>
        <w:numPr>
          <w:ilvl w:val="0"/>
          <w:numId w:val="33"/>
        </w:numPr>
        <w:spacing w:before="120" w:line="240" w:lineRule="atLeast"/>
        <w:ind w:left="714" w:hanging="357"/>
      </w:pPr>
      <w:r>
        <w:rPr>
          <w:b/>
          <w:bCs/>
        </w:rPr>
        <w:t>A view of the Danube Region today</w:t>
      </w:r>
      <w:r>
        <w:t xml:space="preserve">. The Danube Region is a very large and very diverse region. Its rich natural habitat faces environmental risks, while mass outmigration, ageing, income inequalities and a brain drain challenge the population. The digitalisation process remains challenging, despite the big steps taken, with limited employment in information and communication and low spending on research and innovation. Furthermore, there is migration and demographic change between urban and rural areas, while the region is ageing, with direct effects on employment and labour markets. There is a low share in renewables and climate change affects the Danube Region, with temperature increases having severe consequences. The region is exposed to flood risks,while water pollution and infrastructure projects further challenge the ecosystem. </w:t>
      </w:r>
    </w:p>
    <w:p w14:paraId="2DF4A698" w14:textId="77777777" w:rsidR="005A3B99" w:rsidRPr="00F1155C" w:rsidRDefault="005A3B99" w:rsidP="005A3B99">
      <w:pPr>
        <w:pStyle w:val="BodyText"/>
        <w:numPr>
          <w:ilvl w:val="0"/>
          <w:numId w:val="33"/>
        </w:numPr>
        <w:spacing w:after="0"/>
        <w:rPr>
          <w:lang w:eastAsia="sv-SE"/>
        </w:rPr>
      </w:pPr>
      <w:r w:rsidRPr="00F1155C">
        <w:rPr>
          <w:b/>
          <w:bCs/>
          <w:lang w:eastAsia="sv-SE"/>
        </w:rPr>
        <w:t>Baseline scenario: what happens if nothing changes</w:t>
      </w:r>
      <w:r>
        <w:rPr>
          <w:b/>
          <w:bCs/>
          <w:lang w:eastAsia="sv-SE"/>
        </w:rPr>
        <w:t xml:space="preserve"> in the Danube Region by 2050</w:t>
      </w:r>
      <w:r w:rsidRPr="00F1155C">
        <w:rPr>
          <w:lang w:eastAsia="sv-SE"/>
        </w:rPr>
        <w:t>. The baseline scenario look</w:t>
      </w:r>
      <w:r>
        <w:rPr>
          <w:lang w:eastAsia="sv-SE"/>
        </w:rPr>
        <w:t>s</w:t>
      </w:r>
      <w:r w:rsidRPr="00F1155C">
        <w:rPr>
          <w:lang w:eastAsia="sv-SE"/>
        </w:rPr>
        <w:t xml:space="preserve"> at four key assumptions: territories in transition to sustainable economies, dealing with depopulation, </w:t>
      </w:r>
      <w:r>
        <w:rPr>
          <w:lang w:eastAsia="sv-SE"/>
        </w:rPr>
        <w:t>the</w:t>
      </w:r>
      <w:r w:rsidRPr="00F1155C">
        <w:rPr>
          <w:lang w:eastAsia="sv-SE"/>
        </w:rPr>
        <w:t xml:space="preserve"> digital divide and EU integration. </w:t>
      </w:r>
      <w:r>
        <w:t>T</w:t>
      </w:r>
      <w:r w:rsidRPr="00F1155C">
        <w:t xml:space="preserve">he baseline scenario </w:t>
      </w:r>
      <w:r>
        <w:t>indicates</w:t>
      </w:r>
      <w:r w:rsidRPr="00F1155C">
        <w:t xml:space="preserve"> that sustainable development, digitalisation and </w:t>
      </w:r>
      <w:r>
        <w:t>addressing</w:t>
      </w:r>
      <w:r w:rsidRPr="00F1155C">
        <w:t xml:space="preserve"> migration will be partial. </w:t>
      </w:r>
      <w:r>
        <w:rPr>
          <w:lang w:eastAsia="sv-SE"/>
        </w:rPr>
        <w:t>A</w:t>
      </w:r>
      <w:r w:rsidRPr="00F1155C">
        <w:rPr>
          <w:lang w:eastAsia="sv-SE"/>
        </w:rPr>
        <w:t xml:space="preserve">n incomplete transition to sustainable economies </w:t>
      </w:r>
      <w:r>
        <w:rPr>
          <w:lang w:eastAsia="sv-SE"/>
        </w:rPr>
        <w:t>would mean</w:t>
      </w:r>
      <w:r w:rsidRPr="00F1155C">
        <w:rPr>
          <w:lang w:eastAsia="sv-SE"/>
        </w:rPr>
        <w:t xml:space="preserve"> that not all territories </w:t>
      </w:r>
      <w:r>
        <w:t>will meet</w:t>
      </w:r>
      <w:r w:rsidRPr="00F1155C">
        <w:t xml:space="preserve"> the European Green Deal</w:t>
      </w:r>
      <w:r w:rsidRPr="00D562CF">
        <w:t xml:space="preserve"> </w:t>
      </w:r>
      <w:r w:rsidRPr="00F1155C">
        <w:t>objectives. In the Danube macro-region this implies enhanced biodiversity loss, a lack of energy and reduced competitive</w:t>
      </w:r>
      <w:r>
        <w:t>ness</w:t>
      </w:r>
      <w:r w:rsidRPr="00F1155C">
        <w:t xml:space="preserve"> for industry.</w:t>
      </w:r>
      <w:r w:rsidRPr="00F1155C">
        <w:rPr>
          <w:b/>
          <w:bCs/>
        </w:rPr>
        <w:t xml:space="preserve"> </w:t>
      </w:r>
      <w:r w:rsidRPr="00F1155C">
        <w:t xml:space="preserve">By 2050, most territories in the Danube macro-region </w:t>
      </w:r>
      <w:r>
        <w:t>would have less people and would</w:t>
      </w:r>
      <w:r w:rsidRPr="00F1155C">
        <w:t xml:space="preserve"> lack a critical mass to sustain public services for healthcare, education, culture and leisure. Territories that reap the benefits of technological breakthroughs may have positive perspectives by 2050. Early adopters of 4.0 technologies are most visible as islands </w:t>
      </w:r>
      <w:r>
        <w:t xml:space="preserve">of </w:t>
      </w:r>
      <w:r w:rsidRPr="00F1155C">
        <w:t xml:space="preserve">innovation and population growth. By 2050, these territorial differences </w:t>
      </w:r>
      <w:r>
        <w:t>would be</w:t>
      </w:r>
      <w:r w:rsidRPr="00F1155C">
        <w:t xml:space="preserve"> even more pronounced due to different levels of European integration.</w:t>
      </w:r>
    </w:p>
    <w:p w14:paraId="1DA7DB5B" w14:textId="77777777" w:rsidR="005A3B99" w:rsidRDefault="005A3B99" w:rsidP="005A3B99">
      <w:pPr>
        <w:pStyle w:val="BodyText"/>
        <w:numPr>
          <w:ilvl w:val="0"/>
          <w:numId w:val="33"/>
        </w:numPr>
        <w:spacing w:after="0"/>
        <w:rPr>
          <w:lang w:eastAsia="sv-SE"/>
        </w:rPr>
      </w:pPr>
      <w:r w:rsidRPr="00233643">
        <w:rPr>
          <w:b/>
          <w:bCs/>
          <w:lang w:eastAsia="sv-SE"/>
        </w:rPr>
        <w:t>Alternative scenario: Flourishing in green and social wellbeing</w:t>
      </w:r>
      <w:r w:rsidRPr="00233643">
        <w:rPr>
          <w:lang w:eastAsia="sv-SE"/>
        </w:rPr>
        <w:t>. By 2050 the Danube Region ha</w:t>
      </w:r>
      <w:r>
        <w:rPr>
          <w:lang w:eastAsia="sv-SE"/>
        </w:rPr>
        <w:t>s</w:t>
      </w:r>
      <w:r w:rsidRPr="00233643">
        <w:rPr>
          <w:lang w:eastAsia="sv-SE"/>
        </w:rPr>
        <w:t xml:space="preserve"> taken a leap to achieve better quality of life. This is ecological, </w:t>
      </w:r>
      <w:r>
        <w:rPr>
          <w:lang w:eastAsia="sv-SE"/>
        </w:rPr>
        <w:t>with</w:t>
      </w:r>
      <w:r w:rsidRPr="00233643">
        <w:rPr>
          <w:lang w:eastAsia="sv-SE"/>
        </w:rPr>
        <w:t xml:space="preserve"> </w:t>
      </w:r>
      <w:r>
        <w:rPr>
          <w:lang w:eastAsia="sv-SE"/>
        </w:rPr>
        <w:t>very good</w:t>
      </w:r>
      <w:r w:rsidRPr="00233643">
        <w:rPr>
          <w:lang w:eastAsia="sv-SE"/>
        </w:rPr>
        <w:t xml:space="preserve"> environmental conditions, and social, </w:t>
      </w:r>
      <w:r>
        <w:rPr>
          <w:lang w:eastAsia="sv-SE"/>
        </w:rPr>
        <w:t>with</w:t>
      </w:r>
      <w:r w:rsidRPr="00233643">
        <w:rPr>
          <w:lang w:eastAsia="sv-SE"/>
        </w:rPr>
        <w:t xml:space="preserve"> trust in government and personal relations. The scenario is driven by the EU taking a new global role and increasing the quality of life </w:t>
      </w:r>
      <w:r>
        <w:rPr>
          <w:lang w:eastAsia="sv-SE"/>
        </w:rPr>
        <w:t>for</w:t>
      </w:r>
      <w:r w:rsidRPr="00233643">
        <w:rPr>
          <w:lang w:eastAsia="sv-SE"/>
        </w:rPr>
        <w:t xml:space="preserve"> its citizens. The EU has put forward </w:t>
      </w:r>
      <w:r>
        <w:rPr>
          <w:lang w:eastAsia="sv-SE"/>
        </w:rPr>
        <w:t>a</w:t>
      </w:r>
      <w:r w:rsidRPr="00233643">
        <w:rPr>
          <w:lang w:eastAsia="sv-SE"/>
        </w:rPr>
        <w:t xml:space="preserve"> strategic autonomy goal, which gradually transformed it into a global player, leading in sustainability and ensuring quality of life. Digitalisation has </w:t>
      </w:r>
      <w:r>
        <w:rPr>
          <w:lang w:eastAsia="sv-SE"/>
        </w:rPr>
        <w:t>enabled more citizen</w:t>
      </w:r>
      <w:r w:rsidRPr="00233643">
        <w:rPr>
          <w:lang w:eastAsia="sv-SE"/>
        </w:rPr>
        <w:t xml:space="preserve"> participation in decision making and safeguarding European values. The transition towards a better quality of life by investing more in environmental and social enablers has affected people’s lives to </w:t>
      </w:r>
      <w:r>
        <w:rPr>
          <w:lang w:eastAsia="sv-SE"/>
        </w:rPr>
        <w:t xml:space="preserve">a </w:t>
      </w:r>
      <w:r w:rsidRPr="00233643">
        <w:rPr>
          <w:lang w:eastAsia="sv-SE"/>
        </w:rPr>
        <w:t>great exten</w:t>
      </w:r>
      <w:r>
        <w:rPr>
          <w:lang w:eastAsia="sv-SE"/>
        </w:rPr>
        <w:t>t</w:t>
      </w:r>
      <w:r w:rsidRPr="00233643">
        <w:rPr>
          <w:lang w:eastAsia="sv-SE"/>
        </w:rPr>
        <w:t>. It has influenced the way people work</w:t>
      </w:r>
      <w:r>
        <w:rPr>
          <w:lang w:eastAsia="sv-SE"/>
        </w:rPr>
        <w:t xml:space="preserve"> and</w:t>
      </w:r>
      <w:r w:rsidRPr="00233643">
        <w:rPr>
          <w:lang w:eastAsia="sv-SE"/>
        </w:rPr>
        <w:t xml:space="preserve"> the economy, technological infrastructure, transport and modality,</w:t>
      </w:r>
      <w:r>
        <w:rPr>
          <w:lang w:eastAsia="sv-SE"/>
        </w:rPr>
        <w:t xml:space="preserve"> as well as </w:t>
      </w:r>
      <w:r w:rsidRPr="00233643">
        <w:rPr>
          <w:lang w:eastAsia="sv-SE"/>
        </w:rPr>
        <w:t xml:space="preserve"> improved health. At the same time, with support from EU’s strong regulatory presence and new global role, it </w:t>
      </w:r>
      <w:r>
        <w:rPr>
          <w:lang w:eastAsia="sv-SE"/>
        </w:rPr>
        <w:t>enabled</w:t>
      </w:r>
      <w:r w:rsidRPr="00233643">
        <w:rPr>
          <w:lang w:eastAsia="sv-SE"/>
        </w:rPr>
        <w:t xml:space="preserve"> more solidarity and more integration across the territories and their people</w:t>
      </w:r>
      <w:r>
        <w:rPr>
          <w:lang w:eastAsia="sv-SE"/>
        </w:rPr>
        <w:t>,</w:t>
      </w:r>
      <w:r w:rsidRPr="00233643">
        <w:rPr>
          <w:lang w:eastAsia="sv-SE"/>
        </w:rPr>
        <w:t xml:space="preserve"> which played a role in prosperity and wellbeing. People work less and value their free time</w:t>
      </w:r>
      <w:r w:rsidRPr="001E1290">
        <w:rPr>
          <w:lang w:eastAsia="sv-SE"/>
        </w:rPr>
        <w:t xml:space="preserve"> </w:t>
      </w:r>
      <w:r w:rsidRPr="00233643">
        <w:rPr>
          <w:lang w:eastAsia="sv-SE"/>
        </w:rPr>
        <w:t xml:space="preserve">more, industries </w:t>
      </w:r>
      <w:r>
        <w:rPr>
          <w:lang w:eastAsia="sv-SE"/>
        </w:rPr>
        <w:t xml:space="preserve">have </w:t>
      </w:r>
      <w:r w:rsidRPr="00233643">
        <w:rPr>
          <w:lang w:eastAsia="sv-SE"/>
        </w:rPr>
        <w:t>become greener,</w:t>
      </w:r>
      <w:r>
        <w:rPr>
          <w:lang w:eastAsia="sv-SE"/>
        </w:rPr>
        <w:t xml:space="preserve"> while</w:t>
      </w:r>
      <w:r w:rsidRPr="00233643">
        <w:rPr>
          <w:lang w:eastAsia="sv-SE"/>
        </w:rPr>
        <w:t xml:space="preserve"> society and businesses reap the benefits of digitalisation</w:t>
      </w:r>
      <w:r>
        <w:rPr>
          <w:lang w:eastAsia="sv-SE"/>
        </w:rPr>
        <w:t xml:space="preserve"> and</w:t>
      </w:r>
      <w:r w:rsidRPr="00233643">
        <w:rPr>
          <w:lang w:eastAsia="sv-SE"/>
        </w:rPr>
        <w:t xml:space="preserve"> sharing cultures are </w:t>
      </w:r>
      <w:r>
        <w:rPr>
          <w:lang w:eastAsia="sv-SE"/>
        </w:rPr>
        <w:t>thr</w:t>
      </w:r>
      <w:r w:rsidRPr="00233643">
        <w:rPr>
          <w:lang w:eastAsia="sv-SE"/>
        </w:rPr>
        <w:t>iving</w:t>
      </w:r>
      <w:r>
        <w:rPr>
          <w:lang w:eastAsia="sv-SE"/>
        </w:rPr>
        <w:t>. A</w:t>
      </w:r>
      <w:r w:rsidRPr="00233643">
        <w:rPr>
          <w:lang w:eastAsia="sv-SE"/>
        </w:rPr>
        <w:t xml:space="preserve">lternative energy sources reduce carbon emissions, tourism and agriculture </w:t>
      </w:r>
      <w:r>
        <w:rPr>
          <w:lang w:eastAsia="sv-SE"/>
        </w:rPr>
        <w:t>are</w:t>
      </w:r>
      <w:r w:rsidRPr="00233643">
        <w:rPr>
          <w:lang w:eastAsia="sv-SE"/>
        </w:rPr>
        <w:t xml:space="preserve"> more responsible and people </w:t>
      </w:r>
      <w:r>
        <w:rPr>
          <w:lang w:eastAsia="sv-SE"/>
        </w:rPr>
        <w:t>have a</w:t>
      </w:r>
      <w:r w:rsidRPr="00233643">
        <w:rPr>
          <w:lang w:eastAsia="sv-SE"/>
        </w:rPr>
        <w:t xml:space="preserve"> quality of life</w:t>
      </w:r>
    </w:p>
    <w:p w14:paraId="4B96E622" w14:textId="77777777" w:rsidR="005A3B99" w:rsidRDefault="005A3B99" w:rsidP="005A3B99">
      <w:pPr>
        <w:pStyle w:val="BodyText"/>
        <w:numPr>
          <w:ilvl w:val="0"/>
          <w:numId w:val="33"/>
        </w:numPr>
        <w:spacing w:after="0"/>
        <w:rPr>
          <w:lang w:eastAsia="sv-SE"/>
        </w:rPr>
      </w:pPr>
      <w:r w:rsidRPr="00233643">
        <w:rPr>
          <w:b/>
          <w:bCs/>
          <w:lang w:eastAsia="sv-SE"/>
        </w:rPr>
        <w:t>Alternative scenario: Transforming to a hyper-digital economy</w:t>
      </w:r>
      <w:r w:rsidRPr="00233643">
        <w:rPr>
          <w:lang w:eastAsia="sv-SE"/>
        </w:rPr>
        <w:t>.</w:t>
      </w:r>
      <w:r>
        <w:rPr>
          <w:lang w:eastAsia="sv-SE"/>
        </w:rPr>
        <w:t xml:space="preserve"> Hyper-digitalisation has </w:t>
      </w:r>
      <w:r w:rsidRPr="00DE63BB">
        <w:t>increase</w:t>
      </w:r>
      <w:r>
        <w:t>d</w:t>
      </w:r>
      <w:r w:rsidRPr="00DE63BB">
        <w:t xml:space="preserve"> economic growth and development in the region</w:t>
      </w:r>
      <w:r>
        <w:t xml:space="preserve">. </w:t>
      </w:r>
      <w:r w:rsidRPr="00533929">
        <w:rPr>
          <w:lang w:eastAsia="sv-SE"/>
        </w:rPr>
        <w:t>The transition focus</w:t>
      </w:r>
      <w:r>
        <w:rPr>
          <w:lang w:eastAsia="sv-SE"/>
        </w:rPr>
        <w:t>ed</w:t>
      </w:r>
      <w:r w:rsidRPr="00533929">
        <w:rPr>
          <w:lang w:eastAsia="sv-SE"/>
        </w:rPr>
        <w:t xml:space="preserve"> on the technological progress and economic growth has affected people’s lives to great extends. It has influenced industry, the way people work and live</w:t>
      </w:r>
      <w:r>
        <w:rPr>
          <w:lang w:eastAsia="sv-SE"/>
        </w:rPr>
        <w:t xml:space="preserve"> and</w:t>
      </w:r>
      <w:r w:rsidRPr="00533929">
        <w:rPr>
          <w:lang w:eastAsia="sv-SE"/>
        </w:rPr>
        <w:t xml:space="preserve"> the economy, adjusted technological infrastructure, affected transport </w:t>
      </w:r>
      <w:r>
        <w:rPr>
          <w:lang w:eastAsia="sv-SE"/>
        </w:rPr>
        <w:t>and</w:t>
      </w:r>
      <w:r w:rsidRPr="00533929">
        <w:rPr>
          <w:lang w:eastAsia="sv-SE"/>
        </w:rPr>
        <w:t xml:space="preserve"> improved health. At the same time, strong citizen and civil society </w:t>
      </w:r>
      <w:r>
        <w:rPr>
          <w:lang w:eastAsia="sv-SE"/>
        </w:rPr>
        <w:t>participation</w:t>
      </w:r>
      <w:r w:rsidRPr="00533929">
        <w:rPr>
          <w:lang w:eastAsia="sv-SE"/>
        </w:rPr>
        <w:t xml:space="preserve"> has </w:t>
      </w:r>
      <w:r>
        <w:rPr>
          <w:lang w:eastAsia="sv-SE"/>
        </w:rPr>
        <w:t>ensured</w:t>
      </w:r>
      <w:r w:rsidRPr="00533929">
        <w:rPr>
          <w:lang w:eastAsia="sv-SE"/>
        </w:rPr>
        <w:t xml:space="preserve"> a balance between increased growth and ethical development, protecting peoples’ rights and safety</w:t>
      </w:r>
      <w:r>
        <w:rPr>
          <w:lang w:eastAsia="sv-SE"/>
        </w:rPr>
        <w:t xml:space="preserve"> and improving</w:t>
      </w:r>
      <w:r w:rsidRPr="00533929">
        <w:rPr>
          <w:lang w:eastAsia="sv-SE"/>
        </w:rPr>
        <w:t xml:space="preserve"> prosperity. </w:t>
      </w:r>
      <w:r>
        <w:rPr>
          <w:lang w:eastAsia="sv-SE"/>
        </w:rPr>
        <w:t>People are more educated, i</w:t>
      </w:r>
      <w:r w:rsidRPr="00533929">
        <w:rPr>
          <w:lang w:eastAsia="sv-SE"/>
        </w:rPr>
        <w:t xml:space="preserve">ndustries have moved from industry 4.0 to industry 5.0 </w:t>
      </w:r>
      <w:r>
        <w:rPr>
          <w:lang w:eastAsia="sv-SE"/>
        </w:rPr>
        <w:t>with</w:t>
      </w:r>
      <w:r w:rsidRPr="00533929">
        <w:rPr>
          <w:lang w:eastAsia="sv-SE"/>
        </w:rPr>
        <w:t xml:space="preserve"> industrial symbiosis green</w:t>
      </w:r>
      <w:r>
        <w:rPr>
          <w:lang w:eastAsia="sv-SE"/>
        </w:rPr>
        <w:t>ing</w:t>
      </w:r>
      <w:r w:rsidRPr="00533929">
        <w:rPr>
          <w:lang w:eastAsia="sv-SE"/>
        </w:rPr>
        <w:t xml:space="preserve"> their businesses, </w:t>
      </w:r>
      <w:r>
        <w:rPr>
          <w:lang w:eastAsia="sv-SE"/>
        </w:rPr>
        <w:t xml:space="preserve">there is </w:t>
      </w:r>
      <w:r w:rsidRPr="00533929">
        <w:rPr>
          <w:lang w:eastAsia="sv-SE"/>
        </w:rPr>
        <w:t>robotisation in the region, manufacturing has adjusted to the technological developments</w:t>
      </w:r>
      <w:r>
        <w:rPr>
          <w:lang w:eastAsia="sv-SE"/>
        </w:rPr>
        <w:t xml:space="preserve"> and</w:t>
      </w:r>
      <w:r w:rsidRPr="00533929">
        <w:rPr>
          <w:lang w:eastAsia="sv-SE"/>
        </w:rPr>
        <w:t xml:space="preserve"> transport along the Danube River has increased</w:t>
      </w:r>
      <w:r>
        <w:rPr>
          <w:lang w:eastAsia="sv-SE"/>
        </w:rPr>
        <w:t>. All this has led</w:t>
      </w:r>
      <w:r w:rsidRPr="00533929">
        <w:rPr>
          <w:lang w:eastAsia="sv-SE"/>
        </w:rPr>
        <w:t xml:space="preserve"> to high economic growth, turning the region into a pole of attraction for businesses, while technological advancements </w:t>
      </w:r>
      <w:r>
        <w:rPr>
          <w:lang w:eastAsia="sv-SE"/>
        </w:rPr>
        <w:t>have ensured that</w:t>
      </w:r>
      <w:r w:rsidRPr="00533929">
        <w:rPr>
          <w:lang w:eastAsia="sv-SE"/>
        </w:rPr>
        <w:t xml:space="preserve"> EU environmental standards </w:t>
      </w:r>
      <w:r>
        <w:rPr>
          <w:lang w:eastAsia="sv-SE"/>
        </w:rPr>
        <w:t>are maintained</w:t>
      </w:r>
      <w:r w:rsidRPr="00533929">
        <w:rPr>
          <w:lang w:eastAsia="sv-SE"/>
        </w:rPr>
        <w:t>. People’s lives have been becom</w:t>
      </w:r>
      <w:r>
        <w:rPr>
          <w:lang w:eastAsia="sv-SE"/>
        </w:rPr>
        <w:t>e</w:t>
      </w:r>
      <w:r w:rsidRPr="00533929">
        <w:rPr>
          <w:lang w:eastAsia="sv-SE"/>
        </w:rPr>
        <w:t xml:space="preserve"> more virtual and intense,</w:t>
      </w:r>
      <w:r>
        <w:rPr>
          <w:lang w:eastAsia="sv-SE"/>
        </w:rPr>
        <w:t xml:space="preserve"> </w:t>
      </w:r>
      <w:r w:rsidRPr="00533929">
        <w:rPr>
          <w:lang w:eastAsia="sv-SE"/>
        </w:rPr>
        <w:t>however a strong civil society safeguards people’s rights and freedoms.</w:t>
      </w:r>
    </w:p>
    <w:p w14:paraId="4E801E02" w14:textId="700DE8F0" w:rsidR="00DE1C17" w:rsidRPr="00702488" w:rsidRDefault="005A3B99" w:rsidP="005A3B99">
      <w:pPr>
        <w:pStyle w:val="BodyText"/>
        <w:numPr>
          <w:ilvl w:val="0"/>
          <w:numId w:val="33"/>
        </w:numPr>
        <w:spacing w:after="0"/>
        <w:rPr>
          <w:lang w:eastAsia="sv-SE"/>
        </w:rPr>
      </w:pPr>
      <w:r>
        <w:rPr>
          <w:b/>
          <w:bCs/>
          <w:lang w:eastAsia="sv-SE"/>
        </w:rPr>
        <w:t>Pointers for the future</w:t>
      </w:r>
      <w:r w:rsidRPr="00DE763E">
        <w:rPr>
          <w:lang w:eastAsia="sv-SE"/>
        </w:rPr>
        <w:t>.</w:t>
      </w:r>
      <w:r>
        <w:rPr>
          <w:lang w:eastAsia="sv-SE"/>
        </w:rPr>
        <w:t xml:space="preserve"> </w:t>
      </w:r>
      <w:r>
        <w:t>Regardless which scenario one considers more desirable or likely, demographic decline and ageing, climate change, biodiversity</w:t>
      </w:r>
      <w:r w:rsidRPr="00674280">
        <w:t xml:space="preserve"> </w:t>
      </w:r>
      <w:r>
        <w:t xml:space="preserve">loss, digitalisation, energy demands and growing global tensions will need to be addressed in the region. Potential policy recommendations concern green mobility, lower border barriers, the green transformation of transport, valorising ecosystem services, increased education and more people-to-people and local level cooperation. At a macro-regional level, policy could promote future-oriented debates, new thinking on macro-regional plans and strategies, and new transnational bodies and agreements. Last but not least, ESPON could focus on </w:t>
      </w:r>
      <w:r w:rsidRPr="00AB4384">
        <w:t xml:space="preserve">building repositories of national and regional plans </w:t>
      </w:r>
      <w:r>
        <w:t>and</w:t>
      </w:r>
      <w:r w:rsidRPr="00AB4384">
        <w:t xml:space="preserve"> strategies, supporting the development of macro-regional masterplans </w:t>
      </w:r>
      <w:r>
        <w:t>and</w:t>
      </w:r>
      <w:r w:rsidRPr="00AB4384">
        <w:t xml:space="preserve"> sector strategies a</w:t>
      </w:r>
      <w:r>
        <w:t>s well as</w:t>
      </w:r>
      <w:r w:rsidRPr="00AB4384">
        <w:t xml:space="preserve"> strengthening macro-regional monitoring. </w:t>
      </w:r>
    </w:p>
    <w:p w14:paraId="7CD65B66" w14:textId="25A30D5D" w:rsidR="002E3A70" w:rsidRPr="00702488" w:rsidRDefault="00EB13A1" w:rsidP="00646167">
      <w:pPr>
        <w:pStyle w:val="Heading1"/>
      </w:pPr>
      <w:bookmarkStart w:id="6" w:name="_Toc100584659"/>
      <w:r w:rsidRPr="00702488">
        <w:t>Setting the scene</w:t>
      </w:r>
      <w:bookmarkEnd w:id="6"/>
      <w:r w:rsidRPr="00702488">
        <w:t xml:space="preserve"> </w:t>
      </w:r>
    </w:p>
    <w:p w14:paraId="42C31E56" w14:textId="77777777" w:rsidR="00DD378A" w:rsidRDefault="00DD378A" w:rsidP="00DD378A">
      <w:r>
        <w:t>Understanding the present and current territorial development with</w:t>
      </w:r>
      <w:r w:rsidRPr="00085435">
        <w:t xml:space="preserve">, its challenges and opportunities is useful when discussing and developing </w:t>
      </w:r>
      <w:r>
        <w:t xml:space="preserve">a </w:t>
      </w:r>
      <w:r w:rsidRPr="00085435">
        <w:t>baseline and alternative territorial scenarios</w:t>
      </w:r>
      <w:r>
        <w:t xml:space="preserve">. This section sets the scene by taking key topics </w:t>
      </w:r>
      <w:r w:rsidRPr="00085435">
        <w:t xml:space="preserve">identified in the terms of reference as </w:t>
      </w:r>
      <w:r>
        <w:t xml:space="preserve">the </w:t>
      </w:r>
      <w:r w:rsidRPr="00085435">
        <w:t xml:space="preserve">most relevant </w:t>
      </w:r>
      <w:r>
        <w:t xml:space="preserve">ones </w:t>
      </w:r>
      <w:r w:rsidRPr="00085435">
        <w:t>for the future</w:t>
      </w:r>
      <w:r>
        <w:t xml:space="preserve">. For EUSDR these are </w:t>
      </w:r>
      <w:r w:rsidRPr="00085435">
        <w:t xml:space="preserve">digitalisation, migration and demographic change </w:t>
      </w:r>
      <w:r>
        <w:t>as well as</w:t>
      </w:r>
      <w:r w:rsidRPr="00085435">
        <w:t xml:space="preserve"> climate change and sustainable development</w:t>
      </w:r>
      <w:r>
        <w:t xml:space="preserve">. Key topics for EUSAIR are the </w:t>
      </w:r>
      <w:r w:rsidRPr="00085435">
        <w:t>blue economy and innovation, mobility and connectivity</w:t>
      </w:r>
      <w:r>
        <w:t>,</w:t>
      </w:r>
      <w:r w:rsidRPr="00085435">
        <w:t xml:space="preserve"> </w:t>
      </w:r>
      <w:r>
        <w:t>the</w:t>
      </w:r>
      <w:r w:rsidRPr="00085435">
        <w:t xml:space="preserve"> green deal and sustainable development. </w:t>
      </w:r>
      <w:r>
        <w:t>The chapter (and the project) do not take stock of every possible development, challenge or characteristics, nor focus on any changes deriving from the COVID-19 pandemic. This chapter aims to give an overview and basic ideas of the present situation.</w:t>
      </w:r>
    </w:p>
    <w:p w14:paraId="526FAF4B" w14:textId="125E2F9D" w:rsidR="00DD378A" w:rsidRDefault="00DD378A" w:rsidP="00DD378A">
      <w:pPr>
        <w:pStyle w:val="BodyText"/>
      </w:pPr>
      <w:r w:rsidRPr="006B6117">
        <w:t>The Danube region is a large and very diverse territory</w:t>
      </w:r>
      <w:r>
        <w:t>, home to several capital and top-tier urban agglomerations, with the Danube River being the common denominator for cooperation (Map 3-1)</w:t>
      </w:r>
      <w:r w:rsidRPr="006B6117">
        <w:t>. The region is home to 115 million people from nine EU member states, three EU candidate countries and two neighbour countries</w:t>
      </w:r>
      <w:r>
        <w:t>. T</w:t>
      </w:r>
      <w:r w:rsidRPr="006B6117">
        <w:t xml:space="preserve">he Danube river </w:t>
      </w:r>
      <w:r>
        <w:t>is</w:t>
      </w:r>
      <w:r w:rsidRPr="006B6117">
        <w:t xml:space="preserve"> the longest and most international river in the EU </w:t>
      </w:r>
      <w:r w:rsidRPr="006B6117">
        <w:fldChar w:fldCharType="begin"/>
      </w:r>
      <w:r w:rsidR="00DC4537">
        <w:instrText xml:space="preserve"> ADDIN ZOTERO_ITEM CSL_CITATION {"citationID":"oeKvybb8","properties":{"formattedCitation":"(European Commission, 2020d)","plainCitation":"(European Commission, 2020d)","noteIndex":0},"citationItems":[{"id":4850,"uris":["http://zotero.org/groups/21774/items/RV9AA7GL"],"itemData":{"id":4850,"type":"report","event-place":"Brussels","genre":"Staff Working Document","publisher-place":"Brussels","title":"Action Plan replacing Staff Working Document SEC(2010) 1489 final accompanying the Communication from the Commission to the European Parliament, the Council, the European Economic and Social Committee and the Committee of the Regions. European Union Strategy for Danube Region","author":[{"family":"European Commission","given":""}],"issued":{"date-parts":[["2020",4,6]]}}}],"schema":"https://github.com/citation-style-language/schema/raw/master/csl-citation.json"} </w:instrText>
      </w:r>
      <w:r w:rsidRPr="006B6117">
        <w:fldChar w:fldCharType="separate"/>
      </w:r>
      <w:r w:rsidR="00DC4537">
        <w:rPr>
          <w:noProof/>
        </w:rPr>
        <w:t>(European Commission, 2020d)</w:t>
      </w:r>
      <w:r w:rsidRPr="006B6117">
        <w:fldChar w:fldCharType="end"/>
      </w:r>
      <w:r w:rsidRPr="006B6117">
        <w:t>. The following aggregated picture</w:t>
      </w:r>
      <w:r>
        <w:t xml:space="preserve"> does not detail</w:t>
      </w:r>
      <w:r w:rsidRPr="006B6117">
        <w:t xml:space="preserve"> considerable differences between regions and places in the area. </w:t>
      </w:r>
    </w:p>
    <w:p w14:paraId="10C7FC9F" w14:textId="42C91B3C" w:rsidR="00F21FCA" w:rsidRPr="00702488" w:rsidRDefault="00DD378A" w:rsidP="00DD378A">
      <w:pPr>
        <w:pStyle w:val="Caption"/>
      </w:pPr>
      <w:bookmarkStart w:id="7" w:name="_Toc100584678"/>
      <w:r>
        <w:t xml:space="preserve">Map </w:t>
      </w:r>
      <w:r>
        <w:fldChar w:fldCharType="begin"/>
      </w:r>
      <w:r>
        <w:instrText xml:space="preserve"> STYLEREF 1 \s </w:instrText>
      </w:r>
      <w:r>
        <w:fldChar w:fldCharType="separate"/>
      </w:r>
      <w:r w:rsidR="006839DA">
        <w:rPr>
          <w:noProof/>
        </w:rPr>
        <w:t>3</w:t>
      </w:r>
      <w:r>
        <w:fldChar w:fldCharType="end"/>
      </w:r>
      <w:r>
        <w:noBreakHyphen/>
      </w:r>
      <w:r>
        <w:fldChar w:fldCharType="begin"/>
      </w:r>
      <w:r>
        <w:instrText xml:space="preserve"> SEQ Map \* ARABIC \s 1 </w:instrText>
      </w:r>
      <w:r>
        <w:fldChar w:fldCharType="separate"/>
      </w:r>
      <w:r w:rsidR="006839DA">
        <w:rPr>
          <w:noProof/>
        </w:rPr>
        <w:t>1</w:t>
      </w:r>
      <w:r>
        <w:fldChar w:fldCharType="end"/>
      </w:r>
      <w:r>
        <w:t xml:space="preserve"> </w:t>
      </w:r>
      <w:r w:rsidR="00F21FCA" w:rsidRPr="00702488">
        <w:t>EUSDR mapshot</w:t>
      </w:r>
      <w:bookmarkEnd w:id="7"/>
    </w:p>
    <w:p w14:paraId="6333108A" w14:textId="0ED78691" w:rsidR="00F21FCA" w:rsidRPr="00702488" w:rsidRDefault="00EC77AD" w:rsidP="00F21FCA">
      <w:pPr>
        <w:pStyle w:val="BodyText"/>
        <w:rPr>
          <w:b/>
          <w:bCs/>
        </w:rPr>
      </w:pPr>
      <w:r>
        <w:rPr>
          <w:b/>
          <w:bCs/>
          <w:noProof/>
        </w:rPr>
        <w:drawing>
          <wp:inline distT="0" distB="0" distL="0" distR="0" wp14:anchorId="7D522B6F" wp14:editId="4A337641">
            <wp:extent cx="4464000" cy="50330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4464000" cy="5033024"/>
                    </a:xfrm>
                    <a:prstGeom prst="rect">
                      <a:avLst/>
                    </a:prstGeom>
                  </pic:spPr>
                </pic:pic>
              </a:graphicData>
            </a:graphic>
          </wp:inline>
        </w:drawing>
      </w:r>
    </w:p>
    <w:p w14:paraId="7DF135B1" w14:textId="5E09095B" w:rsidR="00F21FCA" w:rsidRPr="00702488" w:rsidRDefault="00F21FCA" w:rsidP="00720A9A">
      <w:pPr>
        <w:pStyle w:val="BodyText"/>
        <w:rPr>
          <w:sz w:val="16"/>
          <w:szCs w:val="16"/>
        </w:rPr>
      </w:pPr>
      <w:r w:rsidRPr="00702488">
        <w:rPr>
          <w:sz w:val="16"/>
          <w:szCs w:val="16"/>
        </w:rPr>
        <w:t>Source: ESPON TEVI 2050, 202</w:t>
      </w:r>
      <w:r w:rsidR="000C148A">
        <w:rPr>
          <w:sz w:val="16"/>
          <w:szCs w:val="16"/>
        </w:rPr>
        <w:t>2</w:t>
      </w:r>
    </w:p>
    <w:p w14:paraId="1997B945" w14:textId="1A4AEEC8" w:rsidR="00720A9A" w:rsidRPr="00702488" w:rsidRDefault="00B20F55" w:rsidP="00720A9A">
      <w:pPr>
        <w:pStyle w:val="BodyText"/>
      </w:pPr>
      <w:r w:rsidRPr="006B6117">
        <w:t>Despite increasing cooperation over the years, there are persist</w:t>
      </w:r>
      <w:r>
        <w:t>ent</w:t>
      </w:r>
      <w:r w:rsidRPr="006B6117">
        <w:t xml:space="preserve"> regional disparities, relatively slow economic restructuring and</w:t>
      </w:r>
      <w:r>
        <w:t xml:space="preserve"> a</w:t>
      </w:r>
      <w:r w:rsidRPr="006B6117">
        <w:t xml:space="preserve"> weak Small and Medium-sized Enterprise (SME) and innovation ecosystem</w:t>
      </w:r>
      <w:r>
        <w:t>. In addition</w:t>
      </w:r>
      <w:r w:rsidRPr="006B6117">
        <w:t>, the Danube region’s rich natural habitat</w:t>
      </w:r>
      <w:r>
        <w:t>,</w:t>
      </w:r>
      <w:r w:rsidRPr="006B6117">
        <w:t xml:space="preserve"> with shared water catchment areas, faces environmental risks, especially the quality and quantity of water sources, negative climate change impacts, mass outmigration from the region, migration from rural to urban areas, ageing, weak integration of immigrant and minority groups, weak institutionalisation, high income inequalities</w:t>
      </w:r>
      <w:r>
        <w:t xml:space="preserve"> and a</w:t>
      </w:r>
      <w:r w:rsidRPr="006B6117">
        <w:t xml:space="preserve"> brain drain, to name a few </w:t>
      </w:r>
      <w:r w:rsidRPr="006B6117">
        <w:fldChar w:fldCharType="begin"/>
      </w:r>
      <w:r w:rsidR="00DC4537">
        <w:instrText xml:space="preserve"> ADDIN ZOTERO_ITEM CSL_CITATION {"citationID":"V7UfgCQd","properties":{"formattedCitation":"(CESCI, 2020)","plainCitation":"(CESCI, 2020)","noteIndex":0},"citationItems":[{"id":2678,"uris":["http://zotero.org/groups/21774/items/6RG6NR7T"],"itemData":{"id":2678,"type":"report","title":"Analysis of territorial challenges, needs and potentials of the Danube region and strategic options in view of the transnational cooperaiton for the period 2021-2027","author":[{"family":"CESCI","given":""}],"issued":{"date-parts":[["2020"]]}}}],"schema":"https://github.com/citation-style-language/schema/raw/master/csl-citation.json"} </w:instrText>
      </w:r>
      <w:r w:rsidRPr="006B6117">
        <w:fldChar w:fldCharType="separate"/>
      </w:r>
      <w:r w:rsidRPr="006B6117">
        <w:rPr>
          <w:noProof/>
        </w:rPr>
        <w:t>(CESCI, 2020)</w:t>
      </w:r>
      <w:r w:rsidRPr="006B6117">
        <w:fldChar w:fldCharType="end"/>
      </w:r>
      <w:r w:rsidRPr="006B6117">
        <w:t xml:space="preserve">. </w:t>
      </w:r>
      <w:r w:rsidR="00720A9A" w:rsidRPr="00702488">
        <w:t>Navigation and improved accessibility and multi-modal transport are also deemed important and require intervention</w:t>
      </w:r>
      <w:r w:rsidR="0034279C" w:rsidRPr="00702488">
        <w:t>, with ports along the Danube playing an important role in freight transport and in fostering waterway transport (Map 3</w:t>
      </w:r>
      <w:r w:rsidR="00A26803">
        <w:t>-1</w:t>
      </w:r>
      <w:r w:rsidR="0034279C" w:rsidRPr="00702488">
        <w:t>)</w:t>
      </w:r>
      <w:r w:rsidR="00720A9A" w:rsidRPr="00702488">
        <w:t xml:space="preserve">. </w:t>
      </w:r>
      <w:r w:rsidR="00A26803">
        <w:t>A</w:t>
      </w:r>
      <w:r w:rsidR="00A26803" w:rsidRPr="00085435">
        <w:t xml:space="preserve">lthough </w:t>
      </w:r>
      <w:r w:rsidR="00A26803">
        <w:t xml:space="preserve">there are </w:t>
      </w:r>
      <w:r w:rsidR="00A26803" w:rsidRPr="00085435">
        <w:t xml:space="preserve">TEN-T networks and connections in the area, network connections in the Western Balkans </w:t>
      </w:r>
      <w:r w:rsidR="00A26803">
        <w:t xml:space="preserve">are not yet finished (Map 3-1). </w:t>
      </w:r>
      <w:r w:rsidR="00A26803" w:rsidRPr="006B6117">
        <w:t xml:space="preserve">Energy scarcity, </w:t>
      </w:r>
      <w:r w:rsidR="00A26803">
        <w:t>centralisation</w:t>
      </w:r>
      <w:r w:rsidR="00A26803" w:rsidRPr="006B6117">
        <w:t xml:space="preserve">, strong urbanisation and </w:t>
      </w:r>
      <w:r w:rsidR="00A26803">
        <w:t>limited</w:t>
      </w:r>
      <w:r w:rsidR="00A26803" w:rsidRPr="006B6117">
        <w:t xml:space="preserve"> innovation are only a few examples of trends specific to the Danube region </w:t>
      </w:r>
      <w:r w:rsidR="00A26803" w:rsidRPr="006B6117">
        <w:fldChar w:fldCharType="begin"/>
      </w:r>
      <w:r w:rsidR="00DC4537">
        <w:instrText xml:space="preserve"> ADDIN ZOTERO_ITEM CSL_CITATION {"citationID":"sIZw6KvP","properties":{"formattedCitation":"(Institute for Regional Studies, Research Centre for Economic and Regional Studies,Hungarian Academy of Sciences, 2013)","plainCitation":"(Institute for Regional Studies, Research Centre for Economic and Regional Studies,Hungarian Academy of Sciences, 2013)","noteIndex":0},"citationItems":[{"id":2679,"uris":["http://zotero.org/groups/21774/items/ZSQGDTAG"],"itemData":{"id":2679,"type":"report","title":"Discussion Papers. No.90. Danube Region - Analysis and Long-Term Development Trends of the Macro-Region.","author":[{"family":"Institute for Regional Studies, Research Centre for Economic and Regional Studies,Hungarian Academy of Sciences","given":""}],"issued":{"date-parts":[["2013"]]}}}],"schema":"https://github.com/citation-style-language/schema/raw/master/csl-citation.json"} </w:instrText>
      </w:r>
      <w:r w:rsidR="00A26803" w:rsidRPr="006B6117">
        <w:fldChar w:fldCharType="separate"/>
      </w:r>
      <w:r w:rsidR="00A26803" w:rsidRPr="006B6117">
        <w:rPr>
          <w:noProof/>
        </w:rPr>
        <w:t>(Institute for Regional Studies, Research Centre for Economic and Regional Studies,Hungarian Academy of Sciences, 2013)</w:t>
      </w:r>
      <w:r w:rsidR="00A26803" w:rsidRPr="006B6117">
        <w:fldChar w:fldCharType="end"/>
      </w:r>
      <w:r w:rsidR="00A26803" w:rsidRPr="006B6117">
        <w:t xml:space="preserve">. At the same time, the region has potential </w:t>
      </w:r>
      <w:r w:rsidR="00A26803">
        <w:t>to</w:t>
      </w:r>
      <w:r w:rsidR="00A26803" w:rsidRPr="006B6117">
        <w:t xml:space="preserve"> valoris</w:t>
      </w:r>
      <w:r w:rsidR="00A26803">
        <w:t>e</w:t>
      </w:r>
      <w:r w:rsidR="00A26803" w:rsidRPr="006B6117">
        <w:t xml:space="preserve"> its shared heritage, natural environment and labour forces. </w:t>
      </w:r>
      <w:r w:rsidR="00720A9A" w:rsidRPr="00702488">
        <w:t xml:space="preserve"> </w:t>
      </w:r>
    </w:p>
    <w:p w14:paraId="23A601D0" w14:textId="60A2FA77" w:rsidR="001727FA" w:rsidRPr="006B6117" w:rsidRDefault="001727FA" w:rsidP="001727FA">
      <w:pPr>
        <w:pStyle w:val="BodyText"/>
      </w:pPr>
      <w:r w:rsidRPr="006B6117">
        <w:t>The economic picture of the Danube macro-region is heterogeneous. Although GDP has increased</w:t>
      </w:r>
      <w:r w:rsidRPr="00F913A4">
        <w:t xml:space="preserve"> </w:t>
      </w:r>
      <w:r w:rsidRPr="006B6117">
        <w:t xml:space="preserve">overall, several regions are still catching up, particularly in the eastern part of the </w:t>
      </w:r>
      <w:r>
        <w:t>r</w:t>
      </w:r>
      <w:r w:rsidRPr="006B6117">
        <w:t>egion, while in the western part, growth has been moderate</w:t>
      </w:r>
      <w:r>
        <w:t xml:space="preserve"> (Map 3</w:t>
      </w:r>
      <w:r w:rsidR="00AD0EEE">
        <w:t>-1</w:t>
      </w:r>
      <w:r>
        <w:t>)</w:t>
      </w:r>
      <w:r w:rsidRPr="006B6117">
        <w:t xml:space="preserve">. </w:t>
      </w:r>
      <w:r>
        <w:t>There is</w:t>
      </w:r>
      <w:r w:rsidRPr="006B6117">
        <w:t xml:space="preserve"> a gradual decline </w:t>
      </w:r>
      <w:r>
        <w:t xml:space="preserve">in </w:t>
      </w:r>
      <w:r w:rsidRPr="006B6117">
        <w:t xml:space="preserve">GDP per capita from the Western to the Eastern regions, with the exception of capital regions </w:t>
      </w:r>
      <w:r w:rsidRPr="006B6117">
        <w:fldChar w:fldCharType="begin"/>
      </w:r>
      <w:r w:rsidR="00DC4537">
        <w:instrText xml:space="preserve"> ADDIN ZOTERO_ITEM CSL_CITATION {"citationID":"28BP8q73","properties":{"formattedCitation":"(ESPON, 2020b)","plainCitation":"(ESPON, 2020b)","noteIndex":0},"citationItems":[{"id":8020,"uris":["http://zotero.org/groups/4075961/items/75XBLRHU"],"itemData":{"id":8020,"type":"report","title":"European Monitoring Tool for Macro-regions (EMTM)","URL":"https://mrs.espon.eu/index.html","author":[{"family":"ESPON","given":""}],"issued":{"date-parts":[["2020"]]}}}],"schema":"https://github.com/citation-style-language/schema/raw/master/csl-citation.json"} </w:instrText>
      </w:r>
      <w:r w:rsidRPr="006B6117">
        <w:fldChar w:fldCharType="separate"/>
      </w:r>
      <w:r w:rsidR="00DC4537">
        <w:t>(ESPON, 2020b)</w:t>
      </w:r>
      <w:r w:rsidRPr="006B6117">
        <w:fldChar w:fldCharType="end"/>
      </w:r>
      <w:r w:rsidRPr="006B6117">
        <w:t xml:space="preserve">. </w:t>
      </w:r>
      <w:r>
        <w:t>T</w:t>
      </w:r>
      <w:r w:rsidRPr="007E4ADB">
        <w:t xml:space="preserve">o address </w:t>
      </w:r>
      <w:r>
        <w:t>current</w:t>
      </w:r>
      <w:r w:rsidRPr="007E4ADB">
        <w:t xml:space="preserve"> fragmentation, increase integration and balanced territorial development, cooperation and stronger multi-level governance </w:t>
      </w:r>
      <w:r>
        <w:t>with the</w:t>
      </w:r>
      <w:r w:rsidRPr="007E4ADB">
        <w:t xml:space="preserve"> involvement of local actors seems necessary.</w:t>
      </w:r>
      <w:r>
        <w:t xml:space="preserve"> Already today, the Danube Region shows a high degree of cooperation, which</w:t>
      </w:r>
      <w:r w:rsidRPr="00085435">
        <w:t xml:space="preserve"> appears </w:t>
      </w:r>
      <w:r>
        <w:t>greater</w:t>
      </w:r>
      <w:r w:rsidRPr="00085435">
        <w:t xml:space="preserve"> in the mid-west part of the region, around Slovenia, Croatia, Austria and Hungary. </w:t>
      </w:r>
      <w:r>
        <w:t>At the same time, global power developments including from the EU, Russia, Turkey and China seem to play a role in the region’s development (Map 3</w:t>
      </w:r>
      <w:r w:rsidR="00AD0EEE">
        <w:t>-1</w:t>
      </w:r>
      <w:r>
        <w:t>).</w:t>
      </w:r>
    </w:p>
    <w:p w14:paraId="32A0554A" w14:textId="77777777" w:rsidR="001727FA" w:rsidRPr="006B6117" w:rsidRDefault="001727FA" w:rsidP="001727FA">
      <w:r w:rsidRPr="006B6117">
        <w:t xml:space="preserve">Zooming into the three key topics from the terms of reference, the following points give </w:t>
      </w:r>
      <w:r>
        <w:t>some</w:t>
      </w:r>
      <w:r w:rsidRPr="006B6117">
        <w:t xml:space="preserve"> background. </w:t>
      </w:r>
    </w:p>
    <w:p w14:paraId="4BF4D1B9" w14:textId="526BDA65" w:rsidR="001727FA" w:rsidRPr="006B6117" w:rsidRDefault="001727FA" w:rsidP="001727FA">
      <w:r w:rsidRPr="006B6117">
        <w:rPr>
          <w:b/>
          <w:bCs/>
        </w:rPr>
        <w:t>Digitalisation: still challenging despite the big steps</w:t>
      </w:r>
      <w:r w:rsidRPr="006B6117">
        <w:t xml:space="preserve">. Digitalisation is a versatile topic, covering connectivity, as well as the digital transformation of services and businesses through different technologies, such as cloud computing and artificial intelligence. Digitalisation affects </w:t>
      </w:r>
      <w:r>
        <w:t>many</w:t>
      </w:r>
      <w:r w:rsidRPr="006B6117">
        <w:t xml:space="preserve"> aspects of life, work and businesses and is linked to competitiveness </w:t>
      </w:r>
      <w:r w:rsidRPr="006B6117">
        <w:fldChar w:fldCharType="begin"/>
      </w:r>
      <w:r w:rsidR="00DC4537">
        <w:instrText xml:space="preserve"> ADDIN ZOTERO_ITEM CSL_CITATION {"citationID":"AIfuLy9c","properties":{"formattedCitation":"(European Commission, 2020d)","plainCitation":"(European Commission, 2020d)","noteIndex":0},"citationItems":[{"id":4850,"uris":["http://zotero.org/groups/21774/items/RV9AA7GL"],"itemData":{"id":4850,"type":"report","event-place":"Brussels","genre":"Staff Working Document","publisher-place":"Brussels","title":"Action Plan replacing Staff Working Document SEC(2010) 1489 final accompanying the Communication from the Commission to the European Parliament, the Council, the European Economic and Social Committee and the Committee of the Regions. European Union Strategy for Danube Region","author":[{"family":"European Commission","given":""}],"issued":{"date-parts":[["2020",4,6]]}}}],"schema":"https://github.com/citation-style-language/schema/raw/master/csl-citation.json"} </w:instrText>
      </w:r>
      <w:r w:rsidRPr="006B6117">
        <w:fldChar w:fldCharType="separate"/>
      </w:r>
      <w:r w:rsidR="00DC4537">
        <w:rPr>
          <w:noProof/>
        </w:rPr>
        <w:t>(European Commission, 2020d)</w:t>
      </w:r>
      <w:r w:rsidRPr="006B6117">
        <w:fldChar w:fldCharType="end"/>
      </w:r>
      <w:r w:rsidRPr="006B6117">
        <w:t xml:space="preserve">. Overall, the Danube region has </w:t>
      </w:r>
      <w:r>
        <w:t xml:space="preserve">relatively few people </w:t>
      </w:r>
      <w:r w:rsidRPr="006B6117">
        <w:t>employ</w:t>
      </w:r>
      <w:r>
        <w:t xml:space="preserve">ed </w:t>
      </w:r>
      <w:r w:rsidRPr="006B6117">
        <w:t xml:space="preserve">in information and communication, mainly due to </w:t>
      </w:r>
      <w:r>
        <w:t>limited</w:t>
      </w:r>
      <w:r w:rsidRPr="006B6117">
        <w:t xml:space="preserve"> progress </w:t>
      </w:r>
      <w:r>
        <w:t>by</w:t>
      </w:r>
      <w:r w:rsidRPr="006B6117">
        <w:t xml:space="preserve"> non-EU </w:t>
      </w:r>
      <w:r>
        <w:t>countries</w:t>
      </w:r>
      <w:r w:rsidRPr="006B6117">
        <w:t>. The region has innovation leaders and followers, with the former mainly in Austria and Germany and the latter in Bosnia Herzegovina, Ukraine, Montenegro, Romania and Serbia. Only five regions in the Danube region (Mittelfranken, Wien, Oberösterreich, Kärnten and Tirol) spen</w:t>
      </w:r>
      <w:r>
        <w:t>d</w:t>
      </w:r>
      <w:r w:rsidRPr="006B6117">
        <w:t xml:space="preserve"> 3-4% of their GDP on research and innovation, while four (Praha, Jihovychod, Zahodna Slovenija, Freiburg and Unterfranken) were close to 2-3% in 2015 </w:t>
      </w:r>
      <w:r w:rsidRPr="006B6117">
        <w:fldChar w:fldCharType="begin"/>
      </w:r>
      <w:r w:rsidR="00DC4537">
        <w:instrText xml:space="preserve"> ADDIN ZOTERO_ITEM CSL_CITATION {"citationID":"2D877G8H","properties":{"formattedCitation":"(CESCI, 2020)","plainCitation":"(CESCI, 2020)","noteIndex":0},"citationItems":[{"id":2678,"uris":["http://zotero.org/groups/21774/items/6RG6NR7T"],"itemData":{"id":2678,"type":"report","title":"Analysis of territorial challenges, needs and potentials of the Danube region and strategic options in view of the transnational cooperaiton for the period 2021-2027","author":[{"family":"CESCI","given":""}],"issued":{"date-parts":[["2020"]]}}}],"schema":"https://github.com/citation-style-language/schema/raw/master/csl-citation.json"} </w:instrText>
      </w:r>
      <w:r w:rsidRPr="006B6117">
        <w:fldChar w:fldCharType="separate"/>
      </w:r>
      <w:r w:rsidRPr="006B6117">
        <w:rPr>
          <w:noProof/>
        </w:rPr>
        <w:t>(CESCI, 2020)</w:t>
      </w:r>
      <w:r w:rsidRPr="006B6117">
        <w:fldChar w:fldCharType="end"/>
      </w:r>
      <w:r w:rsidRPr="006B6117">
        <w:t xml:space="preserve">. In addition, there is </w:t>
      </w:r>
      <w:r>
        <w:t>limited</w:t>
      </w:r>
      <w:r w:rsidRPr="006B6117">
        <w:t xml:space="preserve"> access to digital and remote learning</w:t>
      </w:r>
      <w:r>
        <w:t>,</w:t>
      </w:r>
      <w:r w:rsidRPr="006B6117">
        <w:t xml:space="preserve"> increasing social inequalit</w:t>
      </w:r>
      <w:r>
        <w:t>y</w:t>
      </w:r>
      <w:r w:rsidRPr="006B6117">
        <w:t xml:space="preserve">. Minorities, people with disabilities and the elderly tend to be excluded from many forms of education and employment because of digital illiteracy, weak skills, low income and digital poverty, </w:t>
      </w:r>
      <w:r>
        <w:t>as well as a</w:t>
      </w:r>
      <w:r w:rsidRPr="006B6117">
        <w:t xml:space="preserve"> lack of infrastructure </w:t>
      </w:r>
      <w:r>
        <w:t>and</w:t>
      </w:r>
      <w:r w:rsidRPr="006B6117">
        <w:t xml:space="preserve"> service provision </w:t>
      </w:r>
      <w:r w:rsidRPr="006B6117">
        <w:fldChar w:fldCharType="begin"/>
      </w:r>
      <w:r w:rsidR="00DC4537">
        <w:instrText xml:space="preserve"> ADDIN ZOTERO_ITEM CSL_CITATION {"citationID":"vHPKVHBz","properties":{"formattedCitation":"(CESCI, 2020)","plainCitation":"(CESCI, 2020)","noteIndex":0},"citationItems":[{"id":2678,"uris":["http://zotero.org/groups/21774/items/6RG6NR7T"],"itemData":{"id":2678,"type":"report","title":"Analysis of territorial challenges, needs and potentials of the Danube region and strategic options in view of the transnational cooperaiton for the period 2021-2027","author":[{"family":"CESCI","given":""}],"issued":{"date-parts":[["2020"]]}}}],"schema":"https://github.com/citation-style-language/schema/raw/master/csl-citation.json"} </w:instrText>
      </w:r>
      <w:r w:rsidRPr="006B6117">
        <w:fldChar w:fldCharType="separate"/>
      </w:r>
      <w:r w:rsidRPr="006B6117">
        <w:rPr>
          <w:noProof/>
        </w:rPr>
        <w:t>(CESCI, 2020)</w:t>
      </w:r>
      <w:r w:rsidRPr="006B6117">
        <w:fldChar w:fldCharType="end"/>
      </w:r>
      <w:r w:rsidRPr="006B6117">
        <w:t>.</w:t>
      </w:r>
    </w:p>
    <w:p w14:paraId="0A1E77E2" w14:textId="560A1C7F" w:rsidR="001727FA" w:rsidRPr="006B6117" w:rsidRDefault="001727FA" w:rsidP="001727FA">
      <w:r w:rsidRPr="006B6117">
        <w:t xml:space="preserve">Digitalisation is also particularly relevant for SMEs in the region. Although the SME density is low, SMEs will need to take into account changes </w:t>
      </w:r>
      <w:r>
        <w:t>resulting from</w:t>
      </w:r>
      <w:r w:rsidRPr="006B6117">
        <w:t xml:space="preserve"> digitalisation. </w:t>
      </w:r>
      <w:r>
        <w:t>There is a general</w:t>
      </w:r>
      <w:r w:rsidRPr="006B6117">
        <w:t xml:space="preserve"> lack in innovation in the region and slow tak</w:t>
      </w:r>
      <w:r>
        <w:t>e-</w:t>
      </w:r>
      <w:r w:rsidRPr="006B6117">
        <w:t xml:space="preserve">up </w:t>
      </w:r>
      <w:r>
        <w:t>of</w:t>
      </w:r>
      <w:r w:rsidRPr="006B6117">
        <w:t xml:space="preserve"> industry 4.0 and innovation. </w:t>
      </w:r>
      <w:r>
        <w:t>A</w:t>
      </w:r>
      <w:r w:rsidRPr="006B6117">
        <w:t xml:space="preserve"> lack of skilled human capital contributes to this challenge. In addition, the digital divide </w:t>
      </w:r>
      <w:r>
        <w:t xml:space="preserve">for </w:t>
      </w:r>
      <w:r w:rsidRPr="006B6117">
        <w:t xml:space="preserve">broadband access between East and West persists in the region, </w:t>
      </w:r>
      <w:r>
        <w:t>and</w:t>
      </w:r>
      <w:r w:rsidRPr="006B6117">
        <w:t xml:space="preserve"> noticeable changes </w:t>
      </w:r>
      <w:r>
        <w:t>in</w:t>
      </w:r>
      <w:r w:rsidRPr="006B6117">
        <w:t xml:space="preserve"> regions</w:t>
      </w:r>
      <w:r>
        <w:t xml:space="preserve"> quickly</w:t>
      </w:r>
      <w:r w:rsidRPr="006B6117">
        <w:t xml:space="preserve"> increasing broadband access </w:t>
      </w:r>
      <w:r w:rsidRPr="006B6117">
        <w:fldChar w:fldCharType="begin"/>
      </w:r>
      <w:r w:rsidR="00DC4537">
        <w:instrText xml:space="preserve"> ADDIN ZOTERO_ITEM CSL_CITATION {"citationID":"7yeodESk","properties":{"formattedCitation":"(CESCI, 2020)","plainCitation":"(CESCI, 2020)","noteIndex":0},"citationItems":[{"id":2678,"uris":["http://zotero.org/groups/21774/items/6RG6NR7T"],"itemData":{"id":2678,"type":"report","title":"Analysis of territorial challenges, needs and potentials of the Danube region and strategic options in view of the transnational cooperaiton for the period 2021-2027","author":[{"family":"CESCI","given":""}],"issued":{"date-parts":[["2020"]]}}}],"schema":"https://github.com/citation-style-language/schema/raw/master/csl-citation.json"} </w:instrText>
      </w:r>
      <w:r w:rsidRPr="006B6117">
        <w:fldChar w:fldCharType="separate"/>
      </w:r>
      <w:r w:rsidRPr="006B6117">
        <w:rPr>
          <w:noProof/>
        </w:rPr>
        <w:t>(CESCI, 2020)</w:t>
      </w:r>
      <w:r w:rsidRPr="006B6117">
        <w:fldChar w:fldCharType="end"/>
      </w:r>
      <w:r w:rsidRPr="006B6117">
        <w:t xml:space="preserve">. </w:t>
      </w:r>
    </w:p>
    <w:p w14:paraId="4DE9CC21" w14:textId="77777777" w:rsidR="001727FA" w:rsidRPr="006B6117" w:rsidRDefault="001727FA" w:rsidP="001727FA">
      <w:r w:rsidRPr="006B6117">
        <w:rPr>
          <w:b/>
          <w:bCs/>
        </w:rPr>
        <w:t>Migration and demographic change – urban-rural and East-West divides</w:t>
      </w:r>
      <w:r w:rsidRPr="006B6117">
        <w:t>.</w:t>
      </w:r>
      <w:r w:rsidRPr="006B6117">
        <w:rPr>
          <w:b/>
          <w:bCs/>
        </w:rPr>
        <w:t xml:space="preserve"> </w:t>
      </w:r>
      <w:r w:rsidRPr="006B6117">
        <w:t xml:space="preserve">Migration is a key topic for the Danube macro-region, with migration from lagging rural areas to more developed urban areas, both within countries, as well as from the East to the West of the region. At the same time, there is high outmigration </w:t>
      </w:r>
      <w:r>
        <w:t>from</w:t>
      </w:r>
      <w:r w:rsidRPr="006B6117">
        <w:t xml:space="preserve"> the region, especially young and highly educated people. The region </w:t>
      </w:r>
      <w:r>
        <w:t>has</w:t>
      </w:r>
      <w:r w:rsidRPr="006B6117">
        <w:t xml:space="preserve"> a strong urban-rural divi</w:t>
      </w:r>
      <w:r>
        <w:t>de and</w:t>
      </w:r>
      <w:r w:rsidRPr="006B6117">
        <w:t xml:space="preserve"> the high degree of urbanisation has large implications on migration. Positive migration is mainly </w:t>
      </w:r>
      <w:r>
        <w:t>to</w:t>
      </w:r>
      <w:r w:rsidRPr="006B6117">
        <w:t xml:space="preserve"> the western part of the region, while the east </w:t>
      </w:r>
      <w:r>
        <w:t>suffers</w:t>
      </w:r>
      <w:r w:rsidRPr="006B6117">
        <w:t xml:space="preserve"> emigration. However, </w:t>
      </w:r>
      <w:r>
        <w:t xml:space="preserve">there is </w:t>
      </w:r>
      <w:r w:rsidRPr="006B6117">
        <w:t xml:space="preserve">positive migration in regions such as Győr-Moson-Sopron County in Hungary, Timis County in Romania and Istria County </w:t>
      </w:r>
      <w:r>
        <w:t>in</w:t>
      </w:r>
      <w:r w:rsidRPr="006B6117">
        <w:t xml:space="preserve"> Croatia, </w:t>
      </w:r>
      <w:r>
        <w:t>as well as to</w:t>
      </w:r>
      <w:r w:rsidRPr="006B6117">
        <w:t xml:space="preserve"> capital cities </w:t>
      </w:r>
      <w:r>
        <w:t>in</w:t>
      </w:r>
      <w:r w:rsidRPr="006B6117">
        <w:t xml:space="preserve"> both the West and the East of the macro-region. </w:t>
      </w:r>
    </w:p>
    <w:p w14:paraId="1D48DC37" w14:textId="4327B93C" w:rsidR="001727FA" w:rsidRPr="006B6117" w:rsidRDefault="001727FA" w:rsidP="001727FA">
      <w:pPr>
        <w:rPr>
          <w:b/>
          <w:bCs/>
        </w:rPr>
      </w:pPr>
      <w:r>
        <w:t>In addition to</w:t>
      </w:r>
      <w:r w:rsidRPr="006B6117">
        <w:t xml:space="preserve"> migration, ageing is a further challenge in the Danube region due to low fertility, increasing life expectation and high emigration </w:t>
      </w:r>
      <w:r>
        <w:t>in</w:t>
      </w:r>
      <w:r w:rsidRPr="006B6117">
        <w:t xml:space="preserve"> large areas </w:t>
      </w:r>
      <w:r>
        <w:t>of</w:t>
      </w:r>
      <w:r w:rsidRPr="006B6117">
        <w:t xml:space="preserve"> the region. This has direct effects </w:t>
      </w:r>
      <w:r>
        <w:t>on</w:t>
      </w:r>
      <w:r w:rsidRPr="006B6117">
        <w:t xml:space="preserve"> </w:t>
      </w:r>
      <w:r>
        <w:t>the</w:t>
      </w:r>
      <w:r w:rsidRPr="006B6117">
        <w:t xml:space="preserve"> labour market, with some regions </w:t>
      </w:r>
      <w:r>
        <w:t>facing</w:t>
      </w:r>
      <w:r w:rsidRPr="006B6117">
        <w:t xml:space="preserve"> </w:t>
      </w:r>
      <w:r>
        <w:t xml:space="preserve">a </w:t>
      </w:r>
      <w:r w:rsidRPr="006B6117">
        <w:t xml:space="preserve">brain drain and others high unemployment </w:t>
      </w:r>
      <w:r w:rsidRPr="006B6117">
        <w:fldChar w:fldCharType="begin"/>
      </w:r>
      <w:r w:rsidR="00DC4537">
        <w:instrText xml:space="preserve"> ADDIN ZOTERO_ITEM CSL_CITATION {"citationID":"WhN7dWdd","properties":{"formattedCitation":"(European Commission, 2020d)","plainCitation":"(European Commission, 2020d)","noteIndex":0},"citationItems":[{"id":4850,"uris":["http://zotero.org/groups/21774/items/RV9AA7GL"],"itemData":{"id":4850,"type":"report","event-place":"Brussels","genre":"Staff Working Document","publisher-place":"Brussels","title":"Action Plan replacing Staff Working Document SEC(2010) 1489 final accompanying the Communication from the Commission to the European Parliament, the Council, the European Economic and Social Committee and the Committee of the Regions. European Union Strategy for Danube Region","author":[{"family":"European Commission","given":""}],"issued":{"date-parts":[["2020",4,6]]}}}],"schema":"https://github.com/citation-style-language/schema/raw/master/csl-citation.json"} </w:instrText>
      </w:r>
      <w:r w:rsidRPr="006B6117">
        <w:fldChar w:fldCharType="separate"/>
      </w:r>
      <w:r w:rsidR="00DC4537">
        <w:rPr>
          <w:noProof/>
        </w:rPr>
        <w:t>(European Commission, 2020d)</w:t>
      </w:r>
      <w:r w:rsidRPr="006B6117">
        <w:fldChar w:fldCharType="end"/>
      </w:r>
      <w:r w:rsidRPr="006B6117">
        <w:t>.</w:t>
      </w:r>
    </w:p>
    <w:p w14:paraId="0F34F5BC" w14:textId="081D2F83" w:rsidR="001727FA" w:rsidRPr="006B6117" w:rsidRDefault="001727FA" w:rsidP="001727FA">
      <w:r w:rsidRPr="006B6117">
        <w:rPr>
          <w:b/>
          <w:bCs/>
        </w:rPr>
        <w:t>Climate change and sustainable development</w:t>
      </w:r>
      <w:r w:rsidRPr="006B6117">
        <w:t xml:space="preserve">. Climate change </w:t>
      </w:r>
      <w:r>
        <w:t>is a</w:t>
      </w:r>
      <w:r w:rsidRPr="006B6117">
        <w:t xml:space="preserve"> key challenge in the region, affecting its flora and fauna. </w:t>
      </w:r>
      <w:r>
        <w:t>T</w:t>
      </w:r>
      <w:r w:rsidRPr="006B6117">
        <w:t>emperature increase</w:t>
      </w:r>
      <w:r>
        <w:t>s</w:t>
      </w:r>
      <w:r w:rsidRPr="006B6117">
        <w:t xml:space="preserve"> may cause severe consequences, but also increase</w:t>
      </w:r>
      <w:r>
        <w:t>d</w:t>
      </w:r>
      <w:r w:rsidRPr="006B6117">
        <w:t xml:space="preserve"> greenhouse gases pose threats to the natural environment. There is a low share of renewables in the area, resulting in </w:t>
      </w:r>
      <w:r>
        <w:t>a</w:t>
      </w:r>
      <w:r w:rsidRPr="006B6117">
        <w:t xml:space="preserve"> heavy reliance on fossil fuels </w:t>
      </w:r>
      <w:r w:rsidRPr="006B6117">
        <w:fldChar w:fldCharType="begin"/>
      </w:r>
      <w:r w:rsidR="00DC4537">
        <w:instrText xml:space="preserve"> ADDIN ZOTERO_ITEM CSL_CITATION {"citationID":"mlxxE7sy","properties":{"formattedCitation":"(CESCI, 2020)","plainCitation":"(CESCI, 2020)","noteIndex":0},"citationItems":[{"id":2678,"uris":["http://zotero.org/groups/21774/items/6RG6NR7T"],"itemData":{"id":2678,"type":"report","title":"Analysis of territorial challenges, needs and potentials of the Danube region and strategic options in view of the transnational cooperaiton for the period 2021-2027","author":[{"family":"CESCI","given":""}],"issued":{"date-parts":[["2020"]]}}}],"schema":"https://github.com/citation-style-language/schema/raw/master/csl-citation.json"} </w:instrText>
      </w:r>
      <w:r w:rsidRPr="006B6117">
        <w:fldChar w:fldCharType="separate"/>
      </w:r>
      <w:r w:rsidRPr="006B6117">
        <w:rPr>
          <w:noProof/>
        </w:rPr>
        <w:t>(CESCI, 2020)</w:t>
      </w:r>
      <w:r w:rsidRPr="006B6117">
        <w:fldChar w:fldCharType="end"/>
      </w:r>
      <w:r w:rsidRPr="006B6117">
        <w:t xml:space="preserve"> </w:t>
      </w:r>
      <w:r>
        <w:t>and</w:t>
      </w:r>
      <w:r w:rsidRPr="006B6117">
        <w:t xml:space="preserve"> negative impacts for sustainable development. Furthermore, the Danube region is heavily exposed to flood risks, especially in regions in the north-east of the macro-region, catchment areas of the Upper Tisa and the Diester rivers. </w:t>
      </w:r>
      <w:r>
        <w:t>T</w:t>
      </w:r>
      <w:r w:rsidRPr="006B6117">
        <w:t xml:space="preserve">hese are in border areas </w:t>
      </w:r>
      <w:r>
        <w:t>between</w:t>
      </w:r>
      <w:r w:rsidRPr="006B6117">
        <w:t xml:space="preserve"> Ukraine, Romania, Slovakia, Hungary and Moldova </w:t>
      </w:r>
      <w:r w:rsidRPr="006B6117">
        <w:fldChar w:fldCharType="begin"/>
      </w:r>
      <w:r w:rsidR="00DC4537">
        <w:instrText xml:space="preserve"> ADDIN ZOTERO_ITEM CSL_CITATION {"citationID":"W37gbw8S","properties":{"formattedCitation":"(CESCI, 2020)","plainCitation":"(CESCI, 2020)","noteIndex":0},"citationItems":[{"id":2678,"uris":["http://zotero.org/groups/21774/items/6RG6NR7T"],"itemData":{"id":2678,"type":"report","title":"Analysis of territorial challenges, needs and potentials of the Danube region and strategic options in view of the transnational cooperaiton for the period 2021-2027","author":[{"family":"CESCI","given":""}],"issued":{"date-parts":[["2020"]]}}}],"schema":"https://github.com/citation-style-language/schema/raw/master/csl-citation.json"} </w:instrText>
      </w:r>
      <w:r w:rsidRPr="006B6117">
        <w:fldChar w:fldCharType="separate"/>
      </w:r>
      <w:r w:rsidRPr="006B6117">
        <w:rPr>
          <w:noProof/>
        </w:rPr>
        <w:t>(CESCI, 2020)</w:t>
      </w:r>
      <w:r w:rsidRPr="006B6117">
        <w:fldChar w:fldCharType="end"/>
      </w:r>
      <w:r w:rsidRPr="006B6117">
        <w:t>. Nevertheless, the region has low climate change adaptation, making environmental protection even more challenging.</w:t>
      </w:r>
    </w:p>
    <w:p w14:paraId="7DC3F945" w14:textId="7CFC65EB" w:rsidR="001727FA" w:rsidRPr="006B6117" w:rsidRDefault="001727FA" w:rsidP="001727FA">
      <w:r w:rsidRPr="006B6117">
        <w:t>The Danube macro-region also has a rich natural habitat and biodiversity</w:t>
      </w:r>
      <w:r>
        <w:t>, with European Green Belts (Map 3</w:t>
      </w:r>
      <w:r w:rsidR="00AD0EEE">
        <w:t>-1</w:t>
      </w:r>
      <w:r>
        <w:t>)</w:t>
      </w:r>
      <w:r w:rsidRPr="006B6117">
        <w:t xml:space="preserve">. </w:t>
      </w:r>
      <w:r>
        <w:t>In addition to</w:t>
      </w:r>
      <w:r w:rsidRPr="006B6117">
        <w:t xml:space="preserve"> the river basin areas, the region is also home to large forests. </w:t>
      </w:r>
      <w:r>
        <w:t>T</w:t>
      </w:r>
      <w:r w:rsidRPr="006B6117">
        <w:t xml:space="preserve">he region has about 30% forest and 33% arable land </w:t>
      </w:r>
      <w:r w:rsidRPr="006B6117">
        <w:fldChar w:fldCharType="begin"/>
      </w:r>
      <w:r w:rsidR="00DC4537">
        <w:instrText xml:space="preserve"> ADDIN ZOTERO_ITEM CSL_CITATION {"citationID":"2zasl5Q0","properties":{"formattedCitation":"(CESCI, 2020)","plainCitation":"(CESCI, 2020)","noteIndex":0},"citationItems":[{"id":2678,"uris":["http://zotero.org/groups/21774/items/6RG6NR7T"],"itemData":{"id":2678,"type":"report","title":"Analysis of territorial challenges, needs and potentials of the Danube region and strategic options in view of the transnational cooperaiton for the period 2021-2027","author":[{"family":"CESCI","given":""}],"issued":{"date-parts":[["2020"]]}}}],"schema":"https://github.com/citation-style-language/schema/raw/master/csl-citation.json"} </w:instrText>
      </w:r>
      <w:r w:rsidRPr="006B6117">
        <w:fldChar w:fldCharType="separate"/>
      </w:r>
      <w:r w:rsidRPr="006B6117">
        <w:rPr>
          <w:noProof/>
        </w:rPr>
        <w:t>(CESCI, 2020)</w:t>
      </w:r>
      <w:r w:rsidRPr="006B6117">
        <w:fldChar w:fldCharType="end"/>
      </w:r>
      <w:r w:rsidRPr="006B6117">
        <w:t xml:space="preserve">. </w:t>
      </w:r>
      <w:r>
        <w:t>P</w:t>
      </w:r>
      <w:r w:rsidRPr="006B6117">
        <w:t xml:space="preserve">rotected areas along the Danube region are a valuable source of biodiversity, with many being categorised as Natura 2000 designated areas. </w:t>
      </w:r>
      <w:r>
        <w:t>However, river</w:t>
      </w:r>
      <w:r w:rsidRPr="006B6117">
        <w:t xml:space="preserve"> quality varies</w:t>
      </w:r>
      <w:r>
        <w:t>,</w:t>
      </w:r>
      <w:r w:rsidRPr="006B6117">
        <w:t xml:space="preserve"> with the Tisza river being more challenged. Of particular importance are the groundwater bodies, which are </w:t>
      </w:r>
      <w:r>
        <w:t xml:space="preserve">the </w:t>
      </w:r>
      <w:r w:rsidRPr="006B6117">
        <w:t>main sources for drink</w:t>
      </w:r>
      <w:r>
        <w:t>ing</w:t>
      </w:r>
      <w:r w:rsidRPr="006B6117">
        <w:t xml:space="preserve"> water, agriculture and industry </w:t>
      </w:r>
      <w:r w:rsidRPr="006B6117">
        <w:fldChar w:fldCharType="begin"/>
      </w:r>
      <w:r w:rsidR="00DC4537">
        <w:instrText xml:space="preserve"> ADDIN ZOTERO_ITEM CSL_CITATION {"citationID":"1fzzizyo","properties":{"formattedCitation":"(CESCI, 2020)","plainCitation":"(CESCI, 2020)","noteIndex":0},"citationItems":[{"id":2678,"uris":["http://zotero.org/groups/21774/items/6RG6NR7T"],"itemData":{"id":2678,"type":"report","title":"Analysis of territorial challenges, needs and potentials of the Danube region and strategic options in view of the transnational cooperaiton for the period 2021-2027","author":[{"family":"CESCI","given":""}],"issued":{"date-parts":[["2020"]]}}}],"schema":"https://github.com/citation-style-language/schema/raw/master/csl-citation.json"} </w:instrText>
      </w:r>
      <w:r w:rsidRPr="006B6117">
        <w:fldChar w:fldCharType="separate"/>
      </w:r>
      <w:r w:rsidRPr="006B6117">
        <w:rPr>
          <w:noProof/>
        </w:rPr>
        <w:t>(CESCI, 2020)</w:t>
      </w:r>
      <w:r w:rsidRPr="006B6117">
        <w:fldChar w:fldCharType="end"/>
      </w:r>
      <w:r w:rsidRPr="006B6117">
        <w:t xml:space="preserve">. Water pollution is </w:t>
      </w:r>
      <w:r>
        <w:t>a</w:t>
      </w:r>
      <w:r w:rsidRPr="006B6117">
        <w:t xml:space="preserve"> key challenge</w:t>
      </w:r>
      <w:r>
        <w:t xml:space="preserve"> for</w:t>
      </w:r>
      <w:r w:rsidRPr="006B6117">
        <w:t xml:space="preserve"> the Danube river, </w:t>
      </w:r>
      <w:r>
        <w:t>with pollution from</w:t>
      </w:r>
      <w:r w:rsidRPr="006B6117">
        <w:t xml:space="preserve"> nutrients, organic material and hazardous substances </w:t>
      </w:r>
      <w:r w:rsidRPr="006B6117">
        <w:fldChar w:fldCharType="begin"/>
      </w:r>
      <w:r w:rsidR="00DC4537">
        <w:instrText xml:space="preserve"> ADDIN ZOTERO_ITEM CSL_CITATION {"citationID":"CInchjEY","properties":{"formattedCitation":"(ICPDR, 2002)","plainCitation":"(ICPDR, 2002)","noteIndex":0},"citationItems":[{"id":8021,"uris":["http://zotero.org/groups/4075961/items/8M6EIX8Q"],"itemData":{"id":8021,"type":"webpage","title":"Water Pollution","author":[{"family":"ICPDR","given":""}],"issued":{"date-parts":[["2002"]]}}}],"schema":"https://github.com/citation-style-language/schema/raw/master/csl-citation.json"} </w:instrText>
      </w:r>
      <w:r w:rsidRPr="006B6117">
        <w:fldChar w:fldCharType="separate"/>
      </w:r>
      <w:r w:rsidRPr="006B6117">
        <w:rPr>
          <w:noProof/>
        </w:rPr>
        <w:t>(ICPDR, 2002)</w:t>
      </w:r>
      <w:r w:rsidRPr="006B6117">
        <w:fldChar w:fldCharType="end"/>
      </w:r>
      <w:r w:rsidRPr="006B6117">
        <w:t xml:space="preserve">. </w:t>
      </w:r>
      <w:r>
        <w:t>In addition to</w:t>
      </w:r>
      <w:r w:rsidRPr="006B6117">
        <w:t xml:space="preserve"> pollution, different kinds of infrastructure, such as transport projects, as well as canalisation of the river, put floodplains, wetlands and biodiversity in the region</w:t>
      </w:r>
      <w:r>
        <w:t xml:space="preserve"> at risk</w:t>
      </w:r>
      <w:r w:rsidRPr="006B6117">
        <w:t xml:space="preserve">. </w:t>
      </w:r>
      <w:r>
        <w:t>S</w:t>
      </w:r>
      <w:r w:rsidRPr="006B6117">
        <w:t xml:space="preserve">ustainable development is key to protect and improve the situation </w:t>
      </w:r>
      <w:r>
        <w:t>for</w:t>
      </w:r>
      <w:r w:rsidRPr="006B6117">
        <w:t xml:space="preserve"> the river. </w:t>
      </w:r>
    </w:p>
    <w:p w14:paraId="623ED34F" w14:textId="77777777" w:rsidR="001727FA" w:rsidRPr="006B6117" w:rsidRDefault="001727FA" w:rsidP="001727FA">
      <w:pPr>
        <w:pStyle w:val="BodyText"/>
        <w:shd w:val="clear" w:color="auto" w:fill="D9D9D9" w:themeFill="background1" w:themeFillShade="D9"/>
        <w:rPr>
          <w:b/>
          <w:bCs/>
          <w:shd w:val="clear" w:color="auto" w:fill="D9D9D9" w:themeFill="background1" w:themeFillShade="D9"/>
        </w:rPr>
      </w:pPr>
      <w:r w:rsidRPr="006B6117">
        <w:rPr>
          <w:b/>
          <w:bCs/>
          <w:shd w:val="clear" w:color="auto" w:fill="D9D9D9" w:themeFill="background1" w:themeFillShade="D9"/>
        </w:rPr>
        <w:t>Concluding points</w:t>
      </w:r>
    </w:p>
    <w:p w14:paraId="6F3250A2" w14:textId="3BF03634" w:rsidR="00720A9A" w:rsidRPr="00702488" w:rsidRDefault="001727FA" w:rsidP="001727FA">
      <w:pPr>
        <w:pStyle w:val="BodyText"/>
        <w:shd w:val="clear" w:color="auto" w:fill="D9D9D9" w:themeFill="background1" w:themeFillShade="D9"/>
        <w:rPr>
          <w:shd w:val="clear" w:color="auto" w:fill="D9D9D9" w:themeFill="background1" w:themeFillShade="D9"/>
        </w:rPr>
      </w:pPr>
      <w:r>
        <w:rPr>
          <w:shd w:val="clear" w:color="auto" w:fill="D9D9D9" w:themeFill="background1" w:themeFillShade="D9"/>
        </w:rPr>
        <w:t>T</w:t>
      </w:r>
      <w:r w:rsidRPr="006B6117">
        <w:rPr>
          <w:shd w:val="clear" w:color="auto" w:fill="D9D9D9" w:themeFill="background1" w:themeFillShade="D9"/>
        </w:rPr>
        <w:t xml:space="preserve">here is a diverse picture of possible developments for the Danube macro-region. </w:t>
      </w:r>
      <w:r w:rsidRPr="006B6117">
        <w:t xml:space="preserve">Digitalisation may bring both challenges and opportunities. </w:t>
      </w:r>
      <w:r>
        <w:t>I</w:t>
      </w:r>
      <w:r w:rsidRPr="006B6117">
        <w:t xml:space="preserve">mprovement is </w:t>
      </w:r>
      <w:r>
        <w:t>needed</w:t>
      </w:r>
      <w:r w:rsidRPr="006B6117">
        <w:t xml:space="preserve"> to bridge the digital gap and explore possibilities such as smart cities</w:t>
      </w:r>
      <w:r>
        <w:t>. This could include</w:t>
      </w:r>
      <w:r w:rsidRPr="006B6117">
        <w:t xml:space="preserve"> using digital and technological solutions to improve the quality of life in urban areas </w:t>
      </w:r>
      <w:r w:rsidRPr="006B6117">
        <w:fldChar w:fldCharType="begin"/>
      </w:r>
      <w:r w:rsidR="00DC4537">
        <w:instrText xml:space="preserve"> ADDIN ZOTERO_ITEM CSL_CITATION {"citationID":"PY4dBAdI","properties":{"formattedCitation":"(CESCI, 2020)","plainCitation":"(CESCI, 2020)","noteIndex":0},"citationItems":[{"id":2678,"uris":["http://zotero.org/groups/21774/items/6RG6NR7T"],"itemData":{"id":2678,"type":"report","title":"Analysis of territorial challenges, needs and potentials of the Danube region and strategic options in view of the transnational cooperaiton for the period 2021-2027","author":[{"family":"CESCI","given":""}],"issued":{"date-parts":[["2020"]]}}}],"schema":"https://github.com/citation-style-language/schema/raw/master/csl-citation.json"} </w:instrText>
      </w:r>
      <w:r w:rsidRPr="006B6117">
        <w:fldChar w:fldCharType="separate"/>
      </w:r>
      <w:r w:rsidRPr="006B6117">
        <w:rPr>
          <w:noProof/>
        </w:rPr>
        <w:t>(CESCI, 2020)</w:t>
      </w:r>
      <w:r w:rsidRPr="006B6117">
        <w:fldChar w:fldCharType="end"/>
      </w:r>
      <w:r w:rsidRPr="006B6117">
        <w:t xml:space="preserve">. </w:t>
      </w:r>
      <w:r>
        <w:t>M</w:t>
      </w:r>
      <w:r w:rsidRPr="006B6117">
        <w:t xml:space="preserve">ore </w:t>
      </w:r>
      <w:r w:rsidRPr="006B6117">
        <w:rPr>
          <w:shd w:val="clear" w:color="auto" w:fill="D9D9D9" w:themeFill="background1" w:themeFillShade="D9"/>
        </w:rPr>
        <w:t xml:space="preserve">cooperation </w:t>
      </w:r>
      <w:r>
        <w:rPr>
          <w:shd w:val="clear" w:color="auto" w:fill="D9D9D9" w:themeFill="background1" w:themeFillShade="D9"/>
        </w:rPr>
        <w:t xml:space="preserve">is needed </w:t>
      </w:r>
      <w:r w:rsidRPr="006B6117">
        <w:rPr>
          <w:shd w:val="clear" w:color="auto" w:fill="D9D9D9" w:themeFill="background1" w:themeFillShade="D9"/>
        </w:rPr>
        <w:t xml:space="preserve">to support </w:t>
      </w:r>
      <w:r>
        <w:rPr>
          <w:shd w:val="clear" w:color="auto" w:fill="D9D9D9" w:themeFill="background1" w:themeFillShade="D9"/>
        </w:rPr>
        <w:t xml:space="preserve">the </w:t>
      </w:r>
      <w:r w:rsidRPr="006B6117">
        <w:rPr>
          <w:shd w:val="clear" w:color="auto" w:fill="D9D9D9" w:themeFill="background1" w:themeFillShade="D9"/>
        </w:rPr>
        <w:t>circular economy, sustainable energ</w:t>
      </w:r>
      <w:r>
        <w:rPr>
          <w:shd w:val="clear" w:color="auto" w:fill="D9D9D9" w:themeFill="background1" w:themeFillShade="D9"/>
        </w:rPr>
        <w:t>y</w:t>
      </w:r>
      <w:r w:rsidRPr="006B6117">
        <w:rPr>
          <w:shd w:val="clear" w:color="auto" w:fill="D9D9D9" w:themeFill="background1" w:themeFillShade="D9"/>
        </w:rPr>
        <w:t xml:space="preserve"> and to address climate change, </w:t>
      </w:r>
      <w:r w:rsidRPr="006B6117">
        <w:t xml:space="preserve">air and water pollution. </w:t>
      </w:r>
      <w:r>
        <w:t>There are still</w:t>
      </w:r>
      <w:r w:rsidRPr="006B6117">
        <w:t xml:space="preserve"> East and West divides with borders becoming more and more important </w:t>
      </w:r>
      <w:r w:rsidRPr="006B6117">
        <w:rPr>
          <w:shd w:val="clear" w:color="auto" w:fill="D9D9D9" w:themeFill="background1" w:themeFillShade="D9"/>
        </w:rPr>
        <w:t xml:space="preserve">and </w:t>
      </w:r>
      <w:r>
        <w:rPr>
          <w:shd w:val="clear" w:color="auto" w:fill="D9D9D9" w:themeFill="background1" w:themeFillShade="D9"/>
        </w:rPr>
        <w:t>increased</w:t>
      </w:r>
      <w:r w:rsidRPr="006B6117">
        <w:rPr>
          <w:shd w:val="clear" w:color="auto" w:fill="D9D9D9" w:themeFill="background1" w:themeFillShade="D9"/>
        </w:rPr>
        <w:t xml:space="preserve"> labour migration from east to the west</w:t>
      </w:r>
      <w:r>
        <w:rPr>
          <w:shd w:val="clear" w:color="auto" w:fill="D9D9D9" w:themeFill="background1" w:themeFillShade="D9"/>
        </w:rPr>
        <w:t>. These</w:t>
      </w:r>
      <w:r w:rsidRPr="006B6117">
        <w:rPr>
          <w:shd w:val="clear" w:color="auto" w:fill="D9D9D9" w:themeFill="background1" w:themeFillShade="D9"/>
        </w:rPr>
        <w:t xml:space="preserve"> call for long-term governance structures </w:t>
      </w:r>
      <w:r w:rsidRPr="006B6117">
        <w:rPr>
          <w:shd w:val="clear" w:color="auto" w:fill="D9D9D9" w:themeFill="background1" w:themeFillShade="D9"/>
        </w:rPr>
        <w:fldChar w:fldCharType="begin"/>
      </w:r>
      <w:r w:rsidR="00DC4537">
        <w:rPr>
          <w:shd w:val="clear" w:color="auto" w:fill="D9D9D9" w:themeFill="background1" w:themeFillShade="D9"/>
        </w:rPr>
        <w:instrText xml:space="preserve"> ADDIN ZOTERO_ITEM CSL_CITATION {"citationID":"MzbjknwK","properties":{"formattedCitation":"(CESCI, 2020)","plainCitation":"(CESCI, 2020)","noteIndex":0},"citationItems":[{"id":2678,"uris":["http://zotero.org/groups/21774/items/6RG6NR7T"],"itemData":{"id":2678,"type":"report","title":"Analysis of territorial challenges, needs and potentials of the Danube region and strategic options in view of the transnational cooperaiton for the period 2021-2027","author":[{"family":"CESCI","given":""}],"issued":{"date-parts":[["2020"]]}}}],"schema":"https://github.com/citation-style-language/schema/raw/master/csl-citation.json"} </w:instrText>
      </w:r>
      <w:r w:rsidRPr="006B6117">
        <w:rPr>
          <w:shd w:val="clear" w:color="auto" w:fill="D9D9D9" w:themeFill="background1" w:themeFillShade="D9"/>
        </w:rPr>
        <w:fldChar w:fldCharType="separate"/>
      </w:r>
      <w:r w:rsidRPr="006B6117">
        <w:rPr>
          <w:noProof/>
          <w:shd w:val="clear" w:color="auto" w:fill="D9D9D9" w:themeFill="background1" w:themeFillShade="D9"/>
        </w:rPr>
        <w:t>(CESCI, 2020)</w:t>
      </w:r>
      <w:r w:rsidRPr="006B6117">
        <w:rPr>
          <w:shd w:val="clear" w:color="auto" w:fill="D9D9D9" w:themeFill="background1" w:themeFillShade="D9"/>
        </w:rPr>
        <w:fldChar w:fldCharType="end"/>
      </w:r>
      <w:r w:rsidRPr="006B6117">
        <w:rPr>
          <w:shd w:val="clear" w:color="auto" w:fill="D9D9D9" w:themeFill="background1" w:themeFillShade="D9"/>
        </w:rPr>
        <w:t xml:space="preserve">. All in all, to address existing fragmentation, increase integration and balance territorial development, cooperation and stronger multi-level governance </w:t>
      </w:r>
      <w:r>
        <w:rPr>
          <w:shd w:val="clear" w:color="auto" w:fill="D9D9D9" w:themeFill="background1" w:themeFillShade="D9"/>
        </w:rPr>
        <w:t>with the</w:t>
      </w:r>
      <w:r w:rsidRPr="006B6117">
        <w:rPr>
          <w:shd w:val="clear" w:color="auto" w:fill="D9D9D9" w:themeFill="background1" w:themeFillShade="D9"/>
        </w:rPr>
        <w:t xml:space="preserve"> involvement of local actors seems to be necessary.</w:t>
      </w:r>
    </w:p>
    <w:p w14:paraId="27C3321C" w14:textId="77777777" w:rsidR="00D84503" w:rsidRPr="00702488" w:rsidRDefault="00D84503" w:rsidP="00D84503">
      <w:pPr>
        <w:pStyle w:val="Heading2"/>
      </w:pPr>
      <w:bookmarkStart w:id="8" w:name="_Toc87347224"/>
      <w:bookmarkStart w:id="9" w:name="_Toc100584660"/>
      <w:r w:rsidRPr="00702488">
        <w:t>What is in it for cooperation?</w:t>
      </w:r>
      <w:bookmarkEnd w:id="8"/>
      <w:bookmarkEnd w:id="9"/>
    </w:p>
    <w:p w14:paraId="14A13B43" w14:textId="77777777" w:rsidR="00DD765C" w:rsidRPr="006B6117" w:rsidRDefault="00D84503" w:rsidP="00DD765C">
      <w:r w:rsidRPr="00702488">
        <w:rPr>
          <w:b/>
          <w:bCs/>
        </w:rPr>
        <w:t xml:space="preserve">Existing cooperation frameworks in the </w:t>
      </w:r>
      <w:r w:rsidR="00D70946" w:rsidRPr="00702488">
        <w:rPr>
          <w:b/>
          <w:bCs/>
        </w:rPr>
        <w:t>Danube macro-region</w:t>
      </w:r>
      <w:r w:rsidRPr="00702488">
        <w:rPr>
          <w:b/>
          <w:bCs/>
        </w:rPr>
        <w:t xml:space="preserve"> to address challenges and tap potential</w:t>
      </w:r>
      <w:r w:rsidRPr="00702488">
        <w:t xml:space="preserve">. </w:t>
      </w:r>
      <w:r w:rsidR="00DD765C">
        <w:t>T</w:t>
      </w:r>
      <w:r w:rsidR="00DD765C" w:rsidRPr="006B6117">
        <w:t>he Danube macro-region</w:t>
      </w:r>
      <w:r w:rsidR="00DD765C">
        <w:t xml:space="preserve"> is </w:t>
      </w:r>
      <w:r w:rsidR="00DD765C" w:rsidRPr="006B6117">
        <w:t xml:space="preserve">home to several cooperation frameworks. These range from Interreg transnational programmes, such as the Interreg Danube Transnational Programme, </w:t>
      </w:r>
      <w:r w:rsidR="00DD765C">
        <w:t>to</w:t>
      </w:r>
      <w:r w:rsidR="00DD765C" w:rsidRPr="006B6117">
        <w:t xml:space="preserve"> Interreg cross-border cooperation programmes between EU member states and Interreg IPA programmes in the region. </w:t>
      </w:r>
      <w:r w:rsidR="00DD765C">
        <w:t>In addition to</w:t>
      </w:r>
      <w:r w:rsidR="00DD765C" w:rsidRPr="006B6117">
        <w:t xml:space="preserve"> these </w:t>
      </w:r>
      <w:r w:rsidR="00DD765C">
        <w:t>are</w:t>
      </w:r>
      <w:r w:rsidR="00DD765C" w:rsidRPr="006B6117">
        <w:t xml:space="preserve"> European Groupings of Territorial Cooperation (EGTCs), the International Commission for the Protection of the Danube River, Euroregions and others. The EUSDR </w:t>
      </w:r>
      <w:r w:rsidR="00DD765C">
        <w:t>is a cooperation platform</w:t>
      </w:r>
      <w:r w:rsidR="00DD765C" w:rsidRPr="006B6117">
        <w:t xml:space="preserve"> </w:t>
      </w:r>
      <w:r w:rsidR="00DD765C">
        <w:t>to</w:t>
      </w:r>
      <w:r w:rsidR="00DD765C" w:rsidRPr="006B6117">
        <w:t xml:space="preserve"> support addressing challenges in the macro-region through cooperation</w:t>
      </w:r>
      <w:r w:rsidR="00DD765C">
        <w:t>, also serving</w:t>
      </w:r>
      <w:r w:rsidR="00DD765C" w:rsidRPr="006B6117">
        <w:t xml:space="preserve"> serve as </w:t>
      </w:r>
      <w:r w:rsidR="00DD765C">
        <w:t xml:space="preserve">an </w:t>
      </w:r>
      <w:r w:rsidR="00DD765C" w:rsidRPr="006B6117">
        <w:t xml:space="preserve">example of EU integration for non-EU member states. </w:t>
      </w:r>
    </w:p>
    <w:p w14:paraId="735D78EA" w14:textId="5567A070" w:rsidR="00D84503" w:rsidRPr="00702488" w:rsidRDefault="00D84503" w:rsidP="00D84503">
      <w:r w:rsidRPr="00702488">
        <w:rPr>
          <w:b/>
          <w:bCs/>
        </w:rPr>
        <w:t>EUSDR</w:t>
      </w:r>
      <w:r w:rsidR="001727FA">
        <w:rPr>
          <w:b/>
          <w:bCs/>
        </w:rPr>
        <w:t xml:space="preserve"> is an</w:t>
      </w:r>
      <w:r w:rsidRPr="00702488">
        <w:rPr>
          <w:b/>
          <w:bCs/>
        </w:rPr>
        <w:t xml:space="preserve"> important element in the macro-region</w:t>
      </w:r>
      <w:r w:rsidR="006A2C15" w:rsidRPr="006A2C15">
        <w:t xml:space="preserve"> </w:t>
      </w:r>
      <w:r w:rsidR="006A2C15" w:rsidRPr="006B6117">
        <w:t xml:space="preserve">Macro-regional strategies are coordination and cooperation frameworks that implement shared priorities through processes and projects. Macro-regional strategies require cooperation across national and regional borders, at transnational level. </w:t>
      </w:r>
      <w:r w:rsidR="006A2C15">
        <w:t>EUSDR is a</w:t>
      </w:r>
      <w:r w:rsidR="006A2C15" w:rsidRPr="006B6117">
        <w:t xml:space="preserve"> flexible cooperation framework with </w:t>
      </w:r>
      <w:r w:rsidR="006A2C15">
        <w:t>its</w:t>
      </w:r>
      <w:r w:rsidR="006A2C15" w:rsidRPr="006B6117">
        <w:t xml:space="preserve"> own priorities to address challenges and untap potential in the macro-region. Cooperation is key. Through its four pillars (connect the region, protect the environment, build prosperity and strengthen the region) and 12 priority areas, the EUSDR works on five strategic objectives: counteracting climate change, stimulating sustainable development, establishing and enforcing </w:t>
      </w:r>
      <w:r w:rsidR="006A2C15">
        <w:t xml:space="preserve">a </w:t>
      </w:r>
      <w:r w:rsidR="006A2C15" w:rsidRPr="006B6117">
        <w:t>knowledge society, stimulating the economy and fight</w:t>
      </w:r>
      <w:r w:rsidR="006A2C15">
        <w:t>ing</w:t>
      </w:r>
      <w:r w:rsidR="006A2C15" w:rsidRPr="006B6117">
        <w:t xml:space="preserve"> poverty, improving mobility and connectivity, enhancing democracy, sound administration and strong involvement of civil society and youth</w:t>
      </w:r>
      <w:r w:rsidR="006A2C15" w:rsidRPr="00F54737">
        <w:rPr>
          <w:rStyle w:val="FootnoteReference"/>
        </w:rPr>
        <w:footnoteReference w:id="2"/>
      </w:r>
      <w:r w:rsidR="006A2C15" w:rsidRPr="006B6117">
        <w:t xml:space="preserve">. The strategic objectives, pillars and priority areas of the EUSDR encompass actions and objectives on topics ranging from rail-road and air mobility, </w:t>
      </w:r>
      <w:r w:rsidR="006A2C15">
        <w:t xml:space="preserve">to </w:t>
      </w:r>
      <w:r w:rsidR="006A2C15" w:rsidRPr="006B6117">
        <w:t>sustainable energy resources, the valorisation of cultural and natural heritage, water quality, ecosystem preservation, education and others.</w:t>
      </w:r>
    </w:p>
    <w:p w14:paraId="63F493C7" w14:textId="2A0C29C0" w:rsidR="00D84503" w:rsidRPr="00702488" w:rsidRDefault="00D84503" w:rsidP="00D84503">
      <w:r w:rsidRPr="00702488">
        <w:rPr>
          <w:b/>
          <w:bCs/>
        </w:rPr>
        <w:t>EUSDR supporting territorial development and European integration</w:t>
      </w:r>
      <w:r w:rsidRPr="00702488">
        <w:t xml:space="preserve">. </w:t>
      </w:r>
      <w:r w:rsidR="008107CE">
        <w:t>C</w:t>
      </w:r>
      <w:r w:rsidR="008107CE" w:rsidRPr="006B6117">
        <w:t>ooperation under EUSDR has helped improv</w:t>
      </w:r>
      <w:r w:rsidR="008107CE">
        <w:t>e</w:t>
      </w:r>
      <w:r w:rsidR="008107CE" w:rsidRPr="006B6117">
        <w:t xml:space="preserve"> the water status of the Danube region and navigability of the river </w:t>
      </w:r>
      <w:r w:rsidR="008107CE" w:rsidRPr="006B6117">
        <w:fldChar w:fldCharType="begin"/>
      </w:r>
      <w:r w:rsidR="00DC4537">
        <w:instrText xml:space="preserve"> ADDIN ZOTERO_ITEM CSL_CITATION {"citationID":"B50EADbP","properties":{"formattedCitation":"(Council of the European Union, 2019)","plainCitation":"(Council of the European Union, 2019)","noteIndex":0},"citationItems":[{"id":4711,"uris":["http://zotero.org/groups/21774/items/XW2KCJJ6"],"itemData":{"id":4711,"type":"document","title":"Council conclusions on the implementation of EU Macro-regional Strategies","author":[{"family":"Council of the European Union","given":""}],"issued":{"date-parts":[["2019",5,10]]}}}],"schema":"https://github.com/citation-style-language/schema/raw/master/csl-citation.json"} </w:instrText>
      </w:r>
      <w:r w:rsidR="008107CE" w:rsidRPr="006B6117">
        <w:fldChar w:fldCharType="separate"/>
      </w:r>
      <w:r w:rsidR="008107CE" w:rsidRPr="006B6117">
        <w:rPr>
          <w:noProof/>
        </w:rPr>
        <w:t>(Council of the European Union, 2019)</w:t>
      </w:r>
      <w:r w:rsidR="008107CE" w:rsidRPr="006B6117">
        <w:fldChar w:fldCharType="end"/>
      </w:r>
      <w:r w:rsidR="008107CE" w:rsidRPr="006B6117">
        <w:t xml:space="preserve">. </w:t>
      </w:r>
      <w:r w:rsidR="008107CE">
        <w:t xml:space="preserve">EUSDR supports EU integration </w:t>
      </w:r>
      <w:r w:rsidR="008107CE" w:rsidRPr="006B6117">
        <w:t>and contribute</w:t>
      </w:r>
      <w:r w:rsidR="008107CE">
        <w:t>s</w:t>
      </w:r>
      <w:r w:rsidR="008107CE" w:rsidRPr="006B6117">
        <w:t xml:space="preserve"> to EU enlargement </w:t>
      </w:r>
      <w:r w:rsidR="008107CE">
        <w:t>as it</w:t>
      </w:r>
      <w:r w:rsidR="008107CE" w:rsidRPr="006B6117">
        <w:t xml:space="preserve"> include</w:t>
      </w:r>
      <w:r w:rsidR="008107CE">
        <w:t>s both EU and</w:t>
      </w:r>
      <w:r w:rsidR="008107CE" w:rsidRPr="006B6117">
        <w:t xml:space="preserve"> non-EU members</w:t>
      </w:r>
      <w:r w:rsidR="008107CE">
        <w:t>, with</w:t>
      </w:r>
      <w:r w:rsidR="008107CE" w:rsidRPr="006B6117">
        <w:t xml:space="preserve"> enlargement countries participat</w:t>
      </w:r>
      <w:r w:rsidR="008107CE">
        <w:t>ing</w:t>
      </w:r>
      <w:r w:rsidR="008107CE" w:rsidRPr="006B6117">
        <w:t xml:space="preserve"> on</w:t>
      </w:r>
      <w:r w:rsidR="008107CE">
        <w:t xml:space="preserve"> an</w:t>
      </w:r>
      <w:r w:rsidR="008107CE" w:rsidRPr="006B6117">
        <w:t xml:space="preserve"> equal footing</w:t>
      </w:r>
      <w:r w:rsidR="008107CE">
        <w:t xml:space="preserve">. </w:t>
      </w:r>
      <w:r w:rsidR="008107CE" w:rsidRPr="006B6117">
        <w:t>Non-EU countries gain recognition through coordinating with other organisation, countries</w:t>
      </w:r>
      <w:r w:rsidR="008107CE">
        <w:t xml:space="preserve"> and</w:t>
      </w:r>
      <w:r w:rsidR="008107CE" w:rsidRPr="006B6117">
        <w:t xml:space="preserve"> initiatives</w:t>
      </w:r>
      <w:r w:rsidR="008107CE">
        <w:t>. They</w:t>
      </w:r>
      <w:r w:rsidR="008107CE" w:rsidRPr="006B6117">
        <w:t xml:space="preserve"> can capitalise on cooperation and projects </w:t>
      </w:r>
      <w:r w:rsidR="008107CE">
        <w:t>to</w:t>
      </w:r>
      <w:r w:rsidR="008107CE" w:rsidRPr="006B6117">
        <w:t xml:space="preserve"> improve their capacity. Such approach</w:t>
      </w:r>
      <w:r w:rsidR="008107CE">
        <w:t>es</w:t>
      </w:r>
      <w:r w:rsidR="008107CE" w:rsidRPr="006B6117">
        <w:t xml:space="preserve"> shall further be enhanced in future </w:t>
      </w:r>
      <w:r w:rsidR="008107CE" w:rsidRPr="006B6117">
        <w:fldChar w:fldCharType="begin"/>
      </w:r>
      <w:r w:rsidR="00DC4537">
        <w:instrText xml:space="preserve"> ADDIN ZOTERO_ITEM CSL_CITATION {"citationID":"zn3wIrBg","properties":{"formattedCitation":"(Council of the European Union, 2019)","plainCitation":"(Council of the European Union, 2019)","noteIndex":0},"citationItems":[{"id":4711,"uris":["http://zotero.org/groups/21774/items/XW2KCJJ6"],"itemData":{"id":4711,"type":"document","title":"Council conclusions on the implementation of EU Macro-regional Strategies","author":[{"family":"Council of the European Union","given":""}],"issued":{"date-parts":[["2019",5,10]]}}}],"schema":"https://github.com/citation-style-language/schema/raw/master/csl-citation.json"} </w:instrText>
      </w:r>
      <w:r w:rsidR="008107CE" w:rsidRPr="006B6117">
        <w:fldChar w:fldCharType="separate"/>
      </w:r>
      <w:r w:rsidR="008107CE" w:rsidRPr="006B6117">
        <w:rPr>
          <w:noProof/>
        </w:rPr>
        <w:t>(Council of the European Union, 2019)</w:t>
      </w:r>
      <w:r w:rsidR="008107CE" w:rsidRPr="006B6117">
        <w:fldChar w:fldCharType="end"/>
      </w:r>
      <w:r w:rsidR="008107CE" w:rsidRPr="006B6117">
        <w:t>.</w:t>
      </w:r>
    </w:p>
    <w:p w14:paraId="6BC3759E" w14:textId="41316B14" w:rsidR="00DB6746" w:rsidRPr="006B6117" w:rsidRDefault="00D84503" w:rsidP="00DB6746">
      <w:r w:rsidRPr="00702488">
        <w:rPr>
          <w:b/>
          <w:bCs/>
        </w:rPr>
        <w:t>Challenges still remain</w:t>
      </w:r>
      <w:r w:rsidRPr="00702488">
        <w:t xml:space="preserve">. </w:t>
      </w:r>
      <w:r w:rsidR="00DB6746" w:rsidRPr="006B6117">
        <w:t xml:space="preserve">Despite the progress and increased cooperation that contribute to territorial development, further cooperation potential </w:t>
      </w:r>
      <w:r w:rsidR="00DB6746">
        <w:t>and</w:t>
      </w:r>
      <w:r w:rsidR="00DB6746" w:rsidRPr="006B6117">
        <w:t xml:space="preserve"> challenges exist. These mainly regard existing divides, particularly between the EU and non-EU member states and East and West, as well as the persistent importance of borders in the two macro-regions. Governance plays a key role in enabling the cooperation environment and opening</w:t>
      </w:r>
      <w:r w:rsidR="00DB6746">
        <w:t>s</w:t>
      </w:r>
      <w:r w:rsidR="00DB6746" w:rsidRPr="006B6117">
        <w:t xml:space="preserve"> to new opportunities. In addition, civil society has </w:t>
      </w:r>
      <w:r w:rsidR="00DB6746">
        <w:t>become more involved</w:t>
      </w:r>
      <w:r w:rsidR="00DB6746" w:rsidRPr="006B6117">
        <w:t xml:space="preserve"> over time, it shall be further encouraged </w:t>
      </w:r>
      <w:r w:rsidR="00DB6746" w:rsidRPr="006B6117">
        <w:fldChar w:fldCharType="begin"/>
      </w:r>
      <w:r w:rsidR="00DC4537">
        <w:instrText xml:space="preserve"> ADDIN ZOTERO_ITEM CSL_CITATION {"citationID":"RQHrUQTO","properties":{"formattedCitation":"(European Commission, 2020g)","plainCitation":"(European Commission, 2020g)","noteIndex":0},"citationItems":[{"id":4878,"uris":["http://zotero.org/groups/21774/items/5L24W97K"],"itemData":{"id":4878,"type":"report","genre":"COM(2020) 578 final","title":"Report from the Commission to the European Parliament, the Council, the European Economic and Social Committee and the Committee of the Regions on the implementation of EU macro-regional strategies. {SWD(2020) 186 final}","author":[{"family":"European Commission","given":""}],"issued":{"date-parts":[["2020",9,23]]}}}],"schema":"https://github.com/citation-style-language/schema/raw/master/csl-citation.json"} </w:instrText>
      </w:r>
      <w:r w:rsidR="00DB6746" w:rsidRPr="006B6117">
        <w:fldChar w:fldCharType="separate"/>
      </w:r>
      <w:r w:rsidR="00DC4537">
        <w:rPr>
          <w:noProof/>
        </w:rPr>
        <w:t>(European Commission, 2020g)</w:t>
      </w:r>
      <w:r w:rsidR="00DB6746" w:rsidRPr="006B6117">
        <w:fldChar w:fldCharType="end"/>
      </w:r>
      <w:r w:rsidR="00DB6746" w:rsidRPr="006B6117">
        <w:t xml:space="preserve">. </w:t>
      </w:r>
      <w:r w:rsidR="00DB6746">
        <w:t>The co-creation process of the project has identified the following points, which played</w:t>
      </w:r>
      <w:r w:rsidR="00DB6746" w:rsidRPr="006B6117">
        <w:t xml:space="preserve"> a key role in </w:t>
      </w:r>
      <w:r w:rsidR="00DB6746">
        <w:t xml:space="preserve">developing the </w:t>
      </w:r>
      <w:r w:rsidR="00DB6746" w:rsidRPr="006B6117">
        <w:t>scenario</w:t>
      </w:r>
      <w:r w:rsidR="00DB6746">
        <w:t xml:space="preserve">s: </w:t>
      </w:r>
    </w:p>
    <w:p w14:paraId="44842ADB" w14:textId="77777777" w:rsidR="00DB6746" w:rsidRPr="006B6117" w:rsidRDefault="00DB6746" w:rsidP="00DB6746">
      <w:pPr>
        <w:pStyle w:val="ListParagraph"/>
        <w:numPr>
          <w:ilvl w:val="0"/>
          <w:numId w:val="16"/>
        </w:numPr>
        <w:spacing w:before="0"/>
      </w:pPr>
      <w:r w:rsidRPr="006B6117">
        <w:t>The development and extent of EU integration and EU enlargement are important for both macro-regions. Macro-regional strategies play a major role in contributing to further EU integration and facilitat</w:t>
      </w:r>
      <w:r>
        <w:t>ing</w:t>
      </w:r>
      <w:r w:rsidRPr="006B6117">
        <w:t xml:space="preserve"> cooperation between EU member states and </w:t>
      </w:r>
      <w:r>
        <w:t>other countries</w:t>
      </w:r>
      <w:r w:rsidRPr="006B6117">
        <w:t xml:space="preserve">, specifically to help </w:t>
      </w:r>
      <w:r>
        <w:t>them</w:t>
      </w:r>
      <w:r w:rsidRPr="006B6117">
        <w:t xml:space="preserve"> access EU Membership. The influence of external powers puts a new dimension to the EU enlargement process, as well as continu</w:t>
      </w:r>
      <w:r>
        <w:t>ed</w:t>
      </w:r>
      <w:r w:rsidRPr="006B6117">
        <w:t xml:space="preserve"> integration </w:t>
      </w:r>
      <w:r>
        <w:t>of</w:t>
      </w:r>
      <w:r w:rsidRPr="006B6117">
        <w:t xml:space="preserve"> existing member states. The outcome of the integration process is </w:t>
      </w:r>
      <w:r>
        <w:t>very</w:t>
      </w:r>
      <w:r w:rsidRPr="006B6117">
        <w:t xml:space="preserve"> relevan</w:t>
      </w:r>
      <w:r>
        <w:t>t</w:t>
      </w:r>
      <w:r w:rsidRPr="006B6117">
        <w:t xml:space="preserve"> for development. In that respect, stronger links and cooperation is key </w:t>
      </w:r>
      <w:r>
        <w:t>to</w:t>
      </w:r>
      <w:r w:rsidRPr="006B6117">
        <w:t xml:space="preserve"> territorial development. </w:t>
      </w:r>
    </w:p>
    <w:p w14:paraId="1D6CE229" w14:textId="77777777" w:rsidR="00DB6746" w:rsidRPr="006B6117" w:rsidRDefault="00DB6746" w:rsidP="00DB6746">
      <w:pPr>
        <w:pStyle w:val="ListParagraph"/>
        <w:numPr>
          <w:ilvl w:val="0"/>
          <w:numId w:val="16"/>
        </w:numPr>
        <w:spacing w:before="0"/>
      </w:pPr>
      <w:r w:rsidRPr="006B6117">
        <w:t xml:space="preserve">Sustainable development is another important element for both macro-regions. </w:t>
      </w:r>
      <w:r>
        <w:t>While</w:t>
      </w:r>
      <w:r w:rsidRPr="006B6117">
        <w:t xml:space="preserve"> already in action plans, more actions are necessary </w:t>
      </w:r>
      <w:r>
        <w:t>to address</w:t>
      </w:r>
      <w:r w:rsidRPr="006B6117">
        <w:t xml:space="preserve"> climate change challenges. </w:t>
      </w:r>
    </w:p>
    <w:p w14:paraId="752D071F" w14:textId="77777777" w:rsidR="00DB6746" w:rsidRPr="006B6117" w:rsidRDefault="00DB6746" w:rsidP="00DB6746">
      <w:pPr>
        <w:pStyle w:val="ListParagraph"/>
        <w:numPr>
          <w:ilvl w:val="0"/>
          <w:numId w:val="16"/>
        </w:numPr>
        <w:spacing w:before="0"/>
      </w:pPr>
      <w:r>
        <w:t>D</w:t>
      </w:r>
      <w:r w:rsidRPr="006B6117">
        <w:t xml:space="preserve">igitalisation is of utmost importance for the Danube macro-region. Challenges persist </w:t>
      </w:r>
      <w:r>
        <w:t>for</w:t>
      </w:r>
      <w:r w:rsidRPr="006B6117">
        <w:t xml:space="preserve"> digital accessibility and business digitalisation, however, </w:t>
      </w:r>
      <w:r>
        <w:t>this</w:t>
      </w:r>
      <w:r w:rsidRPr="006B6117">
        <w:t xml:space="preserve"> is a future opportunity for territorial development of the macro-region. Coordinated actions on cyber-security and improve</w:t>
      </w:r>
      <w:r>
        <w:t>d</w:t>
      </w:r>
      <w:r w:rsidRPr="006B6117">
        <w:t xml:space="preserve"> connectivity needs to be taken into account. Digitalisation </w:t>
      </w:r>
      <w:r>
        <w:t>to</w:t>
      </w:r>
      <w:r w:rsidRPr="006B6117">
        <w:t xml:space="preserve"> support sustainable development is another important factor for the region.</w:t>
      </w:r>
    </w:p>
    <w:p w14:paraId="07209042" w14:textId="77777777" w:rsidR="00DB6746" w:rsidRPr="006B6117" w:rsidRDefault="00DB6746" w:rsidP="00DB6746">
      <w:pPr>
        <w:pStyle w:val="ListParagraph"/>
        <w:numPr>
          <w:ilvl w:val="0"/>
          <w:numId w:val="16"/>
        </w:numPr>
        <w:spacing w:before="0"/>
      </w:pPr>
      <w:r w:rsidRPr="006B6117">
        <w:t xml:space="preserve">The valorisation of cultural heritage and cultural diversity in both macro-regions is an important topic and is incorporated in the priorities and objectives of the two macro-regional strategies. Both macro-regions are </w:t>
      </w:r>
      <w:r>
        <w:t>very</w:t>
      </w:r>
      <w:r w:rsidRPr="006B6117">
        <w:t xml:space="preserve"> multicultural and sustainable tourism and natural heritage actions can contribute to a higher quality of life. This cultural diversity can be an asset for local and regional development, as well as a challenge to integration at the same time.</w:t>
      </w:r>
    </w:p>
    <w:p w14:paraId="074AD77F" w14:textId="77777777" w:rsidR="00DB6746" w:rsidRPr="006B6117" w:rsidRDefault="00DB6746" w:rsidP="00DB6746">
      <w:pPr>
        <w:pStyle w:val="ListParagraph"/>
        <w:numPr>
          <w:ilvl w:val="0"/>
          <w:numId w:val="16"/>
        </w:numPr>
        <w:spacing w:before="0"/>
        <w:ind w:left="714" w:hanging="357"/>
      </w:pPr>
      <w:r w:rsidRPr="006B6117">
        <w:t>The</w:t>
      </w:r>
      <w:r>
        <w:t>re are still</w:t>
      </w:r>
      <w:r w:rsidRPr="006B6117">
        <w:t xml:space="preserve"> physical and mental borders in both areas, hampering further integration. Together with external influence and cross-border obstacles, more cooperation need to be considered. </w:t>
      </w:r>
    </w:p>
    <w:p w14:paraId="1061E5E0" w14:textId="5D39DA5B" w:rsidR="00D84503" w:rsidRPr="00702488" w:rsidRDefault="00D84503" w:rsidP="00DB6746"/>
    <w:p w14:paraId="16BC8597" w14:textId="77777777" w:rsidR="00D84503" w:rsidRPr="00702488" w:rsidRDefault="00D84503" w:rsidP="00D84503">
      <w:pPr>
        <w:spacing w:before="0"/>
        <w:jc w:val="left"/>
      </w:pPr>
      <w:r w:rsidRPr="00702488">
        <w:br w:type="page"/>
      </w:r>
    </w:p>
    <w:p w14:paraId="0A43749E" w14:textId="6E0AB09A" w:rsidR="00EB13A1" w:rsidRPr="00702488" w:rsidRDefault="008308D0" w:rsidP="00646167">
      <w:pPr>
        <w:pStyle w:val="Heading1"/>
      </w:pPr>
      <w:bookmarkStart w:id="10" w:name="_Toc100584661"/>
      <w:r w:rsidRPr="00702488">
        <w:t xml:space="preserve">EUSDR </w:t>
      </w:r>
      <w:r w:rsidR="00736A04">
        <w:t>b</w:t>
      </w:r>
      <w:r w:rsidR="00EB13A1" w:rsidRPr="00702488">
        <w:t>aseline scenario</w:t>
      </w:r>
      <w:bookmarkEnd w:id="10"/>
    </w:p>
    <w:p w14:paraId="270C1E0C" w14:textId="01244DB4" w:rsidR="00813423" w:rsidRPr="0067643C" w:rsidRDefault="00813423" w:rsidP="00813423">
      <w:r w:rsidRPr="0067643C">
        <w:t xml:space="preserve">A territorial baseline scenario describes a </w:t>
      </w:r>
      <w:r w:rsidR="00363018">
        <w:t>‘business as usual’</w:t>
      </w:r>
      <w:r w:rsidRPr="0067643C">
        <w:t xml:space="preserve"> future for the Adriatic Ionian macro-region. The scenario builds on trends that </w:t>
      </w:r>
      <w:r>
        <w:t xml:space="preserve">will </w:t>
      </w:r>
      <w:r w:rsidRPr="0067643C">
        <w:t xml:space="preserve">most likely define territorial development in the </w:t>
      </w:r>
      <w:r w:rsidR="00363018">
        <w:t>Danube macro-region</w:t>
      </w:r>
      <w:r w:rsidRPr="0067643C">
        <w:t xml:space="preserve">. </w:t>
      </w:r>
      <w:r w:rsidR="00A161A2">
        <w:t xml:space="preserve">More information on the development of the baseline scenario can be found in Part I of the final report, as well as in Annex 2 of the Scientific Annexes of the final report. </w:t>
      </w:r>
    </w:p>
    <w:p w14:paraId="4DBA6BDC" w14:textId="77777777" w:rsidR="008B0066" w:rsidRDefault="00A161A2" w:rsidP="00813423">
      <w:r>
        <w:t>The following assumptions shape the baseline scenario</w:t>
      </w:r>
      <w:r w:rsidR="008B0066">
        <w:t>, as shown in the Figure below.</w:t>
      </w:r>
    </w:p>
    <w:p w14:paraId="4454A478" w14:textId="05955901" w:rsidR="008B0066" w:rsidRDefault="008B0066" w:rsidP="008B0066">
      <w:pPr>
        <w:pStyle w:val="Caption"/>
      </w:pPr>
      <w:bookmarkStart w:id="11" w:name="_Toc100584682"/>
      <w:r>
        <w:t xml:space="preserve">Figure </w:t>
      </w:r>
      <w:r>
        <w:fldChar w:fldCharType="begin"/>
      </w:r>
      <w:r>
        <w:instrText xml:space="preserve"> STYLEREF 1 \s </w:instrText>
      </w:r>
      <w:r>
        <w:fldChar w:fldCharType="separate"/>
      </w:r>
      <w:r w:rsidR="006839DA">
        <w:rPr>
          <w:noProof/>
        </w:rPr>
        <w:t>4</w:t>
      </w:r>
      <w:r>
        <w:fldChar w:fldCharType="end"/>
      </w:r>
      <w:r>
        <w:noBreakHyphen/>
      </w:r>
      <w:r>
        <w:fldChar w:fldCharType="begin"/>
      </w:r>
      <w:r>
        <w:instrText xml:space="preserve"> SEQ Figure \* ARABIC \s 1 </w:instrText>
      </w:r>
      <w:r>
        <w:fldChar w:fldCharType="separate"/>
      </w:r>
      <w:r w:rsidR="006839DA">
        <w:rPr>
          <w:noProof/>
        </w:rPr>
        <w:t>1</w:t>
      </w:r>
      <w:r>
        <w:fldChar w:fldCharType="end"/>
      </w:r>
      <w:r>
        <w:t xml:space="preserve"> EUSDR and EUSAIR baseline scenario assumptions</w:t>
      </w:r>
      <w:bookmarkEnd w:id="11"/>
    </w:p>
    <w:p w14:paraId="4E702BBC" w14:textId="66AA2B6E" w:rsidR="008B0066" w:rsidRPr="008B0066" w:rsidRDefault="00FD33BB" w:rsidP="008B0066">
      <w:r>
        <w:rPr>
          <w:noProof/>
        </w:rPr>
        <w:drawing>
          <wp:inline distT="0" distB="0" distL="0" distR="0" wp14:anchorId="295116E5" wp14:editId="5CD6AF2F">
            <wp:extent cx="4201705" cy="4150814"/>
            <wp:effectExtent l="0" t="0" r="2540" b="2540"/>
            <wp:docPr id="7" name="Picture 7"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funnel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15515" cy="4164457"/>
                    </a:xfrm>
                    <a:prstGeom prst="rect">
                      <a:avLst/>
                    </a:prstGeom>
                  </pic:spPr>
                </pic:pic>
              </a:graphicData>
            </a:graphic>
          </wp:inline>
        </w:drawing>
      </w:r>
    </w:p>
    <w:p w14:paraId="163BEEA7" w14:textId="36EC084C" w:rsidR="00813423" w:rsidRPr="000B5DA6" w:rsidRDefault="000B5DA6" w:rsidP="00813423">
      <w:pPr>
        <w:rPr>
          <w:sz w:val="16"/>
          <w:szCs w:val="16"/>
        </w:rPr>
      </w:pPr>
      <w:r w:rsidRPr="000B5DA6">
        <w:rPr>
          <w:sz w:val="16"/>
          <w:szCs w:val="16"/>
        </w:rPr>
        <w:t>Source: authors’ own</w:t>
      </w:r>
    </w:p>
    <w:p w14:paraId="143F47F9" w14:textId="348EC0F5" w:rsidR="00813423" w:rsidRPr="0067643C" w:rsidRDefault="00813423" w:rsidP="00813423">
      <w:pPr>
        <w:pStyle w:val="ListParagraph"/>
        <w:numPr>
          <w:ilvl w:val="0"/>
          <w:numId w:val="18"/>
        </w:numPr>
        <w:ind w:left="360"/>
      </w:pPr>
      <w:r w:rsidRPr="0067643C">
        <w:rPr>
          <w:b/>
          <w:bCs/>
        </w:rPr>
        <w:t>Territories are in transition to sustainable economies</w:t>
      </w:r>
      <w:r w:rsidRPr="0067643C">
        <w:t>. The trend analysis shows close relation</w:t>
      </w:r>
      <w:r>
        <w:t>ships</w:t>
      </w:r>
      <w:r w:rsidRPr="0067643C">
        <w:t xml:space="preserve"> between economic and environmental trends. Many economic trends are driving or hampering factors for environmental trends and vice-versa. Objectives for the European Green Deal have similar link</w:t>
      </w:r>
      <w:r>
        <w:t>s</w:t>
      </w:r>
      <w:r w:rsidRPr="0067643C">
        <w:t xml:space="preserve"> between environmental and economic aspects. The trend analysis however shows challenges to achiev</w:t>
      </w:r>
      <w:r>
        <w:t>ing</w:t>
      </w:r>
      <w:r w:rsidRPr="0067643C">
        <w:t xml:space="preserve"> objectives of the European Green Deal. Ongoing pollution for example </w:t>
      </w:r>
      <w:r>
        <w:t>affects</w:t>
      </w:r>
      <w:r w:rsidRPr="0067643C">
        <w:t xml:space="preserve"> fresh air, clean water, healthy soil and biodiversity. Also, the reliance on fossil fuel and importance of this industry for employment hampers cutting CO</w:t>
      </w:r>
      <w:r w:rsidRPr="0067643C">
        <w:rPr>
          <w:vertAlign w:val="subscript"/>
        </w:rPr>
        <w:t>2</w:t>
      </w:r>
      <w:r w:rsidRPr="0067643C">
        <w:t xml:space="preserve"> emissions. At the same time, the bioeconomy demands high quality resources and net-zero societies need 100% renewable energy production. By 2050, </w:t>
      </w:r>
      <w:r>
        <w:t xml:space="preserve">the </w:t>
      </w:r>
      <w:r w:rsidRPr="0067643C">
        <w:t>Danube and Adriatic Ionian regions are thus in transition to sustainable economies.</w:t>
      </w:r>
      <w:r w:rsidR="00E672CB">
        <w:t xml:space="preserve"> </w:t>
      </w:r>
      <w:r w:rsidR="00E672CB" w:rsidRPr="00702488">
        <w:t xml:space="preserve">The transition to sustainable economies starts slowly in the 2020s, </w:t>
      </w:r>
      <w:r w:rsidR="00E672CB">
        <w:t>and</w:t>
      </w:r>
      <w:r w:rsidR="00E672CB" w:rsidRPr="00702488">
        <w:t xml:space="preserve"> the green transition </w:t>
      </w:r>
      <w:r w:rsidR="00E672CB">
        <w:t>is</w:t>
      </w:r>
      <w:r w:rsidR="00E672CB" w:rsidRPr="00702488">
        <w:t xml:space="preserve"> not fully </w:t>
      </w:r>
      <w:r w:rsidR="00E672CB">
        <w:t xml:space="preserve">implemented </w:t>
      </w:r>
      <w:r w:rsidR="00E672CB" w:rsidRPr="00702488">
        <w:t>by 2050</w:t>
      </w:r>
      <w:r w:rsidR="000B5DA6">
        <w:t xml:space="preserve"> (Figure 4-1)</w:t>
      </w:r>
      <w:r w:rsidR="00E672CB" w:rsidRPr="00702488">
        <w:t>.</w:t>
      </w:r>
    </w:p>
    <w:p w14:paraId="5AB8E3FC" w14:textId="47D75E53" w:rsidR="00813423" w:rsidRPr="0067643C" w:rsidRDefault="00813423" w:rsidP="00813423">
      <w:pPr>
        <w:pStyle w:val="ListParagraph"/>
        <w:numPr>
          <w:ilvl w:val="0"/>
          <w:numId w:val="18"/>
        </w:numPr>
        <w:ind w:left="360"/>
      </w:pPr>
      <w:r w:rsidRPr="0067643C">
        <w:rPr>
          <w:b/>
          <w:bCs/>
        </w:rPr>
        <w:t xml:space="preserve">Dealing with depopulation. </w:t>
      </w:r>
      <w:r w:rsidRPr="0067643C">
        <w:t xml:space="preserve">Societal trends highlight </w:t>
      </w:r>
      <w:r>
        <w:t xml:space="preserve">a </w:t>
      </w:r>
      <w:r w:rsidRPr="0067643C">
        <w:t xml:space="preserve">continuation of existing ageing and migration tendencies in the Danube and Adriatic Ionian macro-regions. Ageing is mainly driven by natural forces and economic prosperity as well as by </w:t>
      </w:r>
      <w:r>
        <w:t xml:space="preserve">a </w:t>
      </w:r>
      <w:r w:rsidRPr="0067643C">
        <w:t xml:space="preserve">brain drain. Migration is driven by economic opportunities elsewhere, predominantly in capital cities or beyond the two macro-regions. Economic trends, such as </w:t>
      </w:r>
      <w:r>
        <w:t xml:space="preserve">the </w:t>
      </w:r>
      <w:r w:rsidRPr="0067643C">
        <w:t xml:space="preserve">local economy or bioeconomy, as well as technological trends, such as digitalisation, provide opportunities for rural places to deal with depopulation. However, these trends remain </w:t>
      </w:r>
      <w:r>
        <w:t>incomplete</w:t>
      </w:r>
      <w:r w:rsidRPr="0067643C">
        <w:t xml:space="preserve"> by 2050 and thus </w:t>
      </w:r>
      <w:r>
        <w:t>cannot</w:t>
      </w:r>
      <w:r w:rsidRPr="0067643C">
        <w:t xml:space="preserve"> full</w:t>
      </w:r>
      <w:r>
        <w:t>y address</w:t>
      </w:r>
      <w:r w:rsidRPr="0067643C">
        <w:t xml:space="preserve"> the negative effects of migration and ageing. As a result, societal trends accelerate depopulation by 2050.</w:t>
      </w:r>
      <w:r w:rsidR="0093456F">
        <w:t xml:space="preserve"> D</w:t>
      </w:r>
      <w:r w:rsidR="0093456F" w:rsidRPr="00702488">
        <w:t xml:space="preserve">epopulation seems to be </w:t>
      </w:r>
      <w:r w:rsidR="0093456F">
        <w:t xml:space="preserve">a </w:t>
      </w:r>
      <w:r w:rsidR="0093456F" w:rsidRPr="00702488">
        <w:t>continu</w:t>
      </w:r>
      <w:r w:rsidR="0093456F">
        <w:t>ing</w:t>
      </w:r>
      <w:r w:rsidR="0093456F" w:rsidRPr="00DC57A6">
        <w:t xml:space="preserve"> </w:t>
      </w:r>
      <w:r w:rsidR="0093456F" w:rsidRPr="00702488">
        <w:t xml:space="preserve">challenge </w:t>
      </w:r>
      <w:r w:rsidR="0093456F" w:rsidRPr="00702488">
        <w:rPr>
          <w:rFonts w:cs="Arial"/>
        </w:rPr>
        <w:t>highlighting that ageing and outmigration lead to even more uneven development</w:t>
      </w:r>
      <w:r w:rsidR="000B5DA6">
        <w:rPr>
          <w:rFonts w:cs="Arial"/>
        </w:rPr>
        <w:t xml:space="preserve"> </w:t>
      </w:r>
      <w:r w:rsidR="000B5DA6">
        <w:t>(Figure 4-1)</w:t>
      </w:r>
      <w:r w:rsidR="0093456F" w:rsidRPr="00702488">
        <w:rPr>
          <w:rFonts w:cs="Arial"/>
        </w:rPr>
        <w:t>.</w:t>
      </w:r>
    </w:p>
    <w:p w14:paraId="020F3429" w14:textId="40580231" w:rsidR="00813423" w:rsidRPr="0067643C" w:rsidRDefault="00813423" w:rsidP="00813423">
      <w:pPr>
        <w:pStyle w:val="ListParagraph"/>
        <w:numPr>
          <w:ilvl w:val="0"/>
          <w:numId w:val="18"/>
        </w:numPr>
        <w:ind w:left="360"/>
      </w:pPr>
      <w:r w:rsidRPr="0067643C">
        <w:rPr>
          <w:b/>
          <w:bCs/>
        </w:rPr>
        <w:t>A digital divide</w:t>
      </w:r>
      <w:r w:rsidRPr="0067643C">
        <w:t xml:space="preserve">. The trend analysis highlights the uncertainty of technological trends and their possible regional applicability in societies </w:t>
      </w:r>
      <w:r>
        <w:t>up to</w:t>
      </w:r>
      <w:r w:rsidRPr="0067643C">
        <w:t xml:space="preserve"> 2050. Technological breakthroughs advance transitions to sustainable economies, making production and consumption more resource efficient</w:t>
      </w:r>
      <w:r w:rsidR="005B2EE2">
        <w:t>.</w:t>
      </w:r>
      <w:r w:rsidRPr="0067643C">
        <w:t xml:space="preserve"> As such more investments in skills and infrastructure are likely. In these places, technological advancements are part of a positive feedback loop. At the same time, a lack of infrastructure, skilled labour, and cautious attitudes to digital solutions and robotisation slow the adoption of technological breakthroughs in societies. This applies particularly to depopulated areas  As a result, the macro-regions </w:t>
      </w:r>
      <w:r>
        <w:t>have</w:t>
      </w:r>
      <w:r w:rsidRPr="0067643C">
        <w:t xml:space="preserve"> a digital divide by 2050</w:t>
      </w:r>
      <w:r>
        <w:t>, where a</w:t>
      </w:r>
      <w:r w:rsidRPr="0067643C">
        <w:t xml:space="preserve"> few places reap </w:t>
      </w:r>
      <w:r>
        <w:t xml:space="preserve">the </w:t>
      </w:r>
      <w:r w:rsidRPr="0067643C">
        <w:t>benefits of technological breakthroughs due to adequate infrastructure and a well</w:t>
      </w:r>
      <w:r>
        <w:t>-</w:t>
      </w:r>
      <w:r w:rsidRPr="0067643C">
        <w:t>trained labour force.</w:t>
      </w:r>
      <w:r w:rsidR="005B2EE2" w:rsidRPr="005B2EE2">
        <w:rPr>
          <w:rFonts w:cs="Arial"/>
        </w:rPr>
        <w:t xml:space="preserve"> </w:t>
      </w:r>
      <w:r w:rsidR="005B2EE2" w:rsidRPr="00702488">
        <w:rPr>
          <w:rFonts w:cs="Arial"/>
        </w:rPr>
        <w:t xml:space="preserve">The picture improves slightly after the 2030s, with policies driving digital transformation </w:t>
      </w:r>
      <w:r w:rsidR="005B2EE2">
        <w:rPr>
          <w:rFonts w:cs="Arial"/>
        </w:rPr>
        <w:t>in</w:t>
      </w:r>
      <w:r w:rsidR="005B2EE2" w:rsidRPr="00702488">
        <w:rPr>
          <w:rFonts w:cs="Arial"/>
        </w:rPr>
        <w:t xml:space="preserve"> the regions, but inequalities remain, though to a lesser extent</w:t>
      </w:r>
      <w:r w:rsidR="000B5DA6">
        <w:rPr>
          <w:rFonts w:cs="Arial"/>
        </w:rPr>
        <w:t xml:space="preserve"> </w:t>
      </w:r>
      <w:r w:rsidR="000B5DA6">
        <w:t>(Figure 4-1)</w:t>
      </w:r>
      <w:r w:rsidR="005B2EE2" w:rsidRPr="00702488">
        <w:rPr>
          <w:rFonts w:cs="Arial"/>
        </w:rPr>
        <w:t>.</w:t>
      </w:r>
    </w:p>
    <w:p w14:paraId="1C50B4CE" w14:textId="6FB348F6" w:rsidR="00813423" w:rsidRPr="0067643C" w:rsidRDefault="00813423" w:rsidP="00813423">
      <w:pPr>
        <w:pStyle w:val="ListParagraph"/>
        <w:numPr>
          <w:ilvl w:val="0"/>
          <w:numId w:val="18"/>
        </w:numPr>
        <w:ind w:left="360"/>
      </w:pPr>
      <w:r w:rsidRPr="0067643C">
        <w:rPr>
          <w:b/>
          <w:bCs/>
        </w:rPr>
        <w:t>EU integration under development.</w:t>
      </w:r>
      <w:r w:rsidRPr="0067643C">
        <w:t xml:space="preserve"> Economic advancement as well as increasing interconnectedness and territorial cooperation facilitate European integration in the Danube and Adriatic Ionian macro-regions. This implies the accession of countries to the European Free Trade </w:t>
      </w:r>
      <w:r>
        <w:t>A</w:t>
      </w:r>
      <w:r w:rsidRPr="0067643C">
        <w:t xml:space="preserve">rea, </w:t>
      </w:r>
      <w:r>
        <w:t xml:space="preserve">the </w:t>
      </w:r>
      <w:r w:rsidRPr="0067643C">
        <w:t xml:space="preserve">EU, Schengen Area and Eurozone. The level of integration is however very different </w:t>
      </w:r>
      <w:r>
        <w:t>for each</w:t>
      </w:r>
      <w:r w:rsidRPr="0067643C">
        <w:t xml:space="preserve"> country due to volatile hampering factors. For example, building institutional capacit</w:t>
      </w:r>
      <w:r>
        <w:t>y</w:t>
      </w:r>
      <w:r w:rsidRPr="0067643C">
        <w:t xml:space="preserve"> and diffusing powers to lower administrative levels or to non-state actors is a bumpy road. Such aspects require long-term approaches but are often interrupted by political, economic and societal changes. As a result, EU integration </w:t>
      </w:r>
      <w:r>
        <w:t>continues to</w:t>
      </w:r>
      <w:r w:rsidRPr="0067643C">
        <w:t xml:space="preserve"> develop </w:t>
      </w:r>
      <w:r>
        <w:t>in</w:t>
      </w:r>
      <w:r w:rsidRPr="0067643C">
        <w:t xml:space="preserve"> 2050.</w:t>
      </w:r>
      <w:r w:rsidR="00C34B7C">
        <w:t xml:space="preserve"> </w:t>
      </w:r>
      <w:r w:rsidR="00C34B7C" w:rsidRPr="00702488">
        <w:t xml:space="preserve">This is a path that changes over the years, with ups and downs, with countries being in favour of EU integration or not, also largely influenced by external factors and pressure from external forces, beyond </w:t>
      </w:r>
      <w:r w:rsidR="00C34B7C">
        <w:t xml:space="preserve">the </w:t>
      </w:r>
      <w:r w:rsidR="00C34B7C" w:rsidRPr="00702488">
        <w:t>EU</w:t>
      </w:r>
      <w:r w:rsidR="000B5DA6">
        <w:t xml:space="preserve"> (Figure 4-1)</w:t>
      </w:r>
      <w:r w:rsidR="00C34B7C" w:rsidRPr="00702488">
        <w:t>.</w:t>
      </w:r>
    </w:p>
    <w:p w14:paraId="0CAF718B" w14:textId="39E3B012" w:rsidR="008308D0" w:rsidRPr="00702488" w:rsidRDefault="00813423" w:rsidP="00813423">
      <w:r w:rsidRPr="0067643C">
        <w:t xml:space="preserve">Territorial consequences as well as different topics, as formulated in the Terms of Reference, differentiate the narratives of the baseline scenario. The narrative </w:t>
      </w:r>
      <w:r w:rsidR="00200176">
        <w:t>is</w:t>
      </w:r>
      <w:r w:rsidRPr="0067643C">
        <w:t xml:space="preserve"> accompanied by a creative alternative map, depicting key features of possib</w:t>
      </w:r>
      <w:r>
        <w:t>ilities</w:t>
      </w:r>
      <w:r w:rsidRPr="0067643C">
        <w:t xml:space="preserve"> </w:t>
      </w:r>
      <w:r>
        <w:t>for</w:t>
      </w:r>
      <w:r w:rsidRPr="0067643C">
        <w:t xml:space="preserve"> 2050. </w:t>
      </w:r>
    </w:p>
    <w:p w14:paraId="3AF30D80" w14:textId="77777777" w:rsidR="008308D0" w:rsidRPr="00702488" w:rsidRDefault="008308D0" w:rsidP="008308D0">
      <w:pPr>
        <w:pStyle w:val="Heading2"/>
      </w:pPr>
      <w:bookmarkStart w:id="12" w:name="_Toc80181264"/>
      <w:bookmarkStart w:id="13" w:name="_Toc87347233"/>
      <w:bookmarkStart w:id="14" w:name="_Toc100584662"/>
      <w:r w:rsidRPr="00702488">
        <w:t>The Danube macro-region by 2050</w:t>
      </w:r>
      <w:bookmarkEnd w:id="12"/>
      <w:bookmarkEnd w:id="13"/>
      <w:bookmarkEnd w:id="14"/>
    </w:p>
    <w:p w14:paraId="7D5FF1EC" w14:textId="77777777" w:rsidR="006D2BE7" w:rsidRPr="0067643C" w:rsidRDefault="006D2BE7" w:rsidP="006D2BE7">
      <w:r w:rsidRPr="0067643C">
        <w:t xml:space="preserve">Territorial characteristics are key to determining possible futures for the Danube macro-region in 2050. In particular driving and hampering factors (Chapter 3) play out differently by territorial type, such as landscape, settlement patterns, population characteristics or economic profile. Key territorial characteristics </w:t>
      </w:r>
      <w:r>
        <w:t>were</w:t>
      </w:r>
      <w:r w:rsidRPr="0067643C">
        <w:t xml:space="preserve"> discussed during a Steering Committee meeting in July 2021. Applying such features to the baseline assumptions outlined above and considering the three focus topics - sustainable development and climate change, migration and demographic change,</w:t>
      </w:r>
      <w:r>
        <w:t xml:space="preserve"> as well as</w:t>
      </w:r>
      <w:r w:rsidRPr="0067643C">
        <w:t xml:space="preserve"> digitalisation - provide a possible territorial future for the macro-region in 2050. </w:t>
      </w:r>
    </w:p>
    <w:p w14:paraId="64D0DEF2" w14:textId="77777777" w:rsidR="006D2BE7" w:rsidRPr="0067643C" w:rsidRDefault="006D2BE7" w:rsidP="006D2BE7">
      <w:r w:rsidRPr="0067643C">
        <w:t>In short, the Danube macro-region is polarised by 2050. The</w:t>
      </w:r>
      <w:r>
        <w:t>re are</w:t>
      </w:r>
      <w:r w:rsidRPr="0067643C">
        <w:t xml:space="preserve"> places that adapted early to climate change, transformed their economy and society, and </w:t>
      </w:r>
      <w:r>
        <w:t xml:space="preserve">which </w:t>
      </w:r>
      <w:r w:rsidRPr="0067643C">
        <w:t>reap the benefits of digitalisation. At the same time, diverse factors hinder</w:t>
      </w:r>
      <w:r>
        <w:t>ed</w:t>
      </w:r>
      <w:r w:rsidRPr="0067643C">
        <w:t xml:space="preserve"> many territories to </w:t>
      </w:r>
      <w:r>
        <w:t>realise</w:t>
      </w:r>
      <w:r w:rsidRPr="0067643C">
        <w:t xml:space="preserve"> their full potential. An incomplete transition to </w:t>
      </w:r>
      <w:r>
        <w:t xml:space="preserve">the </w:t>
      </w:r>
      <w:r w:rsidRPr="0067643C">
        <w:t>sustainable economy, depopulation, a digital divide and</w:t>
      </w:r>
      <w:r>
        <w:t xml:space="preserve"> incomplete</w:t>
      </w:r>
      <w:r w:rsidRPr="0067643C">
        <w:t xml:space="preserve"> EU integration result in great disparities in the macro-region by 2050. </w:t>
      </w:r>
    </w:p>
    <w:p w14:paraId="01A128F4" w14:textId="4BB38CA2" w:rsidR="008308D0" w:rsidRPr="00702488" w:rsidRDefault="006D2BE7" w:rsidP="008308D0">
      <w:pPr>
        <w:spacing w:after="120"/>
      </w:pPr>
      <w:r w:rsidRPr="0067643C">
        <w:t>Natural, tourism, agricultural and industrial areas are among th</w:t>
      </w:r>
      <w:r>
        <w:t>os</w:t>
      </w:r>
      <w:r w:rsidRPr="0067643C">
        <w:t xml:space="preserve">e most negatively impacted in the baseline scenario (Map 4.1). Applying the assumptions introduced above shows that natural areas are challenged by biodiversity loss and </w:t>
      </w:r>
      <w:r>
        <w:t xml:space="preserve">an </w:t>
      </w:r>
      <w:r w:rsidRPr="0067643C">
        <w:t>increas</w:t>
      </w:r>
      <w:r>
        <w:t>ed</w:t>
      </w:r>
      <w:r w:rsidRPr="0067643C">
        <w:t xml:space="preserve"> need for space for clean energy. Tourism areas are challenged by reduced travel opportunities and attractiveness as </w:t>
      </w:r>
      <w:r>
        <w:t xml:space="preserve">a </w:t>
      </w:r>
      <w:r w:rsidRPr="0067643C">
        <w:t>result of lower environmental qualit</w:t>
      </w:r>
      <w:r>
        <w:t>y</w:t>
      </w:r>
      <w:r w:rsidRPr="0067643C">
        <w:t>. Agricultural areas are challenged by biodiversity loss and an increasing need for space for clean energy. Industrial areas, mostly in EU countries, are challenged by energy issues and access to clean transportation corridors. Moreover, population dynamics reinforce these challenges in several territories. In particular territories with low levels of service provision (Map 4.1) risk enter</w:t>
      </w:r>
      <w:r>
        <w:t>ing</w:t>
      </w:r>
      <w:r w:rsidRPr="0067643C">
        <w:t xml:space="preserve"> a vicious circle of development. Only territories that adopt clean technologies and reap the benefits from digitalisation early on, including technological newcomers</w:t>
      </w:r>
      <w:r>
        <w:t>,</w:t>
      </w:r>
      <w:r w:rsidRPr="0067643C">
        <w:t xml:space="preserve"> will thrive in this scenario. The following paragraphs detail territorial consequences of the baseline scenario.</w:t>
      </w:r>
    </w:p>
    <w:p w14:paraId="1EACD5DC" w14:textId="07A5C750" w:rsidR="008308D0" w:rsidRPr="00702488" w:rsidRDefault="008308D0" w:rsidP="008308D0">
      <w:pPr>
        <w:pStyle w:val="Caption"/>
      </w:pPr>
      <w:bookmarkStart w:id="15" w:name="_Toc87347264"/>
      <w:bookmarkStart w:id="16" w:name="_Toc100584679"/>
      <w:r w:rsidRPr="00702488">
        <w:t xml:space="preserve">Map </w:t>
      </w:r>
      <w:r w:rsidR="00DD378A">
        <w:fldChar w:fldCharType="begin"/>
      </w:r>
      <w:r w:rsidR="00DD378A">
        <w:instrText xml:space="preserve"> STYLEREF 1 \s </w:instrText>
      </w:r>
      <w:r w:rsidR="00DD378A">
        <w:fldChar w:fldCharType="separate"/>
      </w:r>
      <w:r w:rsidR="006839DA">
        <w:rPr>
          <w:noProof/>
        </w:rPr>
        <w:t>4</w:t>
      </w:r>
      <w:r w:rsidR="00DD378A">
        <w:fldChar w:fldCharType="end"/>
      </w:r>
      <w:r w:rsidR="00DD378A">
        <w:noBreakHyphen/>
      </w:r>
      <w:r w:rsidR="00DD378A">
        <w:fldChar w:fldCharType="begin"/>
      </w:r>
      <w:r w:rsidR="00DD378A">
        <w:instrText xml:space="preserve"> SEQ Map \* ARABIC \s 1 </w:instrText>
      </w:r>
      <w:r w:rsidR="00DD378A">
        <w:fldChar w:fldCharType="separate"/>
      </w:r>
      <w:r w:rsidR="006839DA">
        <w:rPr>
          <w:noProof/>
        </w:rPr>
        <w:t>1</w:t>
      </w:r>
      <w:r w:rsidR="00DD378A">
        <w:fldChar w:fldCharType="end"/>
      </w:r>
      <w:r w:rsidRPr="00702488">
        <w:t xml:space="preserve"> </w:t>
      </w:r>
      <w:bookmarkEnd w:id="15"/>
      <w:r w:rsidR="00610F8E">
        <w:t>The ‘business as usual’ future for the EUSDR in 2050 – Baseline scenario</w:t>
      </w:r>
      <w:bookmarkEnd w:id="16"/>
    </w:p>
    <w:p w14:paraId="67951BC2" w14:textId="517EF7A7" w:rsidR="008308D0" w:rsidRPr="00702488" w:rsidRDefault="00F22BB0" w:rsidP="008308D0">
      <w:r>
        <w:rPr>
          <w:noProof/>
        </w:rPr>
        <w:drawing>
          <wp:inline distT="0" distB="0" distL="0" distR="0" wp14:anchorId="0EEFA4CD" wp14:editId="2F75AE49">
            <wp:extent cx="5400040" cy="38157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a:extLst>
                        <a:ext uri="{28A0092B-C50C-407E-A947-70E740481C1C}">
                          <a14:useLocalDpi xmlns:a14="http://schemas.microsoft.com/office/drawing/2010/main" val="0"/>
                        </a:ext>
                      </a:extLst>
                    </a:blip>
                    <a:stretch>
                      <a:fillRect/>
                    </a:stretch>
                  </pic:blipFill>
                  <pic:spPr>
                    <a:xfrm>
                      <a:off x="0" y="0"/>
                      <a:ext cx="5400040" cy="3815715"/>
                    </a:xfrm>
                    <a:prstGeom prst="rect">
                      <a:avLst/>
                    </a:prstGeom>
                  </pic:spPr>
                </pic:pic>
              </a:graphicData>
            </a:graphic>
          </wp:inline>
        </w:drawing>
      </w:r>
    </w:p>
    <w:p w14:paraId="5E56C7B7" w14:textId="30E1E61F" w:rsidR="008308D0" w:rsidRPr="00AD0EEE" w:rsidRDefault="008308D0" w:rsidP="008308D0">
      <w:pPr>
        <w:rPr>
          <w:sz w:val="16"/>
          <w:szCs w:val="16"/>
        </w:rPr>
      </w:pPr>
      <w:r w:rsidRPr="00AD0EEE">
        <w:rPr>
          <w:sz w:val="16"/>
          <w:szCs w:val="16"/>
        </w:rPr>
        <w:t>Source: ESPON TEVI 2050</w:t>
      </w:r>
      <w:r w:rsidR="00F22BB0" w:rsidRPr="00AD0EEE">
        <w:rPr>
          <w:sz w:val="16"/>
          <w:szCs w:val="16"/>
        </w:rPr>
        <w:t>, 2022</w:t>
      </w:r>
    </w:p>
    <w:p w14:paraId="77D1744E" w14:textId="77777777" w:rsidR="00EC5EC9" w:rsidRPr="0067643C" w:rsidRDefault="00EC5EC9" w:rsidP="00EC5EC9">
      <w:bookmarkStart w:id="17" w:name="_Toc87347268"/>
      <w:r w:rsidRPr="0067643C">
        <w:t xml:space="preserve">In more detail, an incomplete transition to </w:t>
      </w:r>
      <w:r>
        <w:t xml:space="preserve">a </w:t>
      </w:r>
      <w:r w:rsidRPr="0067643C">
        <w:t>sustainable econom</w:t>
      </w:r>
      <w:r>
        <w:t>y</w:t>
      </w:r>
      <w:r w:rsidRPr="0067643C">
        <w:t xml:space="preserve"> implies that not all territories </w:t>
      </w:r>
      <w:r>
        <w:t>meet</w:t>
      </w:r>
      <w:r w:rsidRPr="0067643C">
        <w:t xml:space="preserve"> the objectives of the European Green Deal. In the Danube macro-region this </w:t>
      </w:r>
      <w:r>
        <w:t>could mean</w:t>
      </w:r>
      <w:r w:rsidRPr="0067643C">
        <w:t xml:space="preserve"> enhanced biodiversity loss, a lack of energy and reduced competitive</w:t>
      </w:r>
      <w:r>
        <w:t>ness</w:t>
      </w:r>
      <w:r w:rsidRPr="0067643C">
        <w:t xml:space="preserve"> for industry. </w:t>
      </w:r>
    </w:p>
    <w:p w14:paraId="3967D7B0" w14:textId="5A618661" w:rsidR="00EC5EC9" w:rsidRPr="0067643C" w:rsidRDefault="00EC5EC9" w:rsidP="00EC5EC9">
      <w:r w:rsidRPr="0067643C">
        <w:rPr>
          <w:b/>
          <w:bCs/>
        </w:rPr>
        <w:t xml:space="preserve">Enhanced biodiversity loss. </w:t>
      </w:r>
      <w:r w:rsidRPr="0067643C">
        <w:t xml:space="preserve">By 2050, key driving factors for biodiversity, such as climate change and pollution are intensified due to an incomplete transition to </w:t>
      </w:r>
      <w:r>
        <w:t xml:space="preserve">a </w:t>
      </w:r>
      <w:r w:rsidRPr="0067643C">
        <w:t>sustainable econom</w:t>
      </w:r>
      <w:r>
        <w:t>y</w:t>
      </w:r>
      <w:r w:rsidRPr="0067643C">
        <w:t xml:space="preserve"> and failing to achieve European Green Deal objectives. Industry, transport and energy production remain contributors to greenhouse gas emissions and pollution. As such they continue to threaten environmental qualit</w:t>
      </w:r>
      <w:r>
        <w:t>y including</w:t>
      </w:r>
      <w:r w:rsidRPr="0067643C">
        <w:t xml:space="preserve"> plant and animal lives. In addition, the effects of climate change are not mitigated. Instead, ongoing emissions of greenhouse gasses accelerate the frequency of drought</w:t>
      </w:r>
      <w:r>
        <w:t>s</w:t>
      </w:r>
      <w:r w:rsidRPr="0067643C">
        <w:t xml:space="preserve"> and wildfires as well as heavy rainfall and floods. Although </w:t>
      </w:r>
      <w:r>
        <w:t xml:space="preserve">the </w:t>
      </w:r>
      <w:r w:rsidRPr="0067643C">
        <w:t>consequences of an incomplete transition to</w:t>
      </w:r>
      <w:r>
        <w:t xml:space="preserve"> a</w:t>
      </w:r>
      <w:r w:rsidRPr="0067643C">
        <w:t xml:space="preserve"> sustainable econom</w:t>
      </w:r>
      <w:r>
        <w:t>y is</w:t>
      </w:r>
      <w:r w:rsidRPr="0067643C">
        <w:t xml:space="preserve"> felt across Europe, specific territories in the Danube macro-region are hit worse than others.</w:t>
      </w:r>
    </w:p>
    <w:p w14:paraId="5FCA3E72" w14:textId="6AF69E01" w:rsidR="00EC5EC9" w:rsidRPr="0067643C" w:rsidRDefault="00EC5EC9" w:rsidP="00EC5EC9">
      <w:r>
        <w:t>B</w:t>
      </w:r>
      <w:r w:rsidRPr="0067643C">
        <w:t>iodiversity loss is mo</w:t>
      </w:r>
      <w:r>
        <w:t>re</w:t>
      </w:r>
      <w:r w:rsidRPr="0067643C">
        <w:t xml:space="preserve"> evident in territories most vulnerable to climate change. In the Danube macro-region mountain areas and river valleys are particularly vulnerable. Mountain regions in Austria and Slovakia as well as the Danube valley on the border between Romania and Bulgaria and the Danube delta on the Black Sea are among </w:t>
      </w:r>
      <w:r>
        <w:t>those</w:t>
      </w:r>
      <w:r w:rsidRPr="0067643C">
        <w:t xml:space="preserve"> most negatively impacted by climate change </w:t>
      </w:r>
      <w:r w:rsidRPr="0067643C">
        <w:fldChar w:fldCharType="begin"/>
      </w:r>
      <w:r w:rsidR="00DC4537">
        <w:instrText xml:space="preserve"> ADDIN ZOTERO_ITEM CSL_CITATION {"citationID":"CxaWInzr","properties":{"formattedCitation":"(ESPON, 2014)","plainCitation":"(ESPON, 2014)","noteIndex":0},"citationItems":[{"id":7977,"uris":["http://zotero.org/groups/21774/items/KC5SZUD7"],"itemData":{"id":7977,"type":"document","title":"Update of maps and related data on climate change","author":[{"family":"ESPON","given":""}],"issued":{"date-parts":[["2014"]]}}}],"schema":"https://github.com/citation-style-language/schema/raw/master/csl-citation.json"} </w:instrText>
      </w:r>
      <w:r w:rsidRPr="0067643C">
        <w:fldChar w:fldCharType="separate"/>
      </w:r>
      <w:r w:rsidRPr="0067643C">
        <w:rPr>
          <w:noProof/>
        </w:rPr>
        <w:t>(ESPON, 2014)</w:t>
      </w:r>
      <w:r w:rsidRPr="0067643C">
        <w:fldChar w:fldCharType="end"/>
      </w:r>
      <w:r w:rsidRPr="0067643C">
        <w:t>. Also</w:t>
      </w:r>
      <w:r>
        <w:t>,</w:t>
      </w:r>
      <w:r w:rsidRPr="0067643C">
        <w:t xml:space="preserve"> the Ukrainian regions as well as Moldova are vulnerable </w:t>
      </w:r>
      <w:r>
        <w:t>and i</w:t>
      </w:r>
      <w:r w:rsidRPr="0067643C">
        <w:t xml:space="preserve">n recent years these areas experienced regular floods </w:t>
      </w:r>
      <w:r w:rsidRPr="0067643C">
        <w:fldChar w:fldCharType="begin"/>
      </w:r>
      <w:r w:rsidR="00DC4537">
        <w:instrText xml:space="preserve"> ADDIN ZOTERO_ITEM CSL_CITATION {"citationID":"blrTyPku","properties":{"formattedCitation":"(CESCI, 2020)","plainCitation":"(CESCI, 2020)","noteIndex":0},"citationItems":[{"id":2678,"uris":["http://zotero.org/groups/21774/items/6RG6NR7T"],"itemData":{"id":2678,"type":"report","title":"Analysis of territorial challenges, needs and potentials of the Danube region and strategic options in view of the transnational cooperaiton for the period 2021-2027","author":[{"family":"CESCI","given":""}],"issued":{"date-parts":[["2020"]]}}}],"schema":"https://github.com/citation-style-language/schema/raw/master/csl-citation.json"} </w:instrText>
      </w:r>
      <w:r w:rsidRPr="0067643C">
        <w:fldChar w:fldCharType="separate"/>
      </w:r>
      <w:r w:rsidRPr="0067643C">
        <w:rPr>
          <w:noProof/>
        </w:rPr>
        <w:t>(CESCI, 2020)</w:t>
      </w:r>
      <w:r w:rsidRPr="0067643C">
        <w:fldChar w:fldCharType="end"/>
      </w:r>
      <w:r w:rsidRPr="0067643C">
        <w:t>.</w:t>
      </w:r>
    </w:p>
    <w:p w14:paraId="6CCA8E80" w14:textId="77777777" w:rsidR="00EC5EC9" w:rsidRPr="0067643C" w:rsidRDefault="00EC5EC9" w:rsidP="00EC5EC9">
      <w:r w:rsidRPr="0067643C">
        <w:t xml:space="preserve">Natural as well as tourism and agricultural areas experience biodiversity loss most negatively; </w:t>
      </w:r>
    </w:p>
    <w:p w14:paraId="31C9C4B4" w14:textId="7A80609A" w:rsidR="00EC5EC9" w:rsidRPr="0067643C" w:rsidRDefault="00EC5EC9" w:rsidP="00EC5EC9">
      <w:pPr>
        <w:pStyle w:val="Bulletpoints"/>
        <w:spacing w:line="240" w:lineRule="atLeast"/>
        <w:ind w:left="714" w:hanging="357"/>
      </w:pPr>
      <w:r w:rsidRPr="0067643C">
        <w:t xml:space="preserve">Biodiversity loss limits ecosystem performance </w:t>
      </w:r>
      <w:r>
        <w:t>in</w:t>
      </w:r>
      <w:r w:rsidRPr="0067643C">
        <w:t xml:space="preserve"> natural areas. Examples of natural areas also vulnerable to climate change include the High Tauern in Austria, Istria in Croatia, Montenegro and the Pirin and Rhodope mountain ranges in Bulgaria </w:t>
      </w:r>
      <w:r w:rsidRPr="0067643C">
        <w:fldChar w:fldCharType="begin"/>
      </w:r>
      <w:r w:rsidR="00DC4537">
        <w:instrText xml:space="preserve"> ADDIN ZOTERO_ITEM CSL_CITATION {"citationID":"RbaOa379","properties":{"formattedCitation":"(BBSR &amp; ESPON, 2020)","plainCitation":"(BBSR &amp; ESPON, 2020)","noteIndex":0},"citationItems":[{"id":5019,"uris":["http://zotero.org/groups/21774/items/LH8PIJ6F"],"itemData":{"id":5019,"type":"book","event-place":"Berlin","publisher":"Federal Ministry fo the Interior, Building and Community","publisher-place":"Berlin","title":"Atlas for the Territorial Agenda 2030: Maps on European Territorial Development","author":[{"literal":"BBSR"},{"literal":"ESPON"}],"issued":{"date-parts":[["2020"]]}}}],"schema":"https://github.com/citation-style-language/schema/raw/master/csl-citation.json"} </w:instrText>
      </w:r>
      <w:r w:rsidRPr="0067643C">
        <w:fldChar w:fldCharType="separate"/>
      </w:r>
      <w:r w:rsidRPr="0067643C">
        <w:rPr>
          <w:noProof/>
        </w:rPr>
        <w:t>(BBSR &amp; ESPON, 2020)</w:t>
      </w:r>
      <w:r w:rsidRPr="0067643C">
        <w:fldChar w:fldCharType="end"/>
      </w:r>
      <w:r w:rsidRPr="0067643C">
        <w:t xml:space="preserve">, as well as the Danube Delta. </w:t>
      </w:r>
    </w:p>
    <w:p w14:paraId="248BFF24" w14:textId="48A032DD" w:rsidR="00EC5EC9" w:rsidRPr="0067643C" w:rsidRDefault="00EC5EC9" w:rsidP="00EC5EC9">
      <w:pPr>
        <w:pStyle w:val="Bulletpoints"/>
        <w:spacing w:line="240" w:lineRule="atLeast"/>
        <w:ind w:left="714" w:hanging="357"/>
      </w:pPr>
      <w:r w:rsidRPr="0067643C">
        <w:t xml:space="preserve">Tourism destination areas lose part of their attractiveness </w:t>
      </w:r>
      <w:r>
        <w:t>due to</w:t>
      </w:r>
      <w:r w:rsidRPr="0067643C">
        <w:t xml:space="preserve"> biodiversity loss. Examples of </w:t>
      </w:r>
      <w:r>
        <w:t>such</w:t>
      </w:r>
      <w:r w:rsidRPr="0067643C">
        <w:t xml:space="preserve"> areas also vulnerable to climate change are Bulgarian and Croatian coastal areas as well as northern Bohemia in Czechia </w:t>
      </w:r>
      <w:r w:rsidRPr="0067643C">
        <w:fldChar w:fldCharType="begin"/>
      </w:r>
      <w:r w:rsidR="00DC4537">
        <w:instrText xml:space="preserve"> ADDIN ZOTERO_ITEM CSL_CITATION {"citationID":"P1wJZGXw","properties":{"formattedCitation":"(Eurostat, 2020a)","plainCitation":"(Eurostat, 2020a)","noteIndex":0},"citationItems":[{"id":5020,"uris":["http://zotero.org/groups/21774/items/GKDC9AVE"],"itemData":{"id":5020,"type":"book","event-place":"Luxembourg","language":"eng","publisher":"Publications Office of the European Union","publisher-place":"Luxembourg","source":"DOI.org (CSL JSON)","title":"Eurostat regional yearbook: 2020 edition.","title-short":"Eurostat regional yearbook","URL":"https://data.europa.eu/doi/10.2785/98733","author":[{"literal":"Eurostat"}],"accessed":{"date-parts":[["2021",2,25]]},"issued":{"date-parts":[["2020"]]}}}],"schema":"https://github.com/citation-style-language/schema/raw/master/csl-citation.json"} </w:instrText>
      </w:r>
      <w:r w:rsidRPr="0067643C">
        <w:fldChar w:fldCharType="separate"/>
      </w:r>
      <w:r w:rsidR="00DC4537">
        <w:rPr>
          <w:noProof/>
        </w:rPr>
        <w:t>(Eurostat, 2020a)</w:t>
      </w:r>
      <w:r w:rsidRPr="0067643C">
        <w:fldChar w:fldCharType="end"/>
      </w:r>
      <w:r w:rsidRPr="0067643C">
        <w:t xml:space="preserve">. </w:t>
      </w:r>
    </w:p>
    <w:p w14:paraId="29C7C213" w14:textId="080AC1DA" w:rsidR="00EC5EC9" w:rsidRPr="0067643C" w:rsidRDefault="00EC5EC9" w:rsidP="00EC5EC9">
      <w:pPr>
        <w:pStyle w:val="Bulletpoints-end"/>
        <w:spacing w:after="0" w:line="240" w:lineRule="atLeast"/>
        <w:ind w:left="714" w:hanging="357"/>
      </w:pPr>
      <w:r w:rsidRPr="0067643C">
        <w:t xml:space="preserve">Agriculture, particularly organic farming, requires high ecosystem performance to thrive. Examples of areas with high shares organic farming vulnerable to climate change </w:t>
      </w:r>
      <w:r>
        <w:t>are</w:t>
      </w:r>
      <w:r w:rsidRPr="0067643C">
        <w:t xml:space="preserve"> most Austrian regions as well as northern Bohemia in Czechia and the Slovak Košic region </w:t>
      </w:r>
      <w:r w:rsidRPr="0067643C">
        <w:fldChar w:fldCharType="begin"/>
      </w:r>
      <w:r w:rsidR="00DC4537">
        <w:instrText xml:space="preserve"> ADDIN ZOTERO_ITEM CSL_CITATION {"citationID":"GmM4ENxE","properties":{"formattedCitation":"(Eurostat, 2020a)","plainCitation":"(Eurostat, 2020a)","noteIndex":0},"citationItems":[{"id":5020,"uris":["http://zotero.org/groups/21774/items/GKDC9AVE"],"itemData":{"id":5020,"type":"book","event-place":"Luxembourg","language":"eng","publisher":"Publications Office of the European Union","publisher-place":"Luxembourg","source":"DOI.org (CSL JSON)","title":"Eurostat regional yearbook: 2020 edition.","title-short":"Eurostat regional yearbook","URL":"https://data.europa.eu/doi/10.2785/98733","author":[{"literal":"Eurostat"}],"accessed":{"date-parts":[["2021",2,25]]},"issued":{"date-parts":[["2020"]]}}}],"schema":"https://github.com/citation-style-language/schema/raw/master/csl-citation.json"} </w:instrText>
      </w:r>
      <w:r w:rsidRPr="0067643C">
        <w:fldChar w:fldCharType="separate"/>
      </w:r>
      <w:r w:rsidR="00DC4537">
        <w:t>(Eurostat, 2020a)</w:t>
      </w:r>
      <w:r w:rsidRPr="0067643C">
        <w:fldChar w:fldCharType="end"/>
      </w:r>
      <w:r w:rsidRPr="0067643C">
        <w:t>.</w:t>
      </w:r>
    </w:p>
    <w:p w14:paraId="6F6D1D01" w14:textId="77777777" w:rsidR="00EC5EC9" w:rsidRPr="0067643C" w:rsidRDefault="00EC5EC9" w:rsidP="00EC5EC9">
      <w:pPr>
        <w:pStyle w:val="BodyText"/>
      </w:pPr>
      <w:r w:rsidRPr="0067643C">
        <w:rPr>
          <w:lang w:eastAsia="sv-SE"/>
        </w:rPr>
        <w:t>On the contrary, territories with severely reduced populations (see also below) may see increase</w:t>
      </w:r>
      <w:r>
        <w:rPr>
          <w:lang w:eastAsia="sv-SE"/>
        </w:rPr>
        <w:t>d</w:t>
      </w:r>
      <w:r w:rsidRPr="0067643C">
        <w:rPr>
          <w:lang w:eastAsia="sv-SE"/>
        </w:rPr>
        <w:t xml:space="preserve"> nature development and rewilding. </w:t>
      </w:r>
      <w:r>
        <w:rPr>
          <w:lang w:eastAsia="sv-SE"/>
        </w:rPr>
        <w:t>To</w:t>
      </w:r>
      <w:r w:rsidRPr="0067643C">
        <w:rPr>
          <w:lang w:eastAsia="sv-SE"/>
        </w:rPr>
        <w:t xml:space="preserve"> 2050, population decline may make economic functions impossible to sustain in some places, including agricultur</w:t>
      </w:r>
      <w:r>
        <w:rPr>
          <w:lang w:eastAsia="sv-SE"/>
        </w:rPr>
        <w:t>e</w:t>
      </w:r>
      <w:r w:rsidRPr="0067643C">
        <w:rPr>
          <w:lang w:eastAsia="sv-SE"/>
        </w:rPr>
        <w:t xml:space="preserve">, renewable energy sources, or tourism. </w:t>
      </w:r>
      <w:r>
        <w:rPr>
          <w:lang w:eastAsia="sv-SE"/>
        </w:rPr>
        <w:t>O</w:t>
      </w:r>
      <w:r w:rsidRPr="0067643C">
        <w:rPr>
          <w:lang w:eastAsia="sv-SE"/>
        </w:rPr>
        <w:t>utmigration from these places would lead to rewilding, which  may stimulate biodiversity.</w:t>
      </w:r>
    </w:p>
    <w:p w14:paraId="47FEA1DB" w14:textId="28598451" w:rsidR="00EC5EC9" w:rsidRPr="0067643C" w:rsidRDefault="00EC5EC9" w:rsidP="00EC5EC9">
      <w:r w:rsidRPr="0067643C">
        <w:rPr>
          <w:b/>
          <w:bCs/>
        </w:rPr>
        <w:t>Issues for reliable delivery of energy.</w:t>
      </w:r>
      <w:r w:rsidRPr="0067643C">
        <w:t xml:space="preserve"> By 2050, sustainable transport and digitalisation increase the demand for electricity </w:t>
      </w:r>
      <w:r w:rsidRPr="0067643C">
        <w:rPr>
          <w:color w:val="000000" w:themeColor="text1"/>
        </w:rPr>
        <w:fldChar w:fldCharType="begin"/>
      </w:r>
      <w:r w:rsidR="00DC4537">
        <w:rPr>
          <w:color w:val="000000" w:themeColor="text1"/>
        </w:rPr>
        <w:instrText xml:space="preserve"> ADDIN ZOTERO_ITEM CSL_CITATION {"citationID":"UulX1enX","properties":{"formattedCitation":"(Feh\\uc0\\u233{}r &amp; M\\uc0\\u233{}r\\uc0\\u337{}, 2019)","plainCitation":"(Fehér &amp; Mérő, 2019)","noteIndex":0},"citationItems":[{"id":16,"uris":["http://zotero.org/groups/21774/items/ME79XDBL"],"itemData":{"id":16,"type":"document","publisher":"Ministry of Foreign Affairs and Trade of Hungary, Budapest.","title":"Sustainable Energy Storage Innovations in Danube Region Countries for the EU-Goals of the Paris Climate Agreement","author":[{"family":"Fehér","given":"A."},{"family":"Mérő","given":"T"}],"issued":{"date-parts":[["2019"]]}}}],"schema":"https://github.com/citation-style-language/schema/raw/master/csl-citation.json"} </w:instrText>
      </w:r>
      <w:r w:rsidRPr="0067643C">
        <w:rPr>
          <w:color w:val="000000" w:themeColor="text1"/>
        </w:rPr>
        <w:fldChar w:fldCharType="separate"/>
      </w:r>
      <w:r w:rsidRPr="0067643C">
        <w:rPr>
          <w:rFonts w:ascii="Arial" w:cs="Arial"/>
          <w:color w:val="000000"/>
        </w:rPr>
        <w:t>(Fehér &amp; Mérő, 2019)</w:t>
      </w:r>
      <w:r w:rsidRPr="0067643C">
        <w:rPr>
          <w:color w:val="000000" w:themeColor="text1"/>
        </w:rPr>
        <w:fldChar w:fldCharType="end"/>
      </w:r>
      <w:r w:rsidRPr="0067643C">
        <w:rPr>
          <w:color w:val="000000" w:themeColor="text1"/>
        </w:rPr>
        <w:t xml:space="preserve">. Energy demand increases globally by 30% </w:t>
      </w:r>
      <w:r>
        <w:rPr>
          <w:color w:val="000000" w:themeColor="text1"/>
        </w:rPr>
        <w:t>to</w:t>
      </w:r>
      <w:r w:rsidRPr="0067643C">
        <w:rPr>
          <w:color w:val="000000" w:themeColor="text1"/>
        </w:rPr>
        <w:t xml:space="preserve"> 2040 </w:t>
      </w:r>
      <w:r w:rsidRPr="0067643C">
        <w:rPr>
          <w:color w:val="000000" w:themeColor="text1"/>
        </w:rPr>
        <w:fldChar w:fldCharType="begin"/>
      </w:r>
      <w:r w:rsidR="00DC4537">
        <w:rPr>
          <w:color w:val="000000" w:themeColor="text1"/>
        </w:rPr>
        <w:instrText xml:space="preserve"> ADDIN ZOTERO_ITEM CSL_CITATION {"citationID":"nKSMunQE","properties":{"formattedCitation":"(National Intelligence council, 2021)","plainCitation":"(National Intelligence council, 2021)","noteIndex":0},"citationItems":[{"id":96,"uris":["http://zotero.org/groups/21774/items/W8LZ4RN6"],"itemData":{"id":96,"type":"webpage","container-title":"7th edition of the National Intelligence Council’s Global Trends report","title":"Global trends 2040","URL":"https://www.dni.gov/index.php/gt2040-home","author":[{"family":"National Intelligence council","given":""}],"accessed":{"date-parts":[["2021",6,21]]},"issued":{"date-parts":[["2021"]]}}}],"schema":"https://github.com/citation-style-language/schema/raw/master/csl-citation.json"} </w:instrText>
      </w:r>
      <w:r w:rsidRPr="0067643C">
        <w:rPr>
          <w:color w:val="000000" w:themeColor="text1"/>
        </w:rPr>
        <w:fldChar w:fldCharType="separate"/>
      </w:r>
      <w:r w:rsidRPr="0067643C">
        <w:rPr>
          <w:noProof/>
          <w:color w:val="000000" w:themeColor="text1"/>
        </w:rPr>
        <w:t>(National Intelligence council, 2021)</w:t>
      </w:r>
      <w:r w:rsidRPr="0067643C">
        <w:rPr>
          <w:color w:val="000000" w:themeColor="text1"/>
        </w:rPr>
        <w:fldChar w:fldCharType="end"/>
      </w:r>
      <w:r w:rsidRPr="0067643C">
        <w:rPr>
          <w:color w:val="000000" w:themeColor="text1"/>
        </w:rPr>
        <w:t xml:space="preserve">. </w:t>
      </w:r>
      <w:r w:rsidRPr="0067643C">
        <w:t xml:space="preserve">At the same time, the shift to sustainable economies demands the phasing-out out fossil fuel-based energy production and the uptake of clean energies. </w:t>
      </w:r>
      <w:r>
        <w:t>All of this impacts</w:t>
      </w:r>
      <w:r w:rsidRPr="0067643C">
        <w:t xml:space="preserve"> reliable delivery of energy in several </w:t>
      </w:r>
      <w:r>
        <w:t>areas</w:t>
      </w:r>
      <w:r w:rsidRPr="0067643C">
        <w:t xml:space="preserve"> </w:t>
      </w:r>
      <w:r>
        <w:t>of</w:t>
      </w:r>
      <w:r w:rsidRPr="0067643C">
        <w:t xml:space="preserve"> the Danube macro-region.</w:t>
      </w:r>
    </w:p>
    <w:p w14:paraId="0E941705" w14:textId="1BE268DE" w:rsidR="00EC5EC9" w:rsidRPr="0067643C" w:rsidRDefault="00EC5EC9" w:rsidP="00EC5EC9">
      <w:pPr>
        <w:rPr>
          <w:color w:val="000000" w:themeColor="text1"/>
        </w:rPr>
      </w:pPr>
      <w:r w:rsidRPr="0067643C">
        <w:rPr>
          <w:color w:val="000000" w:themeColor="text1"/>
        </w:rPr>
        <w:t xml:space="preserve">Regions in </w:t>
      </w:r>
      <w:r w:rsidRPr="0067643C">
        <w:t>Serbia, Bosnia and Herzegovina, Montenegro, Czechia, Slovenia, and Bulgaria are among th</w:t>
      </w:r>
      <w:r>
        <w:t>os</w:t>
      </w:r>
      <w:r w:rsidRPr="0067643C">
        <w:t>e most rel</w:t>
      </w:r>
      <w:r>
        <w:t>iant</w:t>
      </w:r>
      <w:r w:rsidRPr="0067643C">
        <w:t xml:space="preserve"> on fossil fuel energy production </w:t>
      </w:r>
      <w:r w:rsidRPr="0067643C">
        <w:rPr>
          <w:color w:val="000000" w:themeColor="text1"/>
        </w:rPr>
        <w:fldChar w:fldCharType="begin"/>
      </w:r>
      <w:r w:rsidR="00DC4537">
        <w:rPr>
          <w:color w:val="000000" w:themeColor="text1"/>
        </w:rPr>
        <w:instrText xml:space="preserve"> ADDIN ZOTERO_ITEM CSL_CITATION {"citationID":"O2634el4","properties":{"formattedCitation":"(Alves Dias, Patricia, Kanellopoulos, Konstantinos, Medarac, Hrvoje, Kapteaki, Zoi, Miranda Barbosa, Edesio, Shortall, Ruth, &amp; Czako, Veronika, 2018)","plainCitation":"(Alves Dias, Patricia, Kanellopoulos, Konstantinos, Medarac, Hrvoje, Kapteaki, Zoi, Miranda Barbosa, Edesio, Shortall, Ruth, &amp; Czako, Veronika, 2018)","noteIndex":0},"citationItems":[{"id":307,"uris":["http://zotero.org/groups/21774/items/U5UP5N7I"],"itemData":{"id":307,"type":"report","collection-title":"JRC Science for Policy Report","event-place":"Luxembourg","number":"EUR 29292 EN","publisher-place":"Luxembourg","title":"EU coal regions: opportunities and challenges ahead","URL":"https://ec.europa.eu/jrc/en/publication/eur-scientific-and-technical-research-reports/eu-coal-regions-opportunities-and-challenges-ahead","author":[{"literal":"Alves Dias, Patricia"},{"literal":"Kanellopoulos, Konstantinos"},{"literal":"Medarac, Hrvoje"},{"literal":"Kapteaki, Zoi"},{"literal":"Miranda Barbosa, Edesio"},{"literal":"Shortall, Ruth"},{"literal":"Czako, Veronika"}],"issued":{"date-parts":[["2018"]]}}}],"schema":"https://github.com/citation-style-language/schema/raw/master/csl-citation.json"} </w:instrText>
      </w:r>
      <w:r w:rsidRPr="0067643C">
        <w:rPr>
          <w:color w:val="000000" w:themeColor="text1"/>
        </w:rPr>
        <w:fldChar w:fldCharType="separate"/>
      </w:r>
      <w:r w:rsidRPr="0067643C">
        <w:rPr>
          <w:noProof/>
          <w:color w:val="000000" w:themeColor="text1"/>
        </w:rPr>
        <w:t>(Alves Dias, Patricia, Kanellopoulos, Konstantinos, Medarac, Hrvoje, Kapteaki, Zoi, Miranda Barbosa, Edesio, Shortall, Ruth, &amp; Czako, Veronika, 2018)</w:t>
      </w:r>
      <w:r w:rsidRPr="0067643C">
        <w:rPr>
          <w:color w:val="000000" w:themeColor="text1"/>
        </w:rPr>
        <w:fldChar w:fldCharType="end"/>
      </w:r>
      <w:r w:rsidRPr="0067643C">
        <w:rPr>
          <w:color w:val="000000" w:themeColor="text1"/>
        </w:rPr>
        <w:t xml:space="preserve">. These territories require a substantial transition of their energy production to </w:t>
      </w:r>
      <w:r>
        <w:rPr>
          <w:color w:val="000000" w:themeColor="text1"/>
        </w:rPr>
        <w:t>become</w:t>
      </w:r>
      <w:r w:rsidRPr="0067643C">
        <w:rPr>
          <w:color w:val="000000" w:themeColor="text1"/>
        </w:rPr>
        <w:t xml:space="preserve"> sustainable economies, as presented in this scenario’s assumptions. Exploiting unutilised potential for solar and wind power counterbalances some losses due to phasing out fossil fuel energy. </w:t>
      </w:r>
      <w:r w:rsidRPr="0067643C">
        <w:rPr>
          <w:lang w:eastAsia="sv-SE"/>
        </w:rPr>
        <w:t xml:space="preserve">In addition, more energy can be produced from biomass. </w:t>
      </w:r>
      <w:r w:rsidRPr="0067643C">
        <w:t>Biomass is regarded as an energy source with high potential in the Danube region, particularly compar</w:t>
      </w:r>
      <w:r>
        <w:t>ed</w:t>
      </w:r>
      <w:r w:rsidRPr="0067643C">
        <w:t xml:space="preserve"> to other energy sources </w:t>
      </w:r>
      <w:r w:rsidRPr="0067643C">
        <w:fldChar w:fldCharType="begin"/>
      </w:r>
      <w:r w:rsidR="00DC4537">
        <w:instrText xml:space="preserve"> ADDIN ZOTERO_ITEM CSL_CITATION {"citationID":"xMmnc3wb","properties":{"formattedCitation":"(Hujber &amp; et al, 2014)","plainCitation":"(Hujber &amp; et al, 2014)","noteIndex":0},"citationItems":[{"id":15,"uris":["http://zotero.org/groups/21774/items/Q2VHEAQZ"],"itemData":{"id":15,"type":"document","publisher":"Ministry of Foreign Affairs of Hungary, Budapest.","title":"Danube Region Biomass Action Plan","author":[{"family":"Hujber","given":"D."},{"family":"et al","given":""}],"issued":{"date-parts":[["2014"]]}}}],"schema":"https://github.com/citation-style-language/schema/raw/master/csl-citation.json"} </w:instrText>
      </w:r>
      <w:r w:rsidRPr="0067643C">
        <w:fldChar w:fldCharType="separate"/>
      </w:r>
      <w:r w:rsidRPr="0067643C">
        <w:rPr>
          <w:noProof/>
        </w:rPr>
        <w:t>(Hujber &amp; et al, 2014)</w:t>
      </w:r>
      <w:r w:rsidRPr="0067643C">
        <w:fldChar w:fldCharType="end"/>
      </w:r>
      <w:r w:rsidR="00EC1405">
        <w:t>.</w:t>
      </w:r>
      <w:r>
        <w:t xml:space="preserve"> </w:t>
      </w:r>
      <w:r w:rsidRPr="0067643C">
        <w:t xml:space="preserve">Utilising this potential by 2050 is however hampered by </w:t>
      </w:r>
      <w:r>
        <w:t>several</w:t>
      </w:r>
      <w:r w:rsidRPr="0067643C">
        <w:t xml:space="preserve"> factors. Although the amount agricultural land increases until 2030 </w:t>
      </w:r>
      <w:r w:rsidRPr="0067643C">
        <w:fldChar w:fldCharType="begin"/>
      </w:r>
      <w:r w:rsidR="00DC4537">
        <w:instrText xml:space="preserve"> ADDIN ZOTERO_ITEM CSL_CITATION {"citationID":"jY9qsqoQ","properties":{"formattedCitation":"(Bock &amp; Krysztofowicz, 2021)","plainCitation":"(Bock &amp; Krysztofowicz, 2021)","noteIndex":0},"citationItems":[{"id":46,"uris":["http://zotero.org/groups/21774/items/R36PA4FF"],"itemData":{"id":46,"type":"document","publisher":"Publications Office of the European Union","title":"Scenarios for EU rural areas. Contribution to European Commission's long-term vision for rural areas","author":[{"family":"Bock","given":"Anne-Katrin"},{"family":"Krysztofowicz","given":"Maciej"}],"issued":{"date-parts":[["2021"]]}}}],"schema":"https://github.com/citation-style-language/schema/raw/master/csl-citation.json"} </w:instrText>
      </w:r>
      <w:r w:rsidRPr="0067643C">
        <w:fldChar w:fldCharType="separate"/>
      </w:r>
      <w:r w:rsidRPr="0067643C">
        <w:rPr>
          <w:noProof/>
        </w:rPr>
        <w:t>(Bock &amp; Krysztofowicz, 2021)</w:t>
      </w:r>
      <w:r w:rsidRPr="0067643C">
        <w:fldChar w:fldCharType="end"/>
      </w:r>
      <w:r w:rsidRPr="0067643C">
        <w:t xml:space="preserve">, the number of farmers significantly decreases </w:t>
      </w:r>
      <w:r w:rsidRPr="0067643C">
        <w:fldChar w:fldCharType="begin"/>
      </w:r>
      <w:r w:rsidR="00DC4537">
        <w:instrText xml:space="preserve"> ADDIN ZOTERO_ITEM CSL_CITATION {"citationID":"tvbjNfs8","properties":{"formattedCitation":"(Fritsche, Brunori, Chiaramonti, Galanakis, Matthews, &amp; Panoutsou, 2021)","plainCitation":"(Fritsche, Brunori, Chiaramonti, Galanakis, Matthews, &amp; Panoutsou, 2021)","noteIndex":0},"citationItems":[{"id":7905,"uris":["http://zotero.org/groups/4075961/items/SJZQNWHS"],"itemData":{"id":7905,"type":"report","abstract":"\\","language":"en","note":"OCLC: 1256402585","source":"Open WorldCat","title":"Future transitions for the bioeconomy towards sustainable development and a climate-neutral economy: foresight scenarios for the EU bioeconomy in 2050.","title-short":"Future transitions for the bioeconomy towards sustainable development and a climate-neutral economy","URL":"https://op.europa.eu/publication/manifestation_identifier/PUB_KJ0121001ENN","author":[{"family":"Fritsche","given":"Uwe"},{"family":"Brunori","given":"Gianluca"},{"family":"Chiaramonti","given":"David"},{"family":"Galanakis","given":"Charis"},{"family":"Matthews","given":"Robert"},{"family":"Panoutsou","given":"Calliope"}],"accessed":{"date-parts":[["2021",7,28]]},"issued":{"date-parts":[["2021"]]}}}],"schema":"https://github.com/citation-style-language/schema/raw/master/csl-citation.json"} </w:instrText>
      </w:r>
      <w:r w:rsidRPr="0067643C">
        <w:fldChar w:fldCharType="separate"/>
      </w:r>
      <w:r w:rsidRPr="0067643C">
        <w:t>(Fritsche, Brunori, Chiaramonti, Galanakis, Matthews, &amp; Panoutsou, 2021)</w:t>
      </w:r>
      <w:r w:rsidRPr="0067643C">
        <w:fldChar w:fldCharType="end"/>
      </w:r>
      <w:r w:rsidRPr="0067643C">
        <w:t>. Indeed</w:t>
      </w:r>
      <w:r>
        <w:t>,</w:t>
      </w:r>
      <w:r w:rsidRPr="0067643C">
        <w:t xml:space="preserve"> population decline, particularly in rural areas, hampers the production of biomass for energy production. In addition, by 2050 climate change reduces the reliability of water accessibility.</w:t>
      </w:r>
    </w:p>
    <w:p w14:paraId="6243C0BA" w14:textId="77777777" w:rsidR="00EC5EC9" w:rsidRPr="0067643C" w:rsidRDefault="00EC5EC9" w:rsidP="00EC5EC9">
      <w:r w:rsidRPr="0067643C">
        <w:t xml:space="preserve">Industrial areas, transport hubs and natural areas experience the energy transition most negatively; </w:t>
      </w:r>
    </w:p>
    <w:p w14:paraId="5C459C53" w14:textId="34565B98" w:rsidR="00EC5EC9" w:rsidRPr="0067643C" w:rsidRDefault="00EC5EC9" w:rsidP="00EC5EC9">
      <w:pPr>
        <w:pStyle w:val="Bulletpoints"/>
        <w:spacing w:line="240" w:lineRule="atLeast"/>
        <w:ind w:left="714" w:hanging="357"/>
      </w:pPr>
      <w:r w:rsidRPr="0067643C">
        <w:t xml:space="preserve">Industrial processes and transportation, particularly by air and </w:t>
      </w:r>
      <w:r>
        <w:t>sea</w:t>
      </w:r>
      <w:r w:rsidRPr="0067643C">
        <w:t xml:space="preserve">, rely on fossil fuels. Electricity from wind or solar is often insufficient to provide sufficient energy </w:t>
      </w:r>
      <w:r w:rsidRPr="0067643C">
        <w:fldChar w:fldCharType="begin"/>
      </w:r>
      <w:r w:rsidR="00DC4537">
        <w:instrText xml:space="preserve"> ADDIN ZOTERO_ITEM CSL_CITATION {"citationID":"zcXOW5AV","properties":{"formattedCitation":"(ESPON, 2018c)","plainCitation":"(ESPON, 2018c)","noteIndex":0},"citationItems":[{"id":8046,"uris":["http://zotero.org/groups/21774/items/W7NXB9WP"],"itemData":{"id":8046,"type":"report","event-place":"Luxembourg","publisher-place":"Luxembourg","title":"Possible European Territorial Futures. Volume E - 100% renewable energy","author":[{"family":"ESPON","given":""}],"issued":{"date-parts":[["2018"]]}}}],"schema":"https://github.com/citation-style-language/schema/raw/master/csl-citation.json"} </w:instrText>
      </w:r>
      <w:r w:rsidRPr="0067643C">
        <w:fldChar w:fldCharType="separate"/>
      </w:r>
      <w:r w:rsidRPr="0067643C">
        <w:rPr>
          <w:noProof/>
        </w:rPr>
        <w:t>(ESPON, 2018c)</w:t>
      </w:r>
      <w:r w:rsidRPr="0067643C">
        <w:fldChar w:fldCharType="end"/>
      </w:r>
      <w:r w:rsidRPr="0067643C">
        <w:t xml:space="preserve">. Areas in Czechia, eastern Romania and Serbia are particularly negatively impacted due to their high share of industry </w:t>
      </w:r>
      <w:r w:rsidRPr="0067643C">
        <w:fldChar w:fldCharType="begin"/>
      </w:r>
      <w:r w:rsidR="00DC4537">
        <w:instrText xml:space="preserve"> ADDIN ZOTERO_ITEM CSL_CITATION {"citationID":"O9vBZUWY","properties":{"formattedCitation":"(BBSR &amp; ESPON, 2020)","plainCitation":"(BBSR &amp; ESPON, 2020)","noteIndex":0},"citationItems":[{"id":5019,"uris":["http://zotero.org/groups/21774/items/LH8PIJ6F"],"itemData":{"id":5019,"type":"book","event-place":"Berlin","publisher":"Federal Ministry fo the Interior, Building and Community","publisher-place":"Berlin","title":"Atlas for the Territorial Agenda 2030: Maps on European Territorial Development","author":[{"literal":"BBSR"},{"literal":"ESPON"}],"issued":{"date-parts":[["2020"]]}}}],"schema":"https://github.com/citation-style-language/schema/raw/master/csl-citation.json"} </w:instrText>
      </w:r>
      <w:r w:rsidRPr="0067643C">
        <w:fldChar w:fldCharType="separate"/>
      </w:r>
      <w:r w:rsidRPr="0067643C">
        <w:rPr>
          <w:noProof/>
        </w:rPr>
        <w:t>(BBSR &amp; ESPON, 2020)</w:t>
      </w:r>
      <w:r w:rsidRPr="0067643C">
        <w:fldChar w:fldCharType="end"/>
      </w:r>
      <w:r w:rsidRPr="0067643C">
        <w:t xml:space="preserve"> and issues </w:t>
      </w:r>
      <w:r>
        <w:t>of</w:t>
      </w:r>
      <w:r w:rsidRPr="0067643C">
        <w:t xml:space="preserve"> reliable energy provision as discussed above. Romanian and Bulgarian regions along the Black Sea and the Danube are particularly negatively impacted due to the importance of water born</w:t>
      </w:r>
      <w:r>
        <w:t>e</w:t>
      </w:r>
      <w:r w:rsidRPr="0067643C">
        <w:t xml:space="preserve"> transport </w:t>
      </w:r>
      <w:r w:rsidRPr="0067643C">
        <w:fldChar w:fldCharType="begin"/>
      </w:r>
      <w:r w:rsidR="00DC4537">
        <w:instrText xml:space="preserve"> ADDIN ZOTERO_ITEM CSL_CITATION {"citationID":"AhMNlbwF","properties":{"formattedCitation":"(ESPON, 2018c)","plainCitation":"(ESPON, 2018c)","noteIndex":0},"citationItems":[{"id":8046,"uris":["http://zotero.org/groups/21774/items/W7NXB9WP"],"itemData":{"id":8046,"type":"report","event-place":"Luxembourg","publisher-place":"Luxembourg","title":"Possible European Territorial Futures. Volume E - 100% renewable energy","author":[{"family":"ESPON","given":""}],"issued":{"date-parts":[["2018"]]}}}],"schema":"https://github.com/citation-style-language/schema/raw/master/csl-citation.json"} </w:instrText>
      </w:r>
      <w:r w:rsidRPr="0067643C">
        <w:fldChar w:fldCharType="separate"/>
      </w:r>
      <w:r w:rsidRPr="0067643C">
        <w:rPr>
          <w:noProof/>
        </w:rPr>
        <w:t>(ESPON, 2018c)</w:t>
      </w:r>
      <w:r w:rsidRPr="0067643C">
        <w:fldChar w:fldCharType="end"/>
      </w:r>
      <w:r w:rsidRPr="0067643C">
        <w:t>.</w:t>
      </w:r>
    </w:p>
    <w:p w14:paraId="758B068C" w14:textId="64B388FB" w:rsidR="00EC5EC9" w:rsidRPr="0067643C" w:rsidRDefault="00EC5EC9" w:rsidP="00EC5EC9">
      <w:pPr>
        <w:pStyle w:val="Bulletpoints-end"/>
        <w:spacing w:after="0" w:line="240" w:lineRule="atLeast"/>
        <w:ind w:left="714" w:hanging="357"/>
      </w:pPr>
      <w:r w:rsidRPr="0067643C">
        <w:t xml:space="preserve">Clean energy production, by solar, wind and biomass, requires land as highlighted by survey respondents. Hence, using unexploited potential implies increased land-take at the cost of natural areas. As such clean energy production hampers EU biodiversity objectives </w:t>
      </w:r>
      <w:r w:rsidRPr="0067643C">
        <w:fldChar w:fldCharType="begin"/>
      </w:r>
      <w:r w:rsidR="00DC4537">
        <w:instrText xml:space="preserve"> ADDIN ZOTERO_ITEM CSL_CITATION {"citationID":"btdG5jnR","properties":{"formattedCitation":"(COM(2020) 380 final, n.d.)","plainCitation":"(COM(2020) 380 final, n.d.)","dontUpdate":true,"noteIndex":0},"citationItems":[{"id":139,"uris":["http://zotero.org/groups/21774/items/2U7HN3JW"],"itemData":{"id":139,"type":"document","publisher":"COMMUNICATION FROM THE COMMISSION TO THE EUROPEAN PARLIAMENT, THE COUNCIL, THE EUROPEAN ECONOMIC AND SOCIAL COMMITTEE AND THE COMMITTEE OF THE REGIONS","title":"EU Biodiversity Strategy for 2030 Bringing nature back into our lives","URL":"https://eur-lex.europa.eu/resource.html?uri=cellar:a3c806a6-9ab3-11ea-9d2d-01aa75ed71a1.0001.02/DOC_1&amp;format=PDF","author":[{"family":"COM(2020) 380 final","given":""}],"issued":{"date-parts":[["2020"]]}}}],"schema":"https://github.com/citation-style-language/schema/raw/master/csl-citation.json"} </w:instrText>
      </w:r>
      <w:r w:rsidRPr="0067643C">
        <w:fldChar w:fldCharType="separate"/>
      </w:r>
      <w:r w:rsidRPr="0067643C">
        <w:rPr>
          <w:noProof/>
        </w:rPr>
        <w:t>(COM(2020) 380 final, 2020)</w:t>
      </w:r>
      <w:r w:rsidRPr="0067643C">
        <w:fldChar w:fldCharType="end"/>
      </w:r>
      <w:r w:rsidRPr="0067643C">
        <w:t>. The northern part of the Pannonian basin between Budapest, Vienna</w:t>
      </w:r>
      <w:r>
        <w:t xml:space="preserve"> and</w:t>
      </w:r>
      <w:r w:rsidRPr="0067643C">
        <w:t xml:space="preserve"> Bratislava </w:t>
      </w:r>
      <w:r>
        <w:t>up to</w:t>
      </w:r>
      <w:r w:rsidRPr="0067643C">
        <w:t xml:space="preserve"> Moravia in Czechia have </w:t>
      </w:r>
      <w:r>
        <w:t xml:space="preserve">the </w:t>
      </w:r>
      <w:r w:rsidRPr="0067643C">
        <w:t xml:space="preserve">most unutilised potential for wind power </w:t>
      </w:r>
      <w:r w:rsidRPr="0067643C">
        <w:fldChar w:fldCharType="begin"/>
      </w:r>
      <w:r w:rsidR="00DC4537">
        <w:instrText xml:space="preserve"> ADDIN ZOTERO_ITEM CSL_CITATION {"citationID":"dAXZReR5","properties":{"formattedCitation":"(ESPON, 2018e)","plainCitation":"(ESPON, 2018e)","noteIndex":0},"citationItems":[{"id":344,"uris":["http://zotero.org/groups/21774/items/YGE5FX23"],"itemData":{"id":344,"type":"report","event-place":"Luxembourg","publisher":"ESPON EGTC","publisher-place":"Luxembourg","title":"Territories and low-carbon economy (ESPON Locate). Final Report.","author":[{"family":"ESPON","given":""}],"issued":{"date-parts":[["2018"]]}}}],"schema":"https://github.com/citation-style-language/schema/raw/master/csl-citation.json"} </w:instrText>
      </w:r>
      <w:r w:rsidRPr="0067643C">
        <w:fldChar w:fldCharType="separate"/>
      </w:r>
      <w:r w:rsidR="00DC4537">
        <w:rPr>
          <w:noProof/>
        </w:rPr>
        <w:t>(ESPON, 2018e)</w:t>
      </w:r>
      <w:r w:rsidRPr="0067643C">
        <w:fldChar w:fldCharType="end"/>
      </w:r>
      <w:r w:rsidRPr="0067643C">
        <w:t xml:space="preserve">. Croatian coastal regions, regions of the Pannonian basin as well as </w:t>
      </w:r>
      <w:r>
        <w:t>those</w:t>
      </w:r>
      <w:r w:rsidRPr="0067643C">
        <w:t xml:space="preserve"> in the lower Danube river valley and the Danube have </w:t>
      </w:r>
      <w:r>
        <w:t xml:space="preserve">the </w:t>
      </w:r>
      <w:r w:rsidRPr="0067643C">
        <w:t xml:space="preserve">most unutilised potential for solar power </w:t>
      </w:r>
      <w:r w:rsidRPr="0067643C">
        <w:fldChar w:fldCharType="begin"/>
      </w:r>
      <w:r w:rsidR="00DC4537">
        <w:instrText xml:space="preserve"> ADDIN ZOTERO_ITEM CSL_CITATION {"citationID":"b8ij7LG6","properties":{"formattedCitation":"(ESPON, 2018e)","plainCitation":"(ESPON, 2018e)","noteIndex":0},"citationItems":[{"id":344,"uris":["http://zotero.org/groups/21774/items/YGE5FX23"],"itemData":{"id":344,"type":"report","event-place":"Luxembourg","publisher":"ESPON EGTC","publisher-place":"Luxembourg","title":"Territories and low-carbon economy (ESPON Locate). Final Report.","author":[{"family":"ESPON","given":""}],"issued":{"date-parts":[["2018"]]}}}],"schema":"https://github.com/citation-style-language/schema/raw/master/csl-citation.json"} </w:instrText>
      </w:r>
      <w:r w:rsidRPr="0067643C">
        <w:fldChar w:fldCharType="separate"/>
      </w:r>
      <w:r w:rsidR="00DC4537">
        <w:rPr>
          <w:noProof/>
        </w:rPr>
        <w:t>(ESPON, 2018e)</w:t>
      </w:r>
      <w:r w:rsidRPr="0067643C">
        <w:fldChar w:fldCharType="end"/>
      </w:r>
      <w:r w:rsidRPr="0067643C">
        <w:t xml:space="preserve">. </w:t>
      </w:r>
    </w:p>
    <w:p w14:paraId="7187265D" w14:textId="2003A238" w:rsidR="00EC5EC9" w:rsidRPr="0067643C" w:rsidRDefault="00EC5EC9" w:rsidP="00EC5EC9">
      <w:r w:rsidRPr="0067643C">
        <w:rPr>
          <w:b/>
          <w:bCs/>
        </w:rPr>
        <w:t>Reduced competiti</w:t>
      </w:r>
      <w:r>
        <w:rPr>
          <w:b/>
          <w:bCs/>
        </w:rPr>
        <w:t>veness</w:t>
      </w:r>
      <w:r w:rsidRPr="0067643C">
        <w:rPr>
          <w:b/>
          <w:bCs/>
        </w:rPr>
        <w:t xml:space="preserve"> of industry. </w:t>
      </w:r>
      <w:r w:rsidRPr="0067643C">
        <w:t xml:space="preserve">By 2050, a shift to </w:t>
      </w:r>
      <w:r>
        <w:t xml:space="preserve">a </w:t>
      </w:r>
      <w:r w:rsidRPr="0067643C">
        <w:t>sustainable econom</w:t>
      </w:r>
      <w:r>
        <w:t>y</w:t>
      </w:r>
      <w:r w:rsidRPr="0067643C">
        <w:t xml:space="preserve"> requires major investment for industrial processes, to reduce greenhouse gas emission</w:t>
      </w:r>
      <w:r>
        <w:t>s</w:t>
      </w:r>
      <w:r w:rsidRPr="0067643C">
        <w:t xml:space="preserve"> and to improve</w:t>
      </w:r>
      <w:r>
        <w:t xml:space="preserve"> the</w:t>
      </w:r>
      <w:r w:rsidRPr="0067643C">
        <w:t xml:space="preserve"> efficient use of resources. The same shift makes transportation more expensive. </w:t>
      </w:r>
      <w:r>
        <w:t>I</w:t>
      </w:r>
      <w:r w:rsidRPr="0067643C">
        <w:t xml:space="preserve">deas of a net-zero society </w:t>
      </w:r>
      <w:r>
        <w:t>mean</w:t>
      </w:r>
      <w:r w:rsidRPr="0067643C">
        <w:t xml:space="preserve"> sustainable transport options such as trains, trucks and ships fuelled by electric power or hydrogen pass on part of their investment costs to users. </w:t>
      </w:r>
      <w:r>
        <w:t>Using</w:t>
      </w:r>
      <w:r w:rsidRPr="0067643C">
        <w:t xml:space="preserve"> non-sustainable transport implies paying </w:t>
      </w:r>
      <w:r>
        <w:t>for</w:t>
      </w:r>
      <w:r w:rsidRPr="0067643C">
        <w:t xml:space="preserve"> carbon emissions. Industrial production is thus costlier in the Danube macro-regions by 2050 and less competitive against production in places with less strict environmental laws or cheap labour.</w:t>
      </w:r>
    </w:p>
    <w:p w14:paraId="68D7A136" w14:textId="40C06BB8" w:rsidR="00EC5EC9" w:rsidRPr="0067643C" w:rsidRDefault="00EC5EC9" w:rsidP="00EC5EC9">
      <w:r w:rsidRPr="0067643C">
        <w:t xml:space="preserve">Reduced </w:t>
      </w:r>
      <w:r>
        <w:t xml:space="preserve">industrial </w:t>
      </w:r>
      <w:r w:rsidRPr="0067643C">
        <w:t>competiti</w:t>
      </w:r>
      <w:r>
        <w:t xml:space="preserve">veness is </w:t>
      </w:r>
      <w:r w:rsidRPr="0067643C">
        <w:t xml:space="preserve">most evident in territories with high employment in industry. Non-competitive industry is </w:t>
      </w:r>
      <w:r>
        <w:t xml:space="preserve">more </w:t>
      </w:r>
      <w:r w:rsidRPr="0067643C">
        <w:t>like</w:t>
      </w:r>
      <w:r>
        <w:t>ly</w:t>
      </w:r>
      <w:r w:rsidRPr="0067643C">
        <w:t xml:space="preserve"> to lay off people or go out of business. The share of people working in industry is particularly high in Baden-Württemberg, Germany, regions in Czechia, including Northern Bohemia, Plzeň and Zlín, as well as regions in eastern Romania and southern and western Serbia </w:t>
      </w:r>
      <w:r w:rsidRPr="0067643C">
        <w:fldChar w:fldCharType="begin"/>
      </w:r>
      <w:r w:rsidR="00DC4537">
        <w:instrText xml:space="preserve"> ADDIN ZOTERO_ITEM CSL_CITATION {"citationID":"9nnjh3hR","properties":{"formattedCitation":"(BBSR &amp; ESPON, 2020)","plainCitation":"(BBSR &amp; ESPON, 2020)","noteIndex":0},"citationItems":[{"id":5019,"uris":["http://zotero.org/groups/21774/items/LH8PIJ6F"],"itemData":{"id":5019,"type":"book","event-place":"Berlin","publisher":"Federal Ministry fo the Interior, Building and Community","publisher-place":"Berlin","title":"Atlas for the Territorial Agenda 2030: Maps on European Territorial Development","author":[{"literal":"BBSR"},{"literal":"ESPON"}],"issued":{"date-parts":[["2020"]]}}}],"schema":"https://github.com/citation-style-language/schema/raw/master/csl-citation.json"} </w:instrText>
      </w:r>
      <w:r w:rsidRPr="0067643C">
        <w:fldChar w:fldCharType="separate"/>
      </w:r>
      <w:r w:rsidRPr="0067643C">
        <w:rPr>
          <w:noProof/>
        </w:rPr>
        <w:t>(BBSR &amp; ESPON, 2020)</w:t>
      </w:r>
      <w:r w:rsidRPr="0067643C">
        <w:fldChar w:fldCharType="end"/>
      </w:r>
      <w:r w:rsidRPr="0067643C">
        <w:t>.</w:t>
      </w:r>
    </w:p>
    <w:p w14:paraId="33509652" w14:textId="77777777" w:rsidR="00EC5EC9" w:rsidRPr="0067643C" w:rsidRDefault="00EC5EC9" w:rsidP="00EC5EC9">
      <w:r w:rsidRPr="0067643C">
        <w:t xml:space="preserve">Territories with low accessibility by rail as well as areas with few green innovations </w:t>
      </w:r>
      <w:r>
        <w:t>have the most negative impact on</w:t>
      </w:r>
      <w:r w:rsidRPr="0067643C">
        <w:t xml:space="preserve"> competitive</w:t>
      </w:r>
      <w:r>
        <w:t>ness for</w:t>
      </w:r>
      <w:r w:rsidRPr="0067643C">
        <w:t xml:space="preserve"> industry:</w:t>
      </w:r>
    </w:p>
    <w:p w14:paraId="35A38B60" w14:textId="19E2FB27" w:rsidR="00EC5EC9" w:rsidRPr="0067643C" w:rsidRDefault="00EC5EC9" w:rsidP="00EC5EC9">
      <w:pPr>
        <w:pStyle w:val="Bulletpoints"/>
        <w:spacing w:line="240" w:lineRule="atLeast"/>
        <w:ind w:left="714" w:hanging="357"/>
      </w:pPr>
      <w:r w:rsidRPr="0067643C">
        <w:t xml:space="preserve">Rail transport </w:t>
      </w:r>
      <w:r>
        <w:t>is</w:t>
      </w:r>
      <w:r w:rsidRPr="0067643C">
        <w:t xml:space="preserve"> a relatively cheap and sustainable option, while interoperable hydrogen systems for trucks, inland shipping or flights are still being set up. </w:t>
      </w:r>
      <w:r>
        <w:t>T</w:t>
      </w:r>
      <w:r w:rsidRPr="0067643C">
        <w:t xml:space="preserve">his scenario assumes that territories are still in transition to </w:t>
      </w:r>
      <w:r>
        <w:t xml:space="preserve">being </w:t>
      </w:r>
      <w:r w:rsidRPr="0067643C">
        <w:t>sustainable economies. Assuming realisation of the European transport network, rail infrastructure covers all parts of the Danube macro-region by 2050</w:t>
      </w:r>
      <w:r>
        <w:t xml:space="preserve"> and r</w:t>
      </w:r>
      <w:r w:rsidRPr="0067643C">
        <w:t xml:space="preserve">egions in Germany, Austria, Czechia and Hungary are best connected to high-speed lines. Regions in other parts of the macro-region are predominantly connected by conventional railways </w:t>
      </w:r>
      <w:r w:rsidRPr="0067643C">
        <w:fldChar w:fldCharType="begin"/>
      </w:r>
      <w:r w:rsidR="00DC4537">
        <w:instrText xml:space="preserve"> ADDIN ZOTERO_ITEM CSL_CITATION {"citationID":"I0ICsfM1","properties":{"formattedCitation":"(DG MOVE, 2020)","plainCitation":"(DG MOVE, 2020)","noteIndex":0},"citationItems":[{"id":8044,"uris":["http://zotero.org/groups/21774/items/AB5LKXK4"],"itemData":{"id":8044,"type":"webpage","container-title":"European Commission, Mobility and Transport","genre":"TENtec Geographic Information System","title":"TENtec Interactive Map Viewer","URL":"https://ec.europa.eu/transport/infrastructure/tentec/tentec-portal/map/maps.html","author":[{"family":"DG MOVE","given":""}],"accessed":{"date-parts":[["2021",11,8]]},"issued":{"date-parts":[["2020"]]}}}],"schema":"https://github.com/citation-style-language/schema/raw/master/csl-citation.json"} </w:instrText>
      </w:r>
      <w:r w:rsidRPr="0067643C">
        <w:fldChar w:fldCharType="separate"/>
      </w:r>
      <w:r w:rsidRPr="0067643C">
        <w:rPr>
          <w:noProof/>
        </w:rPr>
        <w:t>(DG MOVE, 2020)</w:t>
      </w:r>
      <w:r w:rsidRPr="0067643C">
        <w:fldChar w:fldCharType="end"/>
      </w:r>
      <w:r w:rsidRPr="0067643C">
        <w:t xml:space="preserve">. </w:t>
      </w:r>
      <w:r>
        <w:t>So</w:t>
      </w:r>
      <w:r w:rsidRPr="0067643C">
        <w:t>, industrial regions in Romania (e.g. Banat), Bulgaria (e.g. Stara Zagora), Serbia (Southern and Eastern Serbia and Western Serbia) are less competitive in European and global markets.</w:t>
      </w:r>
    </w:p>
    <w:p w14:paraId="5E26B592" w14:textId="2C153827" w:rsidR="00EC5EC9" w:rsidRPr="0067643C" w:rsidRDefault="00EC5EC9" w:rsidP="00EC5EC9">
      <w:pPr>
        <w:pStyle w:val="Bulletpoints-end"/>
        <w:spacing w:after="0" w:line="240" w:lineRule="atLeast"/>
        <w:ind w:left="714" w:hanging="357"/>
      </w:pPr>
      <w:r w:rsidRPr="0067643C">
        <w:t>Green innovation enhances regional competitive</w:t>
      </w:r>
      <w:r>
        <w:t>ness</w:t>
      </w:r>
      <w:r w:rsidRPr="0067643C">
        <w:t xml:space="preserve"> through </w:t>
      </w:r>
      <w:r>
        <w:t xml:space="preserve">a </w:t>
      </w:r>
      <w:r w:rsidRPr="0067643C">
        <w:t xml:space="preserve">more sustainable use of resources, preservation of environmental capital and external shocks such as climate change </w:t>
      </w:r>
      <w:r w:rsidRPr="0067643C">
        <w:fldChar w:fldCharType="begin"/>
      </w:r>
      <w:r w:rsidR="00DC4537">
        <w:instrText xml:space="preserve"> ADDIN ZOTERO_ITEM CSL_CITATION {"citationID":"2A642Ujt","properties":{"formattedCitation":"(ESPON, 2018a)","plainCitation":"(ESPON, 2018a)","noteIndex":0},"citationItems":[{"id":2997,"uris":["http://zotero.org/groups/21774/items/EKG45GZM"],"itemData":{"id":2997,"type":"report","event-place":"Luxembourg","publisher-place":"Luxembourg","title":"Possible European Territorial Futures. Volume B - The European Territory Today and Tomorrow","URL":"https://www.espon.eu/territorial-futures","author":[{"family":"ESPON","given":""}],"issued":{"date-parts":[["2018"]]}}}],"schema":"https://github.com/citation-style-language/schema/raw/master/csl-citation.json"} </w:instrText>
      </w:r>
      <w:r w:rsidRPr="0067643C">
        <w:fldChar w:fldCharType="separate"/>
      </w:r>
      <w:r w:rsidR="00DC4537">
        <w:rPr>
          <w:noProof/>
        </w:rPr>
        <w:t>(ESPON, 2018a)</w:t>
      </w:r>
      <w:r w:rsidRPr="0067643C">
        <w:fldChar w:fldCharType="end"/>
      </w:r>
      <w:r w:rsidRPr="0067643C">
        <w:t>. A lack of such innovation makes production processes costlier in a society transition</w:t>
      </w:r>
      <w:r>
        <w:t>ing</w:t>
      </w:r>
      <w:r w:rsidRPr="0067643C">
        <w:t xml:space="preserve"> to </w:t>
      </w:r>
      <w:r>
        <w:t xml:space="preserve">a </w:t>
      </w:r>
      <w:r w:rsidRPr="0067643C">
        <w:t xml:space="preserve">sustainable economy. The number of green patents is concentrated in Europe and mostly lacking in Eastern European countries, </w:t>
      </w:r>
      <w:r>
        <w:t>especially</w:t>
      </w:r>
      <w:r w:rsidRPr="0067643C">
        <w:t xml:space="preserve"> outside capital regions </w:t>
      </w:r>
      <w:r w:rsidRPr="0067643C">
        <w:fldChar w:fldCharType="begin"/>
      </w:r>
      <w:r w:rsidR="00DC4537">
        <w:instrText xml:space="preserve"> ADDIN ZOTERO_ITEM CSL_CITATION {"citationID":"szK2pzAo","properties":{"formattedCitation":"(ESPON, 2013)","plainCitation":"(ESPON, 2013)","noteIndex":0},"citationItems":[{"id":4233,"uris":["http://zotero.org/groups/21774/items/YDDI7824"],"itemData":{"id":4233,"type":"report","event-place":"Luxembourg","publisher":"ESPON","publisher-place":"Luxembourg","title":"GREECO - Territorial Potentials for a Greener Economy. Final Report.","author":[{"family":"ESPON","given":""}],"issued":{"date-parts":[["2013"]]}}}],"schema":"https://github.com/citation-style-language/schema/raw/master/csl-citation.json"} </w:instrText>
      </w:r>
      <w:r w:rsidRPr="0067643C">
        <w:fldChar w:fldCharType="separate"/>
      </w:r>
      <w:r w:rsidRPr="0067643C">
        <w:rPr>
          <w:noProof/>
        </w:rPr>
        <w:t>(ESPON, 2013)</w:t>
      </w:r>
      <w:r w:rsidRPr="0067643C">
        <w:fldChar w:fldCharType="end"/>
      </w:r>
      <w:r w:rsidRPr="0067643C">
        <w:t xml:space="preserve">. Industrial areas outside capital regions and in eastern parts of the macro-region are </w:t>
      </w:r>
      <w:r>
        <w:t>the</w:t>
      </w:r>
      <w:r w:rsidRPr="0067643C">
        <w:t xml:space="preserve"> least competitive by 2050.</w:t>
      </w:r>
    </w:p>
    <w:p w14:paraId="0E1077C3" w14:textId="65AA92BA" w:rsidR="00EC5EC9" w:rsidRPr="0067643C" w:rsidRDefault="00EC5EC9" w:rsidP="00EC5EC9">
      <w:r w:rsidRPr="0067643C">
        <w:rPr>
          <w:b/>
          <w:bCs/>
        </w:rPr>
        <w:t xml:space="preserve">Challenging public service provision. </w:t>
      </w:r>
      <w:r w:rsidRPr="0067643C">
        <w:t xml:space="preserve">By 2050, most territories in the Danube macro-region are declining in population. These places lack a critical mass to sustain public services for health care, education, culture and leisure </w:t>
      </w:r>
      <w:r w:rsidRPr="0067643C">
        <w:fldChar w:fldCharType="begin"/>
      </w:r>
      <w:r w:rsidR="00DC4537">
        <w:instrText xml:space="preserve"> ADDIN ZOTERO_ITEM CSL_CITATION {"citationID":"XPRnAozh","properties":{"formattedCitation":"(OECD/EC-JRC, 2021)","plainCitation":"(OECD/EC-JRC, 2021)","noteIndex":0},"citationItems":[{"id":7999,"uris":["http://zotero.org/groups/21774/items/576XYF9W"],"itemData":{"id":7999,"type":"document","publisher":"OECD rural studies, OECD publishing, Paris","title":"Access and costs of education and health services: preparing the regions for demographic change","URL":"https://doi.org/10.1787/4ab69cf3-en","author":[{"family":"OECD/EC-JRC","given":""}],"accessed":{"date-parts":[["2021",3,8]]},"issued":{"date-parts":[["2021"]]}}}],"schema":"https://github.com/citation-style-language/schema/raw/master/csl-citation.json"} </w:instrText>
      </w:r>
      <w:r w:rsidRPr="0067643C">
        <w:fldChar w:fldCharType="separate"/>
      </w:r>
      <w:r w:rsidRPr="0067643C">
        <w:rPr>
          <w:noProof/>
        </w:rPr>
        <w:t>(OECD/EC-JRC, 2021)</w:t>
      </w:r>
      <w:r w:rsidRPr="0067643C">
        <w:fldChar w:fldCharType="end"/>
      </w:r>
      <w:r w:rsidRPr="0067643C">
        <w:t>. Moreover, decreas</w:t>
      </w:r>
      <w:r>
        <w:t>ed</w:t>
      </w:r>
      <w:r w:rsidRPr="0067643C">
        <w:t xml:space="preserve"> acces</w:t>
      </w:r>
      <w:r>
        <w:t>s</w:t>
      </w:r>
      <w:r w:rsidRPr="0067643C">
        <w:t xml:space="preserve"> to public services and better economic opportunities elsewhere are key driving factors for people to leave these places </w:t>
      </w:r>
      <w:r w:rsidRPr="0067643C">
        <w:fldChar w:fldCharType="begin"/>
      </w:r>
      <w:r w:rsidR="00DC4537">
        <w:instrText xml:space="preserve"> ADDIN ZOTERO_ITEM CSL_CITATION {"citationID":"ZiDRTNzO","properties":{"formattedCitation":"(Noguera, Mar Ortega-Reig, Hector del Alcazar, Copus Andres, Francesco Mantino, &amp; Barbara Forcina, 2017)","plainCitation":"(Noguera, Mar Ortega-Reig, Hector del Alcazar, Copus Andres, Francesco Mantino, &amp; Barbara Forcina, 2017)","noteIndex":0},"citationItems":[{"id":568,"uris":["http://zotero.org/groups/21774/items/NNDNXLJY"],"itemData":{"id":568,"type":"report","event-place":"Luxembourg","genre":"Final Report","publisher":"ESPON EGTC","publisher-place":"Luxembourg","title":"PROFECY - Processes, Features and Cycles of Inner Peripheries in Europe","author":[{"family":"Noguera","given":"Joan"},{"literal":"Mar Ortega-Reig"},{"literal":"Hector del Alcazar"},{"literal":"Copus Andres"},{"literal":"Francesco Mantino"},{"literal":"Barbara Forcina"}],"issued":{"date-parts":[["2017"]]}}}],"schema":"https://github.com/citation-style-language/schema/raw/master/csl-citation.json"} </w:instrText>
      </w:r>
      <w:r w:rsidRPr="0067643C">
        <w:fldChar w:fldCharType="separate"/>
      </w:r>
      <w:r w:rsidRPr="0067643C">
        <w:rPr>
          <w:noProof/>
        </w:rPr>
        <w:t>(Noguera, Mar Ortega-Reig, Hector del Alcazar, Copus Andres, Francesco Mantino, &amp; Barbara Forcina, 2017)</w:t>
      </w:r>
      <w:r w:rsidRPr="0067643C">
        <w:fldChar w:fldCharType="end"/>
      </w:r>
      <w:r w:rsidRPr="0067643C">
        <w:t xml:space="preserve">. </w:t>
      </w:r>
      <w:r>
        <w:t>A</w:t>
      </w:r>
      <w:r w:rsidRPr="0067643C">
        <w:t xml:space="preserve">ccess to public services in rural places </w:t>
      </w:r>
      <w:r>
        <w:t>is part of</w:t>
      </w:r>
      <w:r w:rsidRPr="0067643C">
        <w:t xml:space="preserve"> a negative spiral leading to depopulat</w:t>
      </w:r>
      <w:r>
        <w:t>ion</w:t>
      </w:r>
      <w:r w:rsidRPr="0067643C">
        <w:t>.</w:t>
      </w:r>
    </w:p>
    <w:p w14:paraId="28CF1F86" w14:textId="25FB7E5A" w:rsidR="00EC5EC9" w:rsidRPr="0067643C" w:rsidRDefault="00EC5EC9" w:rsidP="00EC5EC9">
      <w:r w:rsidRPr="0067643C">
        <w:t xml:space="preserve">Challenges for public service provision are most evident in territories with a declining population. By 2050, urban </w:t>
      </w:r>
      <w:r>
        <w:t>and</w:t>
      </w:r>
      <w:r w:rsidRPr="0067643C">
        <w:t xml:space="preserve"> rural territories experience population decline (Figure 4.</w:t>
      </w:r>
      <w:r w:rsidR="00BB41BB">
        <w:t>2</w:t>
      </w:r>
      <w:r w:rsidRPr="0067643C">
        <w:t xml:space="preserve">). Shrinking cities include Bratislava, Karlovy Vary, Oradea, Satu Mare and Burgas. 75% of rural areas will decline, </w:t>
      </w:r>
      <w:r>
        <w:t>especially</w:t>
      </w:r>
      <w:r w:rsidRPr="0067643C">
        <w:t xml:space="preserve"> in the Carpathians, Sava River valley, the Danube valley between Romania and Bulgaria as well as in the Dinaric Alps. Many of these territories already have a low population density </w:t>
      </w:r>
      <w:r w:rsidRPr="0067643C">
        <w:fldChar w:fldCharType="begin"/>
      </w:r>
      <w:r w:rsidR="00DC4537">
        <w:instrText xml:space="preserve"> ADDIN ZOTERO_ITEM CSL_CITATION {"citationID":"HX4BJHzG","properties":{"formattedCitation":"(Eurostat, 2020a)","plainCitation":"(Eurostat, 2020a)","noteIndex":0},"citationItems":[{"id":5020,"uris":["http://zotero.org/groups/21774/items/GKDC9AVE"],"itemData":{"id":5020,"type":"book","event-place":"Luxembourg","language":"eng","publisher":"Publications Office of the European Union","publisher-place":"Luxembourg","source":"DOI.org (CSL JSON)","title":"Eurostat regional yearbook: 2020 edition.","title-short":"Eurostat regional yearbook","URL":"https://data.europa.eu/doi/10.2785/98733","author":[{"literal":"Eurostat"}],"accessed":{"date-parts":[["2021",2,25]]},"issued":{"date-parts":[["2020"]]}}}],"schema":"https://github.com/citation-style-language/schema/raw/master/csl-citation.json"} </w:instrText>
      </w:r>
      <w:r w:rsidRPr="0067643C">
        <w:fldChar w:fldCharType="separate"/>
      </w:r>
      <w:r w:rsidR="00DC4537">
        <w:rPr>
          <w:noProof/>
        </w:rPr>
        <w:t>(Eurostat, 2020a)</w:t>
      </w:r>
      <w:r w:rsidRPr="0067643C">
        <w:fldChar w:fldCharType="end"/>
      </w:r>
      <w:r w:rsidRPr="0067643C">
        <w:t>.</w:t>
      </w:r>
    </w:p>
    <w:p w14:paraId="7AC4D30D" w14:textId="710DFE49" w:rsidR="008308D0" w:rsidRPr="00702488" w:rsidRDefault="008308D0" w:rsidP="008308D0">
      <w:pPr>
        <w:pStyle w:val="Caption"/>
      </w:pPr>
      <w:bookmarkStart w:id="18" w:name="_Toc100584683"/>
      <w:r w:rsidRPr="00702488">
        <w:t xml:space="preserve">Figure </w:t>
      </w:r>
      <w:r w:rsidR="008B0066">
        <w:fldChar w:fldCharType="begin"/>
      </w:r>
      <w:r w:rsidR="008B0066">
        <w:instrText xml:space="preserve"> STYLEREF 1 \s </w:instrText>
      </w:r>
      <w:r w:rsidR="008B0066">
        <w:fldChar w:fldCharType="separate"/>
      </w:r>
      <w:r w:rsidR="006839DA">
        <w:rPr>
          <w:noProof/>
        </w:rPr>
        <w:t>4</w:t>
      </w:r>
      <w:r w:rsidR="008B0066">
        <w:fldChar w:fldCharType="end"/>
      </w:r>
      <w:r w:rsidR="008B0066">
        <w:noBreakHyphen/>
      </w:r>
      <w:r w:rsidR="008B0066">
        <w:fldChar w:fldCharType="begin"/>
      </w:r>
      <w:r w:rsidR="008B0066">
        <w:instrText xml:space="preserve"> SEQ Figure \* ARABIC \s 1 </w:instrText>
      </w:r>
      <w:r w:rsidR="008B0066">
        <w:fldChar w:fldCharType="separate"/>
      </w:r>
      <w:r w:rsidR="006839DA">
        <w:rPr>
          <w:noProof/>
        </w:rPr>
        <w:t>2</w:t>
      </w:r>
      <w:r w:rsidR="008B0066">
        <w:fldChar w:fldCharType="end"/>
      </w:r>
      <w:r w:rsidR="00770ADC">
        <w:t xml:space="preserve"> </w:t>
      </w:r>
      <w:r w:rsidRPr="00702488">
        <w:t>Population projections 2020-2050 in the Danube area by typology</w:t>
      </w:r>
      <w:bookmarkEnd w:id="17"/>
      <w:bookmarkEnd w:id="18"/>
    </w:p>
    <w:p w14:paraId="6BE1919B" w14:textId="77777777" w:rsidR="008308D0" w:rsidRPr="00702488" w:rsidRDefault="008308D0" w:rsidP="008308D0">
      <w:pPr>
        <w:spacing w:before="0" w:line="240" w:lineRule="auto"/>
      </w:pPr>
      <w:r w:rsidRPr="00702488">
        <w:rPr>
          <w:noProof/>
        </w:rPr>
        <w:drawing>
          <wp:inline distT="0" distB="0" distL="0" distR="0" wp14:anchorId="3417817A" wp14:editId="31AE6456">
            <wp:extent cx="4555958" cy="216560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21">
                      <a:extLst>
                        <a:ext uri="{28A0092B-C50C-407E-A947-70E740481C1C}">
                          <a14:useLocalDpi xmlns:a14="http://schemas.microsoft.com/office/drawing/2010/main" val="0"/>
                        </a:ext>
                      </a:extLst>
                    </a:blip>
                    <a:srcRect l="17274" t="10440" r="31577" b="55152"/>
                    <a:stretch/>
                  </pic:blipFill>
                  <pic:spPr bwMode="auto">
                    <a:xfrm>
                      <a:off x="0" y="0"/>
                      <a:ext cx="4579224" cy="2176667"/>
                    </a:xfrm>
                    <a:prstGeom prst="rect">
                      <a:avLst/>
                    </a:prstGeom>
                    <a:ln>
                      <a:noFill/>
                    </a:ln>
                    <a:extLst>
                      <a:ext uri="{53640926-AAD7-44D8-BBD7-CCE9431645EC}">
                        <a14:shadowObscured xmlns:a14="http://schemas.microsoft.com/office/drawing/2010/main"/>
                      </a:ext>
                    </a:extLst>
                  </pic:spPr>
                </pic:pic>
              </a:graphicData>
            </a:graphic>
          </wp:inline>
        </w:drawing>
      </w:r>
    </w:p>
    <w:p w14:paraId="479BD920" w14:textId="77777777" w:rsidR="008308D0" w:rsidRPr="00C65E90" w:rsidRDefault="008308D0" w:rsidP="008308D0">
      <w:pPr>
        <w:spacing w:before="0" w:line="240" w:lineRule="auto"/>
        <w:rPr>
          <w:sz w:val="16"/>
          <w:szCs w:val="16"/>
        </w:rPr>
      </w:pPr>
      <w:r w:rsidRPr="00C65E90">
        <w:rPr>
          <w:sz w:val="16"/>
          <w:szCs w:val="16"/>
        </w:rPr>
        <w:t>Source: own elaboration based on Eurostat 2020 population projections</w:t>
      </w:r>
    </w:p>
    <w:p w14:paraId="52F5A294" w14:textId="6567CCD4" w:rsidR="007C18BF" w:rsidRPr="0067643C" w:rsidRDefault="007C18BF" w:rsidP="007C18BF">
      <w:r w:rsidRPr="0067643C">
        <w:t xml:space="preserve">Digital solutions provide opportunities to overcome population decline, such as digital health care or education services as well as robotics for agriculture </w:t>
      </w:r>
      <w:r w:rsidRPr="0067643C">
        <w:fldChar w:fldCharType="begin"/>
      </w:r>
      <w:r w:rsidR="00DC4537">
        <w:instrText xml:space="preserve"> ADDIN ZOTERO_ITEM CSL_CITATION {"citationID":"Phly0bpU","properties":{"formattedCitation":"(Territorial Agenda, 2020)","plainCitation":"(Territorial Agenda, 2020)","noteIndex":0},"citationItems":[{"id":5018,"uris":["http://zotero.org/groups/21774/items/JRV25GUT"],"itemData":{"id":5018,"type":"report","event-place":"Berlin","publisher":"Ministerial meeting of the EU under the German presidency of the Federal Ministry of the Interior, Building and Community","publisher-place":"Berlin","title":"Territorial Agenda 2030: A future for all places","URL":"www.territorialagenda.eu","author":[{"literal":"Territorial Agenda"}],"issued":{"date-parts":[["2020"]]}}}],"schema":"https://github.com/citation-style-language/schema/raw/master/csl-citation.json"} </w:instrText>
      </w:r>
      <w:r w:rsidRPr="0067643C">
        <w:fldChar w:fldCharType="separate"/>
      </w:r>
      <w:r w:rsidRPr="0067643C">
        <w:rPr>
          <w:noProof/>
        </w:rPr>
        <w:t>(Territorial Agenda, 2020)</w:t>
      </w:r>
      <w:r w:rsidRPr="0067643C">
        <w:fldChar w:fldCharType="end"/>
      </w:r>
      <w:r w:rsidRPr="0067643C">
        <w:t xml:space="preserve">. However, the digital divide as assumed </w:t>
      </w:r>
      <w:r>
        <w:t>in</w:t>
      </w:r>
      <w:r w:rsidRPr="0067643C">
        <w:t xml:space="preserve"> this scenario hampers the use of digital solutions, meaning:</w:t>
      </w:r>
    </w:p>
    <w:p w14:paraId="346AF875" w14:textId="77777777" w:rsidR="007C18BF" w:rsidRPr="0067643C" w:rsidRDefault="007C18BF" w:rsidP="007C18BF">
      <w:pPr>
        <w:pStyle w:val="Bulletpoints"/>
        <w:spacing w:line="240" w:lineRule="atLeast"/>
        <w:ind w:left="714" w:hanging="357"/>
      </w:pPr>
      <w:r w:rsidRPr="0067643C">
        <w:t xml:space="preserve">Public authorities favour trusted providers for digital connectivity. Universal solutions </w:t>
      </w:r>
      <w:r>
        <w:t>for</w:t>
      </w:r>
      <w:r w:rsidRPr="0067643C">
        <w:t xml:space="preserve"> satellite internet as developed by Elon Musk’s Starlink or the Chinese government are available by 2050 but mostly used by private persons. Public authorities prefer other providers for public services which requires infrastructure.</w:t>
      </w:r>
    </w:p>
    <w:p w14:paraId="06CA818A" w14:textId="7E501E89" w:rsidR="007C18BF" w:rsidRPr="0067643C" w:rsidRDefault="007C18BF" w:rsidP="007C18BF">
      <w:pPr>
        <w:pStyle w:val="Bulletpoints"/>
        <w:spacing w:line="240" w:lineRule="atLeast"/>
        <w:ind w:left="714" w:hanging="357"/>
      </w:pPr>
      <w:r w:rsidRPr="0067643C">
        <w:t xml:space="preserve">Digital solutions are available in areas with the necessary infrastructure. A lack of income as </w:t>
      </w:r>
      <w:r>
        <w:t xml:space="preserve">a </w:t>
      </w:r>
      <w:r w:rsidRPr="0067643C">
        <w:t xml:space="preserve">result of population decline, hampers investments in digital connectivity by local authorities. In this case, the pressures of population decline </w:t>
      </w:r>
      <w:r>
        <w:t>hinder</w:t>
      </w:r>
      <w:r w:rsidRPr="0067643C">
        <w:t xml:space="preserve"> technological advancement and regional and local economies </w:t>
      </w:r>
      <w:r w:rsidRPr="0067643C">
        <w:fldChar w:fldCharType="begin"/>
      </w:r>
      <w:r w:rsidR="00DC4537">
        <w:instrText xml:space="preserve"> ADDIN ZOTERO_ITEM CSL_CITATION {"citationID":"M0eBbdGV","properties":{"formattedCitation":"(European Commission Directorate General for Research and Innovation., 2012)","plainCitation":"(European Commission Directorate General for Research and Innovation., 2012)","dontUpdate":true,"noteIndex":0},"citationItems":[{"id":7914,"uris":["http://zotero.org/groups/4075961/items/R6LGQ9YA"],"itemData":{"id":7914,"type":"book","event-place":"LU","language":"en","publisher":"Publications Office","publisher-place":"LU","source":"DOI.org (CSL JSON)","title":"Global Europe 2050.","URL":"https://data.europa.eu/doi/10.2777/79992","author":[{"family":"European Commission Directorate General for Research and Innovation.","given":""}],"accessed":{"date-parts":[["2021",7,26]]},"issued":{"date-parts":[["2012"]]}}}],"schema":"https://github.com/citation-style-language/schema/raw/master/csl-citation.json"} </w:instrText>
      </w:r>
      <w:r w:rsidRPr="0067643C">
        <w:fldChar w:fldCharType="separate"/>
      </w:r>
      <w:r w:rsidRPr="0067643C">
        <w:t>(European Commission Directorate General for Research and Innovation, 2012)</w:t>
      </w:r>
      <w:r w:rsidRPr="0067643C">
        <w:fldChar w:fldCharType="end"/>
      </w:r>
      <w:r w:rsidRPr="0067643C">
        <w:t xml:space="preserve">. </w:t>
      </w:r>
    </w:p>
    <w:p w14:paraId="21D8473A" w14:textId="3F9F010E" w:rsidR="007C18BF" w:rsidRPr="0067643C" w:rsidRDefault="007C18BF" w:rsidP="007C18BF">
      <w:r w:rsidRPr="0067643C">
        <w:t>Territories with low rural broadband coverage have</w:t>
      </w:r>
      <w:r>
        <w:t xml:space="preserve"> the</w:t>
      </w:r>
      <w:r w:rsidRPr="0067643C">
        <w:t xml:space="preserve"> most difficulties to provide public services by 2050. Regions in Bosnia Herzegovina have among the lowest coverage of broadband internet </w:t>
      </w:r>
      <w:r w:rsidRPr="0067643C">
        <w:fldChar w:fldCharType="begin"/>
      </w:r>
      <w:r w:rsidR="00DC4537">
        <w:instrText xml:space="preserve"> ADDIN ZOTERO_ITEM CSL_CITATION {"citationID":"bWSozhEU","properties":{"formattedCitation":"(Tech4i2, Time.lex, &amp; Jurjevic, 2019)","plainCitation":"(Tech4i2, Time.lex, &amp; Jurjevic, 2019)","noteIndex":0},"citationItems":[{"id":8052,"uris":["http://zotero.org/groups/21774/items/YIB322EL"],"itemData":{"id":8052,"type":"document","publisher":"European Commission, DG Communications Networks, Content, Technologgy","title":"Monitoring the Digital Economy and Electronic Communication Services in the Western Balkans and Turkey","URL":"https://www.rcc.int/files/user/docs/3%20-%20DESI%202019.pdf","author":[{"family":"Tech4i2","given":""},{"family":"Time.lex","given":""},{"family":"Jurjevic","given":"Domagoj"}],"issued":{"date-parts":[["2019"]]}}}],"schema":"https://github.com/citation-style-language/schema/raw/master/csl-citation.json"} </w:instrText>
      </w:r>
      <w:r w:rsidRPr="0067643C">
        <w:fldChar w:fldCharType="separate"/>
      </w:r>
      <w:r w:rsidRPr="0067643C">
        <w:t>(Tech4i2, Time.lex, &amp; Jurjevic, 2019)</w:t>
      </w:r>
      <w:r w:rsidRPr="0067643C">
        <w:fldChar w:fldCharType="end"/>
      </w:r>
      <w:r w:rsidRPr="0067643C">
        <w:t xml:space="preserve">. In addition, the region of Moldova in Romania and rural regions in Bulgaria and Croatia (e.g. Slavonia) have </w:t>
      </w:r>
      <w:r>
        <w:t xml:space="preserve">the </w:t>
      </w:r>
      <w:r w:rsidRPr="0067643C">
        <w:t xml:space="preserve">lowest share of next generation internet access </w:t>
      </w:r>
      <w:r w:rsidRPr="0067643C">
        <w:fldChar w:fldCharType="begin"/>
      </w:r>
      <w:r w:rsidR="00DC4537">
        <w:instrText xml:space="preserve"> ADDIN ZOTERO_ITEM CSL_CITATION {"citationID":"wsnNw77G","properties":{"formattedCitation":"(BBSR &amp; ESPON, 2020)","plainCitation":"(BBSR &amp; ESPON, 2020)","noteIndex":0},"citationItems":[{"id":5019,"uris":["http://zotero.org/groups/21774/items/LH8PIJ6F"],"itemData":{"id":5019,"type":"book","event-place":"Berlin","publisher":"Federal Ministry fo the Interior, Building and Community","publisher-place":"Berlin","title":"Atlas for the Territorial Agenda 2030: Maps on European Territorial Development","author":[{"literal":"BBSR"},{"literal":"ESPON"}],"issued":{"date-parts":[["2020"]]}}}],"schema":"https://github.com/citation-style-language/schema/raw/master/csl-citation.json"} </w:instrText>
      </w:r>
      <w:r w:rsidRPr="0067643C">
        <w:fldChar w:fldCharType="separate"/>
      </w:r>
      <w:r w:rsidRPr="0067643C">
        <w:t>(BBSR &amp; ESPON, 2020)</w:t>
      </w:r>
      <w:r w:rsidRPr="0067643C">
        <w:fldChar w:fldCharType="end"/>
      </w:r>
      <w:r w:rsidRPr="0067643C">
        <w:t>.</w:t>
      </w:r>
    </w:p>
    <w:p w14:paraId="0131497A" w14:textId="6BD77E24" w:rsidR="007C18BF" w:rsidRPr="0067643C" w:rsidRDefault="007C18BF" w:rsidP="007C18BF">
      <w:r w:rsidRPr="0067643C">
        <w:rPr>
          <w:b/>
          <w:bCs/>
        </w:rPr>
        <w:t xml:space="preserve">Islands of innovation and population growth. </w:t>
      </w:r>
      <w:r w:rsidRPr="0067643C">
        <w:t xml:space="preserve">The transition to sustainable economies, population changes and a digital divide provides positive perspectives for a few territories in the Danube macro-region. </w:t>
      </w:r>
      <w:r>
        <w:t>In particular t</w:t>
      </w:r>
      <w:r w:rsidRPr="0067643C">
        <w:t xml:space="preserve">hese are territories that reap the benefits </w:t>
      </w:r>
      <w:r>
        <w:t>of</w:t>
      </w:r>
      <w:r w:rsidRPr="0067643C">
        <w:t xml:space="preserve"> technological breakthroughs. The application of technological breakthroughs is a driving factor for </w:t>
      </w:r>
      <w:r>
        <w:t xml:space="preserve">a </w:t>
      </w:r>
      <w:r w:rsidRPr="0067643C">
        <w:t>sustainable econom</w:t>
      </w:r>
      <w:r>
        <w:t>y</w:t>
      </w:r>
      <w:r w:rsidRPr="0067643C">
        <w:t>, such as a net-zero society,</w:t>
      </w:r>
      <w:r w:rsidRPr="0067643C">
        <w:rPr>
          <w:b/>
          <w:bCs/>
        </w:rPr>
        <w:t xml:space="preserve"> </w:t>
      </w:r>
      <w:r w:rsidRPr="0067643C">
        <w:t>circular econom</w:t>
      </w:r>
      <w:r>
        <w:t>y</w:t>
      </w:r>
      <w:r w:rsidRPr="0067643C">
        <w:t xml:space="preserve"> and sustainable transport</w:t>
      </w:r>
      <w:r w:rsidR="00C65E90">
        <w:t>.</w:t>
      </w:r>
      <w:r w:rsidRPr="0067643C">
        <w:t xml:space="preserve"> In addition, they help with the adoption of clean energ</w:t>
      </w:r>
      <w:r>
        <w:t>y</w:t>
      </w:r>
      <w:r w:rsidRPr="0067643C">
        <w:t xml:space="preserve"> and mitigate negative effects of climate change. </w:t>
      </w:r>
      <w:r>
        <w:t>This</w:t>
      </w:r>
      <w:r w:rsidRPr="0067643C">
        <w:t xml:space="preserve"> make</w:t>
      </w:r>
      <w:r>
        <w:t>s</w:t>
      </w:r>
      <w:r w:rsidRPr="0067643C">
        <w:t xml:space="preserve"> these places attractive for people from places with less positive perspectives, for example places that deal with biodiversity loss, a lack of energy, non-competitive industries, or a lack of service provision. Hence, application of the baseline assumption depicts these places as islands of innovation and population growth by 2050.</w:t>
      </w:r>
    </w:p>
    <w:p w14:paraId="5ADC72C8" w14:textId="1CA70A2B" w:rsidR="007C18BF" w:rsidRPr="0067643C" w:rsidRDefault="007C18BF" w:rsidP="007C18BF">
      <w:r w:rsidRPr="0067643C">
        <w:t xml:space="preserve">Early adopters of 4.0 technologies are most visible as islands innovation and population growth. The 4th industrial revolution leads to </w:t>
      </w:r>
      <w:r>
        <w:t xml:space="preserve">technological </w:t>
      </w:r>
      <w:r w:rsidRPr="0067643C">
        <w:t xml:space="preserve">fusion and the lines between physical, digital and biological systems becoming blurred, transforming the labour market significantly.  Moreover, new technical solutions rapidly rolled out across the world increasingly create ‘winner takes all’ economies. This gives an additional relevance to regions and urban agglomerations in economic transition </w:t>
      </w:r>
      <w:r w:rsidRPr="0067643C">
        <w:fldChar w:fldCharType="begin"/>
      </w:r>
      <w:r w:rsidR="00DC4537">
        <w:instrText xml:space="preserve"> ADDIN ZOTERO_ITEM CSL_CITATION {"citationID":"92TFYHh1","properties":{"formattedCitation":"(Territorial Agenda, 2020)","plainCitation":"(Territorial Agenda, 2020)","noteIndex":0},"citationItems":[{"id":5018,"uris":["http://zotero.org/groups/21774/items/JRV25GUT"],"itemData":{"id":5018,"type":"report","event-place":"Berlin","publisher":"Ministerial meeting of the EU under the German presidency of the Federal Ministry of the Interior, Building and Community","publisher-place":"Berlin","title":"Territorial Agenda 2030: A future for all places","URL":"www.territorialagenda.eu","author":[{"literal":"Territorial Agenda"}],"issued":{"date-parts":[["2020"]]}}}],"schema":"https://github.com/citation-style-language/schema/raw/master/csl-citation.json"} </w:instrText>
      </w:r>
      <w:r w:rsidRPr="0067643C">
        <w:fldChar w:fldCharType="separate"/>
      </w:r>
      <w:r w:rsidRPr="0067643C">
        <w:rPr>
          <w:noProof/>
        </w:rPr>
        <w:t>(Territorial Agenda, 2020)</w:t>
      </w:r>
      <w:r w:rsidRPr="0067643C">
        <w:fldChar w:fldCharType="end"/>
      </w:r>
      <w:r w:rsidRPr="0067643C">
        <w:t>. German and Austrian regions as well as Budapest are technology leaders</w:t>
      </w:r>
      <w:r>
        <w:t>.</w:t>
      </w:r>
      <w:r w:rsidRPr="0067643C">
        <w:t xml:space="preserve"> Budapest, Vienna and areas around Munich focus on digitalisation and robotisation in the service sector, the remaining regions focus on digitalisation and robotisation of industry </w:t>
      </w:r>
      <w:r w:rsidRPr="0067643C">
        <w:fldChar w:fldCharType="begin"/>
      </w:r>
      <w:r w:rsidR="00DC4537">
        <w:instrText xml:space="preserve"> ADDIN ZOTERO_ITEM CSL_CITATION {"citationID":"NulQBgma","properties":{"formattedCitation":"(BBSR &amp; ESPON, 2020)","plainCitation":"(BBSR &amp; ESPON, 2020)","noteIndex":0},"citationItems":[{"id":5019,"uris":["http://zotero.org/groups/21774/items/LH8PIJ6F"],"itemData":{"id":5019,"type":"book","event-place":"Berlin","publisher":"Federal Ministry fo the Interior, Building and Community","publisher-place":"Berlin","title":"Atlas for the Territorial Agenda 2030: Maps on European Territorial Development","author":[{"literal":"BBSR"},{"literal":"ESPON"}],"issued":{"date-parts":[["2020"]]}}}],"schema":"https://github.com/citation-style-language/schema/raw/master/csl-citation.json"} </w:instrText>
      </w:r>
      <w:r w:rsidRPr="0067643C">
        <w:fldChar w:fldCharType="separate"/>
      </w:r>
      <w:r w:rsidRPr="0067643C">
        <w:rPr>
          <w:noProof/>
        </w:rPr>
        <w:t>(BBSR &amp; ESPON, 2020)</w:t>
      </w:r>
      <w:r w:rsidRPr="0067643C">
        <w:fldChar w:fldCharType="end"/>
      </w:r>
      <w:r w:rsidRPr="0067643C">
        <w:t xml:space="preserve">. Other regions </w:t>
      </w:r>
      <w:r>
        <w:t>could</w:t>
      </w:r>
      <w:r w:rsidRPr="0067643C">
        <w:t xml:space="preserve"> leapfrog on technological breakthroughs. Creative capacit</w:t>
      </w:r>
      <w:r>
        <w:t>y</w:t>
      </w:r>
      <w:r w:rsidRPr="0067643C">
        <w:t xml:space="preserve"> and low entry barriers for new technolog</w:t>
      </w:r>
      <w:r>
        <w:t>y</w:t>
      </w:r>
      <w:r w:rsidRPr="0067643C">
        <w:t xml:space="preserve"> facilitate uptake in these regions without full application of preceding technological transformations </w:t>
      </w:r>
      <w:r w:rsidRPr="0067643C">
        <w:fldChar w:fldCharType="begin"/>
      </w:r>
      <w:r w:rsidR="00DC4537">
        <w:instrText xml:space="preserve"> ADDIN ZOTERO_ITEM CSL_CITATION {"citationID":"0yZOSVZS","properties":{"formattedCitation":"(Capello, Lenzi, Nausedaite, &amp; Romanainen, 2020)","plainCitation":"(Capello, Lenzi, Nausedaite, &amp; Romanainen, 2020)","noteIndex":0},"citationItems":[{"id":187,"uris":["http://zotero.org/groups/21774/items/4AL5ZX2P"],"itemData":{"id":187,"type":"report","publisher":"ESPON EGTC","title":"T4 – Territorial Trends in Technological Transformations","author":[{"family":"Capello","given":"Roberta"},{"family":"Lenzi","given":"Camilla"},{"family":"Nausedaite","given":"Reda"},{"family":"Romanainen","given":"Jari"}],"issued":{"date-parts":[["2020",7]]}}}],"schema":"https://github.com/citation-style-language/schema/raw/master/csl-citation.json"} </w:instrText>
      </w:r>
      <w:r w:rsidRPr="0067643C">
        <w:fldChar w:fldCharType="separate"/>
      </w:r>
      <w:r w:rsidRPr="0067643C">
        <w:rPr>
          <w:noProof/>
        </w:rPr>
        <w:t>(Capello, Lenzi, Nausedaite, &amp; Romanainen, 2020)</w:t>
      </w:r>
      <w:r w:rsidRPr="0067643C">
        <w:fldChar w:fldCharType="end"/>
      </w:r>
      <w:r w:rsidRPr="0067643C">
        <w:t xml:space="preserve">. Eastern Slovenia, Eastern Croatia, Prague and Northern Bohemia in Czechia, Northern Hungary and the Northern Great Plain in Hungary as well regions in Northwest Romania are examples of such regions </w:t>
      </w:r>
      <w:r w:rsidRPr="0067643C">
        <w:fldChar w:fldCharType="begin"/>
      </w:r>
      <w:r w:rsidR="00DC4537">
        <w:instrText xml:space="preserve"> ADDIN ZOTERO_ITEM CSL_CITATION {"citationID":"F9kZ8PAJ","properties":{"formattedCitation":"(BBSR &amp; ESPON, 2020)","plainCitation":"(BBSR &amp; ESPON, 2020)","noteIndex":0},"citationItems":[{"id":5019,"uris":["http://zotero.org/groups/21774/items/LH8PIJ6F"],"itemData":{"id":5019,"type":"book","event-place":"Berlin","publisher":"Federal Ministry fo the Interior, Building and Community","publisher-place":"Berlin","title":"Atlas for the Territorial Agenda 2030: Maps on European Territorial Development","author":[{"literal":"BBSR"},{"literal":"ESPON"}],"issued":{"date-parts":[["2020"]]}}}],"schema":"https://github.com/citation-style-language/schema/raw/master/csl-citation.json"} </w:instrText>
      </w:r>
      <w:r w:rsidRPr="0067643C">
        <w:fldChar w:fldCharType="separate"/>
      </w:r>
      <w:r w:rsidRPr="0067643C">
        <w:rPr>
          <w:noProof/>
        </w:rPr>
        <w:t>(BBSR &amp; ESPON, 2020)</w:t>
      </w:r>
      <w:r w:rsidRPr="0067643C">
        <w:fldChar w:fldCharType="end"/>
      </w:r>
      <w:r w:rsidRPr="0067643C">
        <w:t xml:space="preserve">. </w:t>
      </w:r>
      <w:r>
        <w:t>These can</w:t>
      </w:r>
      <w:r w:rsidRPr="0067643C">
        <w:t xml:space="preserve"> be islands of innovation by 2050, if other territorial consequences do not hinder this.</w:t>
      </w:r>
    </w:p>
    <w:p w14:paraId="562C5BF7" w14:textId="77777777" w:rsidR="007C18BF" w:rsidRPr="0067643C" w:rsidRDefault="007C18BF" w:rsidP="007C18BF">
      <w:r w:rsidRPr="0067643C">
        <w:rPr>
          <w:b/>
          <w:bCs/>
        </w:rPr>
        <w:t>Partial sustainable development, digitalisation and mitigati</w:t>
      </w:r>
      <w:r>
        <w:rPr>
          <w:b/>
          <w:bCs/>
        </w:rPr>
        <w:t>o</w:t>
      </w:r>
      <w:r w:rsidRPr="0067643C">
        <w:rPr>
          <w:b/>
          <w:bCs/>
        </w:rPr>
        <w:t>n</w:t>
      </w:r>
      <w:r>
        <w:rPr>
          <w:b/>
          <w:bCs/>
        </w:rPr>
        <w:t xml:space="preserve"> of</w:t>
      </w:r>
      <w:r w:rsidRPr="0067643C">
        <w:rPr>
          <w:b/>
          <w:bCs/>
        </w:rPr>
        <w:t xml:space="preserve"> negative consequences </w:t>
      </w:r>
      <w:r>
        <w:rPr>
          <w:b/>
          <w:bCs/>
        </w:rPr>
        <w:t>from</w:t>
      </w:r>
      <w:r w:rsidRPr="0067643C">
        <w:rPr>
          <w:b/>
          <w:bCs/>
        </w:rPr>
        <w:t xml:space="preserve"> migration. </w:t>
      </w:r>
      <w:r>
        <w:t>The p</w:t>
      </w:r>
      <w:r w:rsidRPr="0067643C">
        <w:t xml:space="preserve">ossible future </w:t>
      </w:r>
      <w:r>
        <w:t>for</w:t>
      </w:r>
      <w:r w:rsidRPr="0067643C">
        <w:t xml:space="preserve"> the Danube macro-region </w:t>
      </w:r>
      <w:r>
        <w:t>based on</w:t>
      </w:r>
      <w:r w:rsidRPr="0067643C">
        <w:t xml:space="preserve"> today’s situation as described in Chapter 2 </w:t>
      </w:r>
      <w:r>
        <w:t>indicates</w:t>
      </w:r>
      <w:r w:rsidRPr="0067643C">
        <w:t xml:space="preserve"> mostly negative outlooks for the key topics from the terms of reference (Table 4.1). </w:t>
      </w:r>
    </w:p>
    <w:p w14:paraId="7ED0FAF4" w14:textId="77777777" w:rsidR="007C18BF" w:rsidRPr="0067643C" w:rsidRDefault="007C18BF" w:rsidP="007C18BF">
      <w:pPr>
        <w:pStyle w:val="Bulletpoints"/>
        <w:spacing w:line="240" w:lineRule="atLeast"/>
        <w:ind w:left="714" w:hanging="357"/>
      </w:pPr>
      <w:r w:rsidRPr="0067643C">
        <w:t>Enhanced biodiversity losses challenge sustainable development and intensify climate change and its effects.</w:t>
      </w:r>
    </w:p>
    <w:p w14:paraId="323855E2" w14:textId="77777777" w:rsidR="007C18BF" w:rsidRPr="0067643C" w:rsidRDefault="007C18BF" w:rsidP="007C18BF">
      <w:pPr>
        <w:pStyle w:val="Bulletpoints"/>
        <w:spacing w:line="240" w:lineRule="atLeast"/>
        <w:ind w:left="714" w:hanging="357"/>
      </w:pPr>
      <w:r w:rsidRPr="0067643C">
        <w:t xml:space="preserve">A lack of energy challenges the </w:t>
      </w:r>
      <w:r>
        <w:t>realisation</w:t>
      </w:r>
      <w:r w:rsidRPr="0067643C">
        <w:t xml:space="preserve"> of net-zero societies and uptake of digital solutions.</w:t>
      </w:r>
    </w:p>
    <w:p w14:paraId="364380AA" w14:textId="77777777" w:rsidR="007C18BF" w:rsidRPr="0067643C" w:rsidRDefault="007C18BF" w:rsidP="007C18BF">
      <w:pPr>
        <w:pStyle w:val="Bulletpoints"/>
        <w:spacing w:line="240" w:lineRule="atLeast"/>
        <w:ind w:left="714" w:hanging="357"/>
      </w:pPr>
      <w:r w:rsidRPr="0067643C">
        <w:t>Reduced competitive</w:t>
      </w:r>
      <w:r>
        <w:t>ness for</w:t>
      </w:r>
      <w:r w:rsidRPr="0067643C">
        <w:t xml:space="preserve"> industry challenges the uptake of sustainable and digital solutions</w:t>
      </w:r>
      <w:r>
        <w:t>,</w:t>
      </w:r>
      <w:r w:rsidRPr="0067643C">
        <w:t xml:space="preserve"> </w:t>
      </w:r>
      <w:r>
        <w:t>h</w:t>
      </w:r>
      <w:r w:rsidRPr="0067643C">
        <w:t>amper</w:t>
      </w:r>
      <w:r>
        <w:t>ing</w:t>
      </w:r>
      <w:r w:rsidRPr="0067643C">
        <w:t xml:space="preserve"> sustainable development and digitalisation. Moreover, uncertain </w:t>
      </w:r>
      <w:r>
        <w:t xml:space="preserve">outlooks for </w:t>
      </w:r>
      <w:r w:rsidRPr="0067643C">
        <w:t>growth and jobs stimulate migration to places with positive outlooks.</w:t>
      </w:r>
    </w:p>
    <w:p w14:paraId="56ABD120" w14:textId="77777777" w:rsidR="007C18BF" w:rsidRPr="0067643C" w:rsidRDefault="007C18BF" w:rsidP="007C18BF">
      <w:pPr>
        <w:pStyle w:val="Bulletpoints"/>
        <w:spacing w:line="240" w:lineRule="atLeast"/>
        <w:ind w:left="714" w:hanging="357"/>
      </w:pPr>
      <w:r>
        <w:t>A lack of</w:t>
      </w:r>
      <w:r w:rsidRPr="0067643C">
        <w:t xml:space="preserve"> service provision is a key driver for migration and demographic decline, which </w:t>
      </w:r>
      <w:r>
        <w:t>in</w:t>
      </w:r>
      <w:r w:rsidRPr="0067643C">
        <w:t xml:space="preserve"> turn hampers the uptake of digital solutions.</w:t>
      </w:r>
    </w:p>
    <w:p w14:paraId="432B4EC6" w14:textId="24F84589" w:rsidR="008308D0" w:rsidRPr="00702488" w:rsidRDefault="007C18BF" w:rsidP="007C18BF">
      <w:pPr>
        <w:pStyle w:val="Bulletpoints-end"/>
        <w:spacing w:after="120" w:line="240" w:lineRule="atLeast"/>
        <w:ind w:left="714" w:hanging="357"/>
      </w:pPr>
      <w:r>
        <w:t>I</w:t>
      </w:r>
      <w:r w:rsidRPr="0067643C">
        <w:t>slands of innovation stimulate sustainable development, mitigate climate change, and advance digital solutions. At the same time, they are attractive centres reinforcing migration patterns and demographic change.</w:t>
      </w:r>
    </w:p>
    <w:p w14:paraId="6F79CD4E" w14:textId="473E839A" w:rsidR="008308D0" w:rsidRPr="00702488" w:rsidRDefault="008308D0" w:rsidP="008308D0">
      <w:pPr>
        <w:pStyle w:val="Caption"/>
      </w:pPr>
      <w:bookmarkStart w:id="19" w:name="_Toc87347286"/>
      <w:bookmarkStart w:id="20" w:name="_Toc100584726"/>
      <w:r w:rsidRPr="00702488">
        <w:t xml:space="preserve">Table </w:t>
      </w:r>
      <w:r w:rsidRPr="00702488">
        <w:fldChar w:fldCharType="begin"/>
      </w:r>
      <w:r w:rsidRPr="00702488">
        <w:instrText xml:space="preserve"> STYLEREF 1 \s </w:instrText>
      </w:r>
      <w:r w:rsidRPr="00702488">
        <w:fldChar w:fldCharType="separate"/>
      </w:r>
      <w:r w:rsidR="006839DA">
        <w:rPr>
          <w:noProof/>
        </w:rPr>
        <w:t>4</w:t>
      </w:r>
      <w:r w:rsidRPr="00702488">
        <w:fldChar w:fldCharType="end"/>
      </w:r>
      <w:r w:rsidRPr="00702488">
        <w:t>.</w:t>
      </w:r>
      <w:r w:rsidRPr="00702488">
        <w:fldChar w:fldCharType="begin"/>
      </w:r>
      <w:r w:rsidRPr="00702488">
        <w:instrText xml:space="preserve"> SEQ Table \* ARABIC \s 1 </w:instrText>
      </w:r>
      <w:r w:rsidRPr="00702488">
        <w:fldChar w:fldCharType="separate"/>
      </w:r>
      <w:r w:rsidR="006839DA">
        <w:rPr>
          <w:noProof/>
        </w:rPr>
        <w:t>1</w:t>
      </w:r>
      <w:r w:rsidRPr="00702488">
        <w:fldChar w:fldCharType="end"/>
      </w:r>
      <w:r w:rsidRPr="00702488">
        <w:t xml:space="preserve"> Territorial consequences impact opportunities of today’s key topics in the Danube macro-region</w:t>
      </w:r>
      <w:bookmarkEnd w:id="19"/>
      <w:bookmarkEnd w:id="20"/>
    </w:p>
    <w:tbl>
      <w:tblPr>
        <w:tblStyle w:val="ESPONtable"/>
        <w:tblW w:w="8582" w:type="dxa"/>
        <w:tblLook w:val="04A0" w:firstRow="1" w:lastRow="0" w:firstColumn="1" w:lastColumn="0" w:noHBand="0" w:noVBand="1"/>
      </w:tblPr>
      <w:tblGrid>
        <w:gridCol w:w="2145"/>
        <w:gridCol w:w="2145"/>
        <w:gridCol w:w="2146"/>
        <w:gridCol w:w="2146"/>
      </w:tblGrid>
      <w:tr w:rsidR="008308D0" w:rsidRPr="00702488" w14:paraId="61AB0125" w14:textId="77777777" w:rsidTr="0095271B">
        <w:trPr>
          <w:cnfStyle w:val="100000000000" w:firstRow="1" w:lastRow="0" w:firstColumn="0" w:lastColumn="0" w:oddVBand="0" w:evenVBand="0" w:oddHBand="0"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2145" w:type="dxa"/>
            <w:tcBorders>
              <w:bottom w:val="nil"/>
            </w:tcBorders>
          </w:tcPr>
          <w:p w14:paraId="2EC61F33" w14:textId="77777777" w:rsidR="008308D0" w:rsidRPr="00702488" w:rsidRDefault="008308D0" w:rsidP="00D6110B"/>
        </w:tc>
        <w:tc>
          <w:tcPr>
            <w:tcW w:w="2145" w:type="dxa"/>
            <w:tcBorders>
              <w:bottom w:val="nil"/>
            </w:tcBorders>
            <w:vAlign w:val="center"/>
          </w:tcPr>
          <w:p w14:paraId="01A7B6BB" w14:textId="77777777" w:rsidR="008308D0" w:rsidRPr="00702488" w:rsidRDefault="008308D0" w:rsidP="00D6110B">
            <w:pPr>
              <w:jc w:val="center"/>
              <w:cnfStyle w:val="100000000000" w:firstRow="1" w:lastRow="0" w:firstColumn="0" w:lastColumn="0" w:oddVBand="0" w:evenVBand="0" w:oddHBand="0" w:evenHBand="0" w:firstRowFirstColumn="0" w:firstRowLastColumn="0" w:lastRowFirstColumn="0" w:lastRowLastColumn="0"/>
            </w:pPr>
            <w:r w:rsidRPr="00702488">
              <w:t>Sustainable development and climate change</w:t>
            </w:r>
          </w:p>
        </w:tc>
        <w:tc>
          <w:tcPr>
            <w:tcW w:w="2146" w:type="dxa"/>
            <w:tcBorders>
              <w:bottom w:val="nil"/>
            </w:tcBorders>
            <w:vAlign w:val="center"/>
          </w:tcPr>
          <w:p w14:paraId="1A19D730" w14:textId="77777777" w:rsidR="008308D0" w:rsidRPr="00702488" w:rsidRDefault="008308D0" w:rsidP="00D6110B">
            <w:pPr>
              <w:jc w:val="center"/>
              <w:cnfStyle w:val="100000000000" w:firstRow="1" w:lastRow="0" w:firstColumn="0" w:lastColumn="0" w:oddVBand="0" w:evenVBand="0" w:oddHBand="0" w:evenHBand="0" w:firstRowFirstColumn="0" w:firstRowLastColumn="0" w:lastRowFirstColumn="0" w:lastRowLastColumn="0"/>
            </w:pPr>
            <w:r w:rsidRPr="00702488">
              <w:t>Digitalisation</w:t>
            </w:r>
          </w:p>
        </w:tc>
        <w:tc>
          <w:tcPr>
            <w:tcW w:w="2146" w:type="dxa"/>
            <w:tcBorders>
              <w:bottom w:val="nil"/>
            </w:tcBorders>
            <w:vAlign w:val="center"/>
          </w:tcPr>
          <w:p w14:paraId="6C610934" w14:textId="77777777" w:rsidR="008308D0" w:rsidRPr="00702488" w:rsidRDefault="008308D0" w:rsidP="00D6110B">
            <w:pPr>
              <w:jc w:val="center"/>
              <w:cnfStyle w:val="100000000000" w:firstRow="1" w:lastRow="0" w:firstColumn="0" w:lastColumn="0" w:oddVBand="0" w:evenVBand="0" w:oddHBand="0" w:evenHBand="0" w:firstRowFirstColumn="0" w:firstRowLastColumn="0" w:lastRowFirstColumn="0" w:lastRowLastColumn="0"/>
            </w:pPr>
            <w:r w:rsidRPr="00702488">
              <w:t>Migration and demographic change</w:t>
            </w:r>
          </w:p>
        </w:tc>
      </w:tr>
      <w:tr w:rsidR="008308D0" w:rsidRPr="00702488" w14:paraId="087AC314" w14:textId="77777777" w:rsidTr="0095271B">
        <w:trPr>
          <w:trHeight w:val="591"/>
        </w:trPr>
        <w:tc>
          <w:tcPr>
            <w:cnfStyle w:val="001000000000" w:firstRow="0" w:lastRow="0" w:firstColumn="1" w:lastColumn="0" w:oddVBand="0" w:evenVBand="0" w:oddHBand="0" w:evenHBand="0" w:firstRowFirstColumn="0" w:firstRowLastColumn="0" w:lastRowFirstColumn="0" w:lastRowLastColumn="0"/>
            <w:tcW w:w="2145" w:type="dxa"/>
            <w:tcBorders>
              <w:bottom w:val="single" w:sz="4" w:space="0" w:color="FFFFFF" w:themeColor="background1"/>
            </w:tcBorders>
            <w:vAlign w:val="center"/>
          </w:tcPr>
          <w:p w14:paraId="7857C43A" w14:textId="77777777" w:rsidR="008308D0" w:rsidRPr="00702488" w:rsidRDefault="008308D0" w:rsidP="00D6110B">
            <w:pPr>
              <w:jc w:val="left"/>
            </w:pPr>
            <w:r w:rsidRPr="00702488">
              <w:t>Enhanced biodiversity loss</w:t>
            </w:r>
          </w:p>
        </w:tc>
        <w:tc>
          <w:tcPr>
            <w:tcW w:w="2145" w:type="dxa"/>
            <w:tcBorders>
              <w:bottom w:val="single" w:sz="4" w:space="0" w:color="C3D4F6" w:themeColor="accent1" w:themeTint="33"/>
              <w:right w:val="single" w:sz="4" w:space="0" w:color="C3D4F6" w:themeColor="accent1" w:themeTint="33"/>
            </w:tcBorders>
            <w:shd w:val="clear" w:color="auto" w:fill="FFFFFF" w:themeFill="background1"/>
            <w:vAlign w:val="center"/>
          </w:tcPr>
          <w:p w14:paraId="5A0FD277" w14:textId="77777777" w:rsidR="008308D0" w:rsidRPr="00702488" w:rsidRDefault="008308D0" w:rsidP="00D6110B">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702488">
              <w:rPr>
                <w:noProof/>
              </w:rPr>
              <w:drawing>
                <wp:inline distT="0" distB="0" distL="0" distR="0" wp14:anchorId="12ACCA41" wp14:editId="09D7CD2C">
                  <wp:extent cx="362138" cy="362138"/>
                  <wp:effectExtent l="0" t="0" r="0" b="0"/>
                  <wp:docPr id="34" name="Graphic 34" descr="Direc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4"/>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V="1">
                            <a:off x="0" y="0"/>
                            <a:ext cx="362138" cy="362138"/>
                          </a:xfrm>
                          <a:prstGeom prst="rect">
                            <a:avLst/>
                          </a:prstGeom>
                        </pic:spPr>
                      </pic:pic>
                    </a:graphicData>
                  </a:graphic>
                </wp:inline>
              </w:drawing>
            </w:r>
          </w:p>
        </w:tc>
        <w:tc>
          <w:tcPr>
            <w:tcW w:w="2146" w:type="dxa"/>
            <w:tcBorders>
              <w:left w:val="single" w:sz="4" w:space="0" w:color="C3D4F6" w:themeColor="accent1" w:themeTint="33"/>
              <w:bottom w:val="single" w:sz="4" w:space="0" w:color="C3D4F6" w:themeColor="accent1" w:themeTint="33"/>
              <w:right w:val="single" w:sz="4" w:space="0" w:color="C3D4F6" w:themeColor="accent1" w:themeTint="33"/>
            </w:tcBorders>
            <w:shd w:val="clear" w:color="auto" w:fill="FFFFFF" w:themeFill="background1"/>
            <w:vAlign w:val="center"/>
          </w:tcPr>
          <w:p w14:paraId="2C0A0090" w14:textId="77777777" w:rsidR="008308D0" w:rsidRPr="00702488" w:rsidRDefault="008308D0" w:rsidP="00D6110B">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702488">
              <w:rPr>
                <w:noProof/>
              </w:rPr>
              <mc:AlternateContent>
                <mc:Choice Requires="wps">
                  <w:drawing>
                    <wp:inline distT="0" distB="0" distL="0" distR="0" wp14:anchorId="36E6D53F" wp14:editId="508F9792">
                      <wp:extent cx="172015" cy="216535"/>
                      <wp:effectExtent l="0" t="0" r="0" b="0"/>
                      <wp:docPr id="26" name="Minus 26"/>
                      <wp:cNvGraphicFramePr/>
                      <a:graphic xmlns:a="http://schemas.openxmlformats.org/drawingml/2006/main">
                        <a:graphicData uri="http://schemas.microsoft.com/office/word/2010/wordprocessingShape">
                          <wps:wsp>
                            <wps:cNvSpPr/>
                            <wps:spPr>
                              <a:xfrm>
                                <a:off x="0" y="0"/>
                                <a:ext cx="172015" cy="216535"/>
                              </a:xfrm>
                              <a:prstGeom prst="mathMinus">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26A758" w14:textId="77777777" w:rsidR="008308D0" w:rsidRPr="006032BE" w:rsidRDefault="008308D0" w:rsidP="008308D0">
                                  <w:pPr>
                                    <w:jc w:val="center"/>
                                    <w:rPr>
                                      <w:lang w:val="fr-CH"/>
                                    </w:rPr>
                                  </w:pPr>
                                  <w:r>
                                    <w:rPr>
                                      <w:lang w:val="fr-CH"/>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6E6D53F" id="Minus 26" o:spid="_x0000_s1027" style="width:13.55pt;height:17.05pt;visibility:visible;mso-wrap-style:square;mso-left-percent:-10001;mso-top-percent:-10001;mso-position-horizontal:absolute;mso-position-horizontal-relative:char;mso-position-vertical:absolute;mso-position-vertical-relative:line;mso-left-percent:-10001;mso-top-percent:-10001;v-text-anchor:middle" coordsize="172015,21653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" adj="-11796480,,5400" path="m22801,82803r126413,l149214,133732r-126413,l22801,82803xe" fillcolor="#4779b2 [3206]" stroked="f" strokeweight="1pt">
                      <v:stroke joinstyle="miter"/>
                      <v:formulas/>
                      <v:path arrowok="t" o:connecttype="custom" o:connectlocs="22801,82803;149214,82803;149214,133732;22801,133732;22801,82803" o:connectangles="0,0,0,0,0" textboxrect="0,0,172015,216535"/>
                      <v:textbox>
                        <w:txbxContent>
                          <w:p w14:paraId="3526A758" w14:textId="77777777" w:rsidR="008308D0" w:rsidRPr="006032BE" w:rsidRDefault="008308D0" w:rsidP="008308D0">
                            <w:pPr>
                              <w:jc w:val="center"/>
                              <w:rPr>
                                <w:lang w:val="fr-CH"/>
                              </w:rPr>
                            </w:pPr>
                            <w:proofErr w:type="gramStart"/>
                            <w:r>
                              <w:rPr>
                                <w:lang w:val="fr-CH"/>
                              </w:rPr>
                              <w:t>c</w:t>
                            </w:r>
                            <w:proofErr w:type="gramEnd"/>
                          </w:p>
                        </w:txbxContent>
                      </v:textbox>
                      <w10:anchorlock/>
                    </v:shape>
                  </w:pict>
                </mc:Fallback>
              </mc:AlternateContent>
            </w:r>
          </w:p>
        </w:tc>
        <w:tc>
          <w:tcPr>
            <w:tcW w:w="2146" w:type="dxa"/>
            <w:tcBorders>
              <w:left w:val="single" w:sz="4" w:space="0" w:color="C3D4F6" w:themeColor="accent1" w:themeTint="33"/>
              <w:bottom w:val="single" w:sz="4" w:space="0" w:color="C3D4F6" w:themeColor="accent1" w:themeTint="33"/>
            </w:tcBorders>
            <w:shd w:val="clear" w:color="auto" w:fill="FFFFFF" w:themeFill="background1"/>
            <w:vAlign w:val="center"/>
          </w:tcPr>
          <w:p w14:paraId="16C46C48" w14:textId="77777777" w:rsidR="008308D0" w:rsidRPr="00702488" w:rsidRDefault="008308D0" w:rsidP="00D6110B">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702488">
              <w:rPr>
                <w:noProof/>
              </w:rPr>
              <mc:AlternateContent>
                <mc:Choice Requires="wps">
                  <w:drawing>
                    <wp:inline distT="0" distB="0" distL="0" distR="0" wp14:anchorId="2FB69308" wp14:editId="0A336F54">
                      <wp:extent cx="172015" cy="216535"/>
                      <wp:effectExtent l="0" t="0" r="0" b="0"/>
                      <wp:docPr id="27" name="Minus 27"/>
                      <wp:cNvGraphicFramePr/>
                      <a:graphic xmlns:a="http://schemas.openxmlformats.org/drawingml/2006/main">
                        <a:graphicData uri="http://schemas.microsoft.com/office/word/2010/wordprocessingShape">
                          <wps:wsp>
                            <wps:cNvSpPr/>
                            <wps:spPr>
                              <a:xfrm>
                                <a:off x="0" y="0"/>
                                <a:ext cx="172015" cy="216535"/>
                              </a:xfrm>
                              <a:prstGeom prst="mathMinus">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09102EA0" id="Minus 27" o:spid="_x0000_s1026" style="width:13.55pt;height:17.05pt;visibility:visible;mso-wrap-style:square;mso-left-percent:-10001;mso-top-percent:-10001;mso-position-horizontal:absolute;mso-position-horizontal-relative:char;mso-position-vertical:absolute;mso-position-vertical-relative:line;mso-left-percent:-10001;mso-top-percent:-10001;v-text-anchor:middle" coordsize="172015,2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" path="m22801,82803r126413,l149214,133732r-126413,l22801,82803xe" fillcolor="#4779b2 [3206]" stroked="f" strokeweight="1pt">
                      <v:stroke joinstyle="miter"/>
                      <v:path arrowok="t" o:connecttype="custom" o:connectlocs="22801,82803;149214,82803;149214,133732;22801,133732;22801,82803" o:connectangles="0,0,0,0,0"/>
                      <w10:anchorlock/>
                    </v:shape>
                  </w:pict>
                </mc:Fallback>
              </mc:AlternateContent>
            </w:r>
          </w:p>
        </w:tc>
      </w:tr>
      <w:tr w:rsidR="008308D0" w:rsidRPr="00702488" w14:paraId="47BDB631" w14:textId="77777777" w:rsidTr="0095271B">
        <w:trPr>
          <w:trHeight w:val="532"/>
        </w:trPr>
        <w:tc>
          <w:tcPr>
            <w:cnfStyle w:val="001000000000" w:firstRow="0" w:lastRow="0" w:firstColumn="1" w:lastColumn="0" w:oddVBand="0" w:evenVBand="0" w:oddHBand="0" w:evenHBand="0" w:firstRowFirstColumn="0" w:firstRowLastColumn="0" w:lastRowFirstColumn="0" w:lastRowLastColumn="0"/>
            <w:tcW w:w="2145" w:type="dxa"/>
            <w:tcBorders>
              <w:top w:val="single" w:sz="4" w:space="0" w:color="FFFFFF" w:themeColor="background1"/>
              <w:bottom w:val="single" w:sz="4" w:space="0" w:color="FFFFFF" w:themeColor="background1"/>
            </w:tcBorders>
            <w:vAlign w:val="center"/>
          </w:tcPr>
          <w:p w14:paraId="689A7D3A" w14:textId="77777777" w:rsidR="008308D0" w:rsidRPr="00702488" w:rsidRDefault="008308D0" w:rsidP="00D6110B">
            <w:pPr>
              <w:jc w:val="left"/>
            </w:pPr>
            <w:r w:rsidRPr="00702488">
              <w:t>Lack of energy</w:t>
            </w:r>
          </w:p>
        </w:tc>
        <w:tc>
          <w:tcPr>
            <w:tcW w:w="2145" w:type="dxa"/>
            <w:tcBorders>
              <w:top w:val="single" w:sz="4" w:space="0" w:color="C3D4F6" w:themeColor="accent1" w:themeTint="33"/>
              <w:bottom w:val="single" w:sz="4" w:space="0" w:color="C3D4F6" w:themeColor="accent1" w:themeTint="33"/>
              <w:right w:val="single" w:sz="4" w:space="0" w:color="C3D4F6" w:themeColor="accent1" w:themeTint="33"/>
            </w:tcBorders>
            <w:shd w:val="clear" w:color="auto" w:fill="FFFFFF" w:themeFill="background1"/>
            <w:vAlign w:val="center"/>
          </w:tcPr>
          <w:p w14:paraId="09C3054C" w14:textId="77777777" w:rsidR="008308D0" w:rsidRPr="00702488" w:rsidRDefault="008308D0" w:rsidP="00D6110B">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702488">
              <w:rPr>
                <w:noProof/>
              </w:rPr>
              <w:drawing>
                <wp:inline distT="0" distB="0" distL="0" distR="0" wp14:anchorId="72429FB0" wp14:editId="00F5094B">
                  <wp:extent cx="362138" cy="362138"/>
                  <wp:effectExtent l="0" t="0" r="0" b="0"/>
                  <wp:docPr id="37" name="Graphic 37" descr="Direc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7"/>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V="1">
                            <a:off x="0" y="0"/>
                            <a:ext cx="362138" cy="362138"/>
                          </a:xfrm>
                          <a:prstGeom prst="rect">
                            <a:avLst/>
                          </a:prstGeom>
                        </pic:spPr>
                      </pic:pic>
                    </a:graphicData>
                  </a:graphic>
                </wp:inline>
              </w:drawing>
            </w:r>
          </w:p>
        </w:tc>
        <w:tc>
          <w:tcPr>
            <w:tcW w:w="2146" w:type="dxa"/>
            <w:tcBorders>
              <w:top w:val="single" w:sz="4" w:space="0" w:color="C3D4F6" w:themeColor="accent1" w:themeTint="33"/>
              <w:left w:val="single" w:sz="4" w:space="0" w:color="C3D4F6" w:themeColor="accent1" w:themeTint="33"/>
              <w:bottom w:val="single" w:sz="4" w:space="0" w:color="C3D4F6" w:themeColor="accent1" w:themeTint="33"/>
              <w:right w:val="single" w:sz="4" w:space="0" w:color="C3D4F6" w:themeColor="accent1" w:themeTint="33"/>
            </w:tcBorders>
            <w:shd w:val="clear" w:color="auto" w:fill="FFFFFF" w:themeFill="background1"/>
            <w:vAlign w:val="center"/>
          </w:tcPr>
          <w:p w14:paraId="19AEE551" w14:textId="77777777" w:rsidR="008308D0" w:rsidRPr="00702488" w:rsidRDefault="008308D0" w:rsidP="00D6110B">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702488">
              <w:rPr>
                <w:noProof/>
              </w:rPr>
              <w:drawing>
                <wp:inline distT="0" distB="0" distL="0" distR="0" wp14:anchorId="53723A84" wp14:editId="603BC39A">
                  <wp:extent cx="362138" cy="362138"/>
                  <wp:effectExtent l="0" t="0" r="0" b="0"/>
                  <wp:docPr id="38" name="Graphic 38" descr="Direc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8"/>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V="1">
                            <a:off x="0" y="0"/>
                            <a:ext cx="362138" cy="362138"/>
                          </a:xfrm>
                          <a:prstGeom prst="rect">
                            <a:avLst/>
                          </a:prstGeom>
                        </pic:spPr>
                      </pic:pic>
                    </a:graphicData>
                  </a:graphic>
                </wp:inline>
              </w:drawing>
            </w:r>
          </w:p>
        </w:tc>
        <w:tc>
          <w:tcPr>
            <w:tcW w:w="2146" w:type="dxa"/>
            <w:tcBorders>
              <w:top w:val="single" w:sz="4" w:space="0" w:color="C3D4F6" w:themeColor="accent1" w:themeTint="33"/>
              <w:left w:val="single" w:sz="4" w:space="0" w:color="C3D4F6" w:themeColor="accent1" w:themeTint="33"/>
              <w:bottom w:val="single" w:sz="4" w:space="0" w:color="C3D4F6" w:themeColor="accent1" w:themeTint="33"/>
            </w:tcBorders>
            <w:shd w:val="clear" w:color="auto" w:fill="FFFFFF" w:themeFill="background1"/>
            <w:vAlign w:val="center"/>
          </w:tcPr>
          <w:p w14:paraId="65A00A72" w14:textId="77777777" w:rsidR="008308D0" w:rsidRPr="00702488" w:rsidRDefault="008308D0" w:rsidP="00D6110B">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702488">
              <w:rPr>
                <w:noProof/>
              </w:rPr>
              <mc:AlternateContent>
                <mc:Choice Requires="wps">
                  <w:drawing>
                    <wp:inline distT="0" distB="0" distL="0" distR="0" wp14:anchorId="6FCBD497" wp14:editId="79A7A967">
                      <wp:extent cx="172015" cy="216535"/>
                      <wp:effectExtent l="0" t="0" r="0" b="0"/>
                      <wp:docPr id="28" name="Minus 28"/>
                      <wp:cNvGraphicFramePr/>
                      <a:graphic xmlns:a="http://schemas.openxmlformats.org/drawingml/2006/main">
                        <a:graphicData uri="http://schemas.microsoft.com/office/word/2010/wordprocessingShape">
                          <wps:wsp>
                            <wps:cNvSpPr/>
                            <wps:spPr>
                              <a:xfrm>
                                <a:off x="0" y="0"/>
                                <a:ext cx="172015" cy="216535"/>
                              </a:xfrm>
                              <a:prstGeom prst="mathMinus">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2E18D996" id="Minus 28" o:spid="_x0000_s1026" style="width:13.55pt;height:17.05pt;visibility:visible;mso-wrap-style:square;mso-left-percent:-10001;mso-top-percent:-10001;mso-position-horizontal:absolute;mso-position-horizontal-relative:char;mso-position-vertical:absolute;mso-position-vertical-relative:line;mso-left-percent:-10001;mso-top-percent:-10001;v-text-anchor:middle" coordsize="172015,2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" path="m22801,82803r126413,l149214,133732r-126413,l22801,82803xe" fillcolor="#4779b2 [3206]" stroked="f" strokeweight="1pt">
                      <v:stroke joinstyle="miter"/>
                      <v:path arrowok="t" o:connecttype="custom" o:connectlocs="22801,82803;149214,82803;149214,133732;22801,133732;22801,82803" o:connectangles="0,0,0,0,0"/>
                      <w10:anchorlock/>
                    </v:shape>
                  </w:pict>
                </mc:Fallback>
              </mc:AlternateContent>
            </w:r>
          </w:p>
        </w:tc>
      </w:tr>
      <w:tr w:rsidR="008308D0" w:rsidRPr="00702488" w14:paraId="26A4030F" w14:textId="77777777" w:rsidTr="0095271B">
        <w:trPr>
          <w:trHeight w:val="603"/>
        </w:trPr>
        <w:tc>
          <w:tcPr>
            <w:cnfStyle w:val="001000000000" w:firstRow="0" w:lastRow="0" w:firstColumn="1" w:lastColumn="0" w:oddVBand="0" w:evenVBand="0" w:oddHBand="0" w:evenHBand="0" w:firstRowFirstColumn="0" w:firstRowLastColumn="0" w:lastRowFirstColumn="0" w:lastRowLastColumn="0"/>
            <w:tcW w:w="2145" w:type="dxa"/>
            <w:tcBorders>
              <w:top w:val="single" w:sz="4" w:space="0" w:color="FFFFFF" w:themeColor="background1"/>
              <w:bottom w:val="single" w:sz="4" w:space="0" w:color="FFFFFF" w:themeColor="background1"/>
            </w:tcBorders>
            <w:vAlign w:val="center"/>
          </w:tcPr>
          <w:p w14:paraId="54035C87" w14:textId="77777777" w:rsidR="008308D0" w:rsidRPr="00702488" w:rsidRDefault="008308D0" w:rsidP="00D6110B">
            <w:pPr>
              <w:jc w:val="left"/>
            </w:pPr>
            <w:r w:rsidRPr="00702488">
              <w:t>Reduced competitive levels of industry</w:t>
            </w:r>
          </w:p>
        </w:tc>
        <w:tc>
          <w:tcPr>
            <w:tcW w:w="2145" w:type="dxa"/>
            <w:tcBorders>
              <w:top w:val="single" w:sz="4" w:space="0" w:color="C3D4F6" w:themeColor="accent1" w:themeTint="33"/>
              <w:bottom w:val="single" w:sz="4" w:space="0" w:color="C3D4F6" w:themeColor="accent1" w:themeTint="33"/>
              <w:right w:val="single" w:sz="4" w:space="0" w:color="C3D4F6" w:themeColor="accent1" w:themeTint="33"/>
            </w:tcBorders>
            <w:shd w:val="clear" w:color="auto" w:fill="FFFFFF" w:themeFill="background1"/>
            <w:vAlign w:val="center"/>
          </w:tcPr>
          <w:p w14:paraId="20018202" w14:textId="77777777" w:rsidR="008308D0" w:rsidRPr="00702488" w:rsidRDefault="008308D0" w:rsidP="00D6110B">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702488">
              <w:rPr>
                <w:noProof/>
              </w:rPr>
              <w:drawing>
                <wp:inline distT="0" distB="0" distL="0" distR="0" wp14:anchorId="301ABAB2" wp14:editId="0C791642">
                  <wp:extent cx="362138" cy="362138"/>
                  <wp:effectExtent l="0" t="0" r="0" b="0"/>
                  <wp:docPr id="62" name="Graphic 62" descr="Direc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2"/>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V="1">
                            <a:off x="0" y="0"/>
                            <a:ext cx="362138" cy="362138"/>
                          </a:xfrm>
                          <a:prstGeom prst="rect">
                            <a:avLst/>
                          </a:prstGeom>
                        </pic:spPr>
                      </pic:pic>
                    </a:graphicData>
                  </a:graphic>
                </wp:inline>
              </w:drawing>
            </w:r>
          </w:p>
        </w:tc>
        <w:tc>
          <w:tcPr>
            <w:tcW w:w="2146" w:type="dxa"/>
            <w:tcBorders>
              <w:top w:val="single" w:sz="4" w:space="0" w:color="C3D4F6" w:themeColor="accent1" w:themeTint="33"/>
              <w:left w:val="single" w:sz="4" w:space="0" w:color="C3D4F6" w:themeColor="accent1" w:themeTint="33"/>
              <w:bottom w:val="single" w:sz="4" w:space="0" w:color="C3D4F6" w:themeColor="accent1" w:themeTint="33"/>
              <w:right w:val="single" w:sz="4" w:space="0" w:color="C3D4F6" w:themeColor="accent1" w:themeTint="33"/>
            </w:tcBorders>
            <w:shd w:val="clear" w:color="auto" w:fill="FFFFFF" w:themeFill="background1"/>
            <w:vAlign w:val="center"/>
          </w:tcPr>
          <w:p w14:paraId="74E54DD5" w14:textId="77777777" w:rsidR="008308D0" w:rsidRPr="00702488" w:rsidRDefault="008308D0" w:rsidP="00D6110B">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702488">
              <w:rPr>
                <w:noProof/>
              </w:rPr>
              <w:drawing>
                <wp:inline distT="0" distB="0" distL="0" distR="0" wp14:anchorId="1C57A26B" wp14:editId="68FE9E70">
                  <wp:extent cx="362138" cy="362138"/>
                  <wp:effectExtent l="0" t="0" r="0" b="0"/>
                  <wp:docPr id="44" name="Graphic 44" descr="Direc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4"/>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V="1">
                            <a:off x="0" y="0"/>
                            <a:ext cx="362138" cy="362138"/>
                          </a:xfrm>
                          <a:prstGeom prst="rect">
                            <a:avLst/>
                          </a:prstGeom>
                        </pic:spPr>
                      </pic:pic>
                    </a:graphicData>
                  </a:graphic>
                </wp:inline>
              </w:drawing>
            </w:r>
          </w:p>
        </w:tc>
        <w:tc>
          <w:tcPr>
            <w:tcW w:w="2146" w:type="dxa"/>
            <w:tcBorders>
              <w:top w:val="single" w:sz="4" w:space="0" w:color="C3D4F6" w:themeColor="accent1" w:themeTint="33"/>
              <w:left w:val="single" w:sz="4" w:space="0" w:color="C3D4F6" w:themeColor="accent1" w:themeTint="33"/>
              <w:bottom w:val="single" w:sz="4" w:space="0" w:color="C3D4F6" w:themeColor="accent1" w:themeTint="33"/>
            </w:tcBorders>
            <w:shd w:val="clear" w:color="auto" w:fill="FFFFFF" w:themeFill="background1"/>
            <w:vAlign w:val="center"/>
          </w:tcPr>
          <w:p w14:paraId="1BE7CCAE" w14:textId="77777777" w:rsidR="008308D0" w:rsidRPr="00702488" w:rsidRDefault="008308D0" w:rsidP="00D6110B">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702488">
              <w:rPr>
                <w:noProof/>
              </w:rPr>
              <w:drawing>
                <wp:inline distT="0" distB="0" distL="0" distR="0" wp14:anchorId="0B11180A" wp14:editId="29D3F9F2">
                  <wp:extent cx="362138" cy="362138"/>
                  <wp:effectExtent l="0" t="0" r="0" b="0"/>
                  <wp:docPr id="45" name="Graphic 45" descr="Direc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5"/>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V="1">
                            <a:off x="0" y="0"/>
                            <a:ext cx="362138" cy="362138"/>
                          </a:xfrm>
                          <a:prstGeom prst="rect">
                            <a:avLst/>
                          </a:prstGeom>
                        </pic:spPr>
                      </pic:pic>
                    </a:graphicData>
                  </a:graphic>
                </wp:inline>
              </w:drawing>
            </w:r>
          </w:p>
        </w:tc>
      </w:tr>
      <w:tr w:rsidR="008308D0" w:rsidRPr="00702488" w14:paraId="5C05636A" w14:textId="77777777" w:rsidTr="0095271B">
        <w:trPr>
          <w:trHeight w:val="591"/>
        </w:trPr>
        <w:tc>
          <w:tcPr>
            <w:cnfStyle w:val="001000000000" w:firstRow="0" w:lastRow="0" w:firstColumn="1" w:lastColumn="0" w:oddVBand="0" w:evenVBand="0" w:oddHBand="0" w:evenHBand="0" w:firstRowFirstColumn="0" w:firstRowLastColumn="0" w:lastRowFirstColumn="0" w:lastRowLastColumn="0"/>
            <w:tcW w:w="2145" w:type="dxa"/>
            <w:tcBorders>
              <w:top w:val="single" w:sz="4" w:space="0" w:color="FFFFFF" w:themeColor="background1"/>
              <w:bottom w:val="single" w:sz="4" w:space="0" w:color="FFFFFF" w:themeColor="background1"/>
            </w:tcBorders>
            <w:vAlign w:val="center"/>
          </w:tcPr>
          <w:p w14:paraId="7D1613BD" w14:textId="77777777" w:rsidR="008308D0" w:rsidRPr="00702488" w:rsidRDefault="008308D0" w:rsidP="00D6110B">
            <w:pPr>
              <w:jc w:val="left"/>
            </w:pPr>
            <w:r w:rsidRPr="00702488">
              <w:t>Challenging public service provision</w:t>
            </w:r>
          </w:p>
        </w:tc>
        <w:tc>
          <w:tcPr>
            <w:tcW w:w="2145" w:type="dxa"/>
            <w:tcBorders>
              <w:top w:val="single" w:sz="4" w:space="0" w:color="C3D4F6" w:themeColor="accent1" w:themeTint="33"/>
              <w:bottom w:val="single" w:sz="4" w:space="0" w:color="C3D4F6" w:themeColor="accent1" w:themeTint="33"/>
              <w:right w:val="single" w:sz="4" w:space="0" w:color="C3D4F6" w:themeColor="accent1" w:themeTint="33"/>
            </w:tcBorders>
            <w:shd w:val="clear" w:color="auto" w:fill="FFFFFF" w:themeFill="background1"/>
            <w:vAlign w:val="center"/>
          </w:tcPr>
          <w:p w14:paraId="530029D4" w14:textId="77777777" w:rsidR="008308D0" w:rsidRPr="00702488" w:rsidRDefault="008308D0" w:rsidP="00D6110B">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702488">
              <w:rPr>
                <w:noProof/>
              </w:rPr>
              <mc:AlternateContent>
                <mc:Choice Requires="wps">
                  <w:drawing>
                    <wp:inline distT="0" distB="0" distL="0" distR="0" wp14:anchorId="4428893D" wp14:editId="6225B835">
                      <wp:extent cx="172015" cy="216535"/>
                      <wp:effectExtent l="0" t="0" r="0" b="0"/>
                      <wp:docPr id="32" name="Minus 32"/>
                      <wp:cNvGraphicFramePr/>
                      <a:graphic xmlns:a="http://schemas.openxmlformats.org/drawingml/2006/main">
                        <a:graphicData uri="http://schemas.microsoft.com/office/word/2010/wordprocessingShape">
                          <wps:wsp>
                            <wps:cNvSpPr/>
                            <wps:spPr>
                              <a:xfrm>
                                <a:off x="0" y="0"/>
                                <a:ext cx="172015" cy="216535"/>
                              </a:xfrm>
                              <a:prstGeom prst="mathMinus">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2DBF0A48" id="Minus 32" o:spid="_x0000_s1026" style="width:13.55pt;height:17.05pt;visibility:visible;mso-wrap-style:square;mso-left-percent:-10001;mso-top-percent:-10001;mso-position-horizontal:absolute;mso-position-horizontal-relative:char;mso-position-vertical:absolute;mso-position-vertical-relative:line;mso-left-percent:-10001;mso-top-percent:-10001;v-text-anchor:middle" coordsize="172015,2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" path="m22801,82803r126413,l149214,133732r-126413,l22801,82803xe" fillcolor="#4779b2 [3206]" stroked="f" strokeweight="1pt">
                      <v:stroke joinstyle="miter"/>
                      <v:path arrowok="t" o:connecttype="custom" o:connectlocs="22801,82803;149214,82803;149214,133732;22801,133732;22801,82803" o:connectangles="0,0,0,0,0"/>
                      <w10:anchorlock/>
                    </v:shape>
                  </w:pict>
                </mc:Fallback>
              </mc:AlternateContent>
            </w:r>
          </w:p>
        </w:tc>
        <w:tc>
          <w:tcPr>
            <w:tcW w:w="2146" w:type="dxa"/>
            <w:tcBorders>
              <w:top w:val="single" w:sz="4" w:space="0" w:color="C3D4F6" w:themeColor="accent1" w:themeTint="33"/>
              <w:left w:val="single" w:sz="4" w:space="0" w:color="C3D4F6" w:themeColor="accent1" w:themeTint="33"/>
              <w:bottom w:val="single" w:sz="4" w:space="0" w:color="C3D4F6" w:themeColor="accent1" w:themeTint="33"/>
              <w:right w:val="single" w:sz="4" w:space="0" w:color="C3D4F6" w:themeColor="accent1" w:themeTint="33"/>
            </w:tcBorders>
            <w:shd w:val="clear" w:color="auto" w:fill="FFFFFF" w:themeFill="background1"/>
            <w:vAlign w:val="center"/>
          </w:tcPr>
          <w:p w14:paraId="485180B5" w14:textId="77777777" w:rsidR="008308D0" w:rsidRPr="00702488" w:rsidRDefault="008308D0" w:rsidP="00D6110B">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702488">
              <w:rPr>
                <w:noProof/>
              </w:rPr>
              <w:drawing>
                <wp:inline distT="0" distB="0" distL="0" distR="0" wp14:anchorId="5C18BB4B" wp14:editId="3BD6179E">
                  <wp:extent cx="362138" cy="362138"/>
                  <wp:effectExtent l="0" t="0" r="0" b="0"/>
                  <wp:docPr id="29" name="Graphic 29" descr="Direc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9"/>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V="1">
                            <a:off x="0" y="0"/>
                            <a:ext cx="362138" cy="362138"/>
                          </a:xfrm>
                          <a:prstGeom prst="rect">
                            <a:avLst/>
                          </a:prstGeom>
                        </pic:spPr>
                      </pic:pic>
                    </a:graphicData>
                  </a:graphic>
                </wp:inline>
              </w:drawing>
            </w:r>
          </w:p>
        </w:tc>
        <w:tc>
          <w:tcPr>
            <w:tcW w:w="2146" w:type="dxa"/>
            <w:tcBorders>
              <w:top w:val="single" w:sz="4" w:space="0" w:color="C3D4F6" w:themeColor="accent1" w:themeTint="33"/>
              <w:left w:val="single" w:sz="4" w:space="0" w:color="C3D4F6" w:themeColor="accent1" w:themeTint="33"/>
              <w:bottom w:val="single" w:sz="4" w:space="0" w:color="C3D4F6" w:themeColor="accent1" w:themeTint="33"/>
            </w:tcBorders>
            <w:shd w:val="clear" w:color="auto" w:fill="FFFFFF" w:themeFill="background1"/>
            <w:vAlign w:val="center"/>
          </w:tcPr>
          <w:p w14:paraId="79C37FA9" w14:textId="77777777" w:rsidR="008308D0" w:rsidRPr="00702488" w:rsidRDefault="008308D0" w:rsidP="00D6110B">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702488">
              <w:rPr>
                <w:noProof/>
              </w:rPr>
              <w:drawing>
                <wp:inline distT="0" distB="0" distL="0" distR="0" wp14:anchorId="1F54ED67" wp14:editId="18245C91">
                  <wp:extent cx="362138" cy="362138"/>
                  <wp:effectExtent l="0" t="0" r="0" b="0"/>
                  <wp:docPr id="31" name="Graphic 31" descr="Direc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V="1">
                            <a:off x="0" y="0"/>
                            <a:ext cx="362138" cy="362138"/>
                          </a:xfrm>
                          <a:prstGeom prst="rect">
                            <a:avLst/>
                          </a:prstGeom>
                        </pic:spPr>
                      </pic:pic>
                    </a:graphicData>
                  </a:graphic>
                </wp:inline>
              </w:drawing>
            </w:r>
          </w:p>
        </w:tc>
      </w:tr>
      <w:tr w:rsidR="008308D0" w:rsidRPr="00702488" w14:paraId="26DF0BF9" w14:textId="77777777" w:rsidTr="0095271B">
        <w:trPr>
          <w:trHeight w:val="591"/>
        </w:trPr>
        <w:tc>
          <w:tcPr>
            <w:cnfStyle w:val="001000000000" w:firstRow="0" w:lastRow="0" w:firstColumn="1" w:lastColumn="0" w:oddVBand="0" w:evenVBand="0" w:oddHBand="0" w:evenHBand="0" w:firstRowFirstColumn="0" w:firstRowLastColumn="0" w:lastRowFirstColumn="0" w:lastRowLastColumn="0"/>
            <w:tcW w:w="2145" w:type="dxa"/>
            <w:tcBorders>
              <w:top w:val="single" w:sz="4" w:space="0" w:color="FFFFFF" w:themeColor="background1"/>
            </w:tcBorders>
            <w:vAlign w:val="center"/>
          </w:tcPr>
          <w:p w14:paraId="55C3BE6F" w14:textId="77777777" w:rsidR="008308D0" w:rsidRPr="00702488" w:rsidRDefault="008308D0" w:rsidP="00D6110B">
            <w:pPr>
              <w:jc w:val="left"/>
            </w:pPr>
            <w:r w:rsidRPr="00702488">
              <w:t>Islands of innovation and population growth</w:t>
            </w:r>
          </w:p>
        </w:tc>
        <w:tc>
          <w:tcPr>
            <w:tcW w:w="2145" w:type="dxa"/>
            <w:tcBorders>
              <w:top w:val="single" w:sz="4" w:space="0" w:color="C3D4F6" w:themeColor="accent1" w:themeTint="33"/>
              <w:right w:val="single" w:sz="4" w:space="0" w:color="C3D4F6" w:themeColor="accent1" w:themeTint="33"/>
            </w:tcBorders>
            <w:shd w:val="clear" w:color="auto" w:fill="FFFFFF" w:themeFill="background1"/>
            <w:vAlign w:val="center"/>
          </w:tcPr>
          <w:p w14:paraId="516D9BDD" w14:textId="77777777" w:rsidR="008308D0" w:rsidRPr="00702488" w:rsidRDefault="008308D0" w:rsidP="00D6110B">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702488">
              <w:rPr>
                <w:noProof/>
              </w:rPr>
              <w:drawing>
                <wp:inline distT="0" distB="0" distL="0" distR="0" wp14:anchorId="45FFD97A" wp14:editId="0346FD02">
                  <wp:extent cx="362138" cy="362138"/>
                  <wp:effectExtent l="0" t="0" r="0" b="0"/>
                  <wp:docPr id="47" name="Graphic 47" descr="Direc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Direction with solid fill"/>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69873" cy="369873"/>
                          </a:xfrm>
                          <a:prstGeom prst="rect">
                            <a:avLst/>
                          </a:prstGeom>
                        </pic:spPr>
                      </pic:pic>
                    </a:graphicData>
                  </a:graphic>
                </wp:inline>
              </w:drawing>
            </w:r>
          </w:p>
        </w:tc>
        <w:tc>
          <w:tcPr>
            <w:tcW w:w="2146" w:type="dxa"/>
            <w:tcBorders>
              <w:top w:val="single" w:sz="4" w:space="0" w:color="C3D4F6" w:themeColor="accent1" w:themeTint="33"/>
              <w:left w:val="single" w:sz="4" w:space="0" w:color="C3D4F6" w:themeColor="accent1" w:themeTint="33"/>
              <w:right w:val="single" w:sz="4" w:space="0" w:color="C3D4F6" w:themeColor="accent1" w:themeTint="33"/>
            </w:tcBorders>
            <w:shd w:val="clear" w:color="auto" w:fill="FFFFFF" w:themeFill="background1"/>
            <w:vAlign w:val="center"/>
          </w:tcPr>
          <w:p w14:paraId="75014A91" w14:textId="77777777" w:rsidR="008308D0" w:rsidRPr="00702488" w:rsidRDefault="008308D0" w:rsidP="00D6110B">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702488">
              <w:rPr>
                <w:noProof/>
              </w:rPr>
              <w:drawing>
                <wp:inline distT="0" distB="0" distL="0" distR="0" wp14:anchorId="5564E77A" wp14:editId="1B11248B">
                  <wp:extent cx="362138" cy="362138"/>
                  <wp:effectExtent l="0" t="0" r="0" b="0"/>
                  <wp:docPr id="48" name="Graphic 48" descr="Direc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Direction with solid fill"/>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69873" cy="369873"/>
                          </a:xfrm>
                          <a:prstGeom prst="rect">
                            <a:avLst/>
                          </a:prstGeom>
                        </pic:spPr>
                      </pic:pic>
                    </a:graphicData>
                  </a:graphic>
                </wp:inline>
              </w:drawing>
            </w:r>
          </w:p>
        </w:tc>
        <w:tc>
          <w:tcPr>
            <w:tcW w:w="2146" w:type="dxa"/>
            <w:tcBorders>
              <w:top w:val="single" w:sz="4" w:space="0" w:color="C3D4F6" w:themeColor="accent1" w:themeTint="33"/>
              <w:left w:val="single" w:sz="4" w:space="0" w:color="C3D4F6" w:themeColor="accent1" w:themeTint="33"/>
            </w:tcBorders>
            <w:shd w:val="clear" w:color="auto" w:fill="FFFFFF" w:themeFill="background1"/>
            <w:vAlign w:val="center"/>
          </w:tcPr>
          <w:p w14:paraId="4D96A259" w14:textId="77777777" w:rsidR="008308D0" w:rsidRPr="00702488" w:rsidRDefault="008308D0" w:rsidP="00D6110B">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702488">
              <w:rPr>
                <w:noProof/>
              </w:rPr>
              <w:drawing>
                <wp:inline distT="0" distB="0" distL="0" distR="0" wp14:anchorId="7BB39E37" wp14:editId="34C9AD40">
                  <wp:extent cx="362138" cy="362138"/>
                  <wp:effectExtent l="0" t="0" r="0" b="0"/>
                  <wp:docPr id="50" name="Graphic 50" descr="Direc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0"/>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V="1">
                            <a:off x="0" y="0"/>
                            <a:ext cx="362138" cy="362138"/>
                          </a:xfrm>
                          <a:prstGeom prst="rect">
                            <a:avLst/>
                          </a:prstGeom>
                        </pic:spPr>
                      </pic:pic>
                    </a:graphicData>
                  </a:graphic>
                </wp:inline>
              </w:drawing>
            </w:r>
          </w:p>
        </w:tc>
      </w:tr>
    </w:tbl>
    <w:p w14:paraId="57CB004C" w14:textId="6F9F7E6F" w:rsidR="007C18BF" w:rsidRPr="007C18BF" w:rsidRDefault="007C18BF" w:rsidP="00F503E2">
      <w:pPr>
        <w:rPr>
          <w:sz w:val="16"/>
          <w:szCs w:val="16"/>
        </w:rPr>
      </w:pPr>
      <w:r w:rsidRPr="007C18BF">
        <w:rPr>
          <w:sz w:val="16"/>
          <w:szCs w:val="16"/>
        </w:rPr>
        <w:t>Source: authors’ own</w:t>
      </w:r>
    </w:p>
    <w:p w14:paraId="035D908C" w14:textId="59C877AB" w:rsidR="00F503E2" w:rsidRPr="00702488" w:rsidRDefault="00273E2F" w:rsidP="00F503E2">
      <w:r w:rsidRPr="0067643C">
        <w:t xml:space="preserve">By 2050, these territorial differences are even more pronounced due to different levels of European integration in the Danube macro-region. EU Member States </w:t>
      </w:r>
      <w:r>
        <w:t>must</w:t>
      </w:r>
      <w:r w:rsidRPr="0067643C">
        <w:t xml:space="preserve"> contribute to European policy objectives as spelled out in the European Green Deal, Social Pillar, and Digital Strategy. Moreover, they make use of resources for their contributions. In addition, cross-border cooperation and </w:t>
      </w:r>
      <w:r>
        <w:t xml:space="preserve">the </w:t>
      </w:r>
      <w:r w:rsidRPr="0067643C">
        <w:t xml:space="preserve">flow of </w:t>
      </w:r>
      <w:r>
        <w:t>people</w:t>
      </w:r>
      <w:r w:rsidRPr="0067643C">
        <w:t xml:space="preserve"> is easier between EU Member States</w:t>
      </w:r>
      <w:r>
        <w:t xml:space="preserve"> that are</w:t>
      </w:r>
      <w:r w:rsidRPr="0067643C">
        <w:t xml:space="preserve"> part of Schengen. EU accession states have similar obligations but often fewer capacities to deliver results. At the same time, they are more suscepti</w:t>
      </w:r>
      <w:r>
        <w:t>bl</w:t>
      </w:r>
      <w:r w:rsidRPr="0067643C">
        <w:t xml:space="preserve">e to influence </w:t>
      </w:r>
      <w:r>
        <w:t>from</w:t>
      </w:r>
      <w:r w:rsidRPr="0067643C">
        <w:t xml:space="preserve"> foreign powers, who have different socio-economic and environmental objectives. By 2050, the Danube macro-region includes more EU Member States th</w:t>
      </w:r>
      <w:r>
        <w:t>a</w:t>
      </w:r>
      <w:r w:rsidRPr="0067643C">
        <w:t xml:space="preserve">n today. However, different rates of EU accession have widened gaps to achieving European Green Deal, Digital Strategy and Social Pillar objectives and thus </w:t>
      </w:r>
      <w:r>
        <w:t>accentuated</w:t>
      </w:r>
      <w:r w:rsidRPr="0067643C">
        <w:t xml:space="preserve"> </w:t>
      </w:r>
      <w:r>
        <w:t>the impacts of</w:t>
      </w:r>
      <w:r w:rsidRPr="0067643C">
        <w:t xml:space="preserve"> sustainable development, digitalisation, migration and demographic change.</w:t>
      </w:r>
    </w:p>
    <w:p w14:paraId="68BCBB40" w14:textId="138CBEA6" w:rsidR="0067643C" w:rsidRPr="00702488" w:rsidRDefault="0067643C" w:rsidP="0067643C">
      <w:pPr>
        <w:pStyle w:val="Heading2"/>
      </w:pPr>
      <w:bookmarkStart w:id="21" w:name="_Toc100584663"/>
      <w:r w:rsidRPr="00702488">
        <w:t>Conclusions</w:t>
      </w:r>
      <w:bookmarkEnd w:id="21"/>
    </w:p>
    <w:p w14:paraId="7BCC36F7" w14:textId="62CBCCEA" w:rsidR="00D26535" w:rsidRDefault="00D26535" w:rsidP="00D26535">
      <w:r>
        <w:t xml:space="preserve">The territorial baseline mainly shows negative territorial developments for the Danube macro-region. </w:t>
      </w:r>
      <w:r w:rsidR="00CF50AF">
        <w:t>N</w:t>
      </w:r>
      <w:r>
        <w:t xml:space="preserve">atural, tourism and agricultural areas are among those facing the most negative challenges as a result of climate change, biodiversity loss, increased transportation costs and depopulation. </w:t>
      </w:r>
    </w:p>
    <w:p w14:paraId="64659771" w14:textId="5CA1CC1F" w:rsidR="00D26535" w:rsidRDefault="00CF50AF" w:rsidP="00D26535">
      <w:r>
        <w:t>T</w:t>
      </w:r>
      <w:r w:rsidR="00D26535">
        <w:t xml:space="preserve">he benefits of technological advancement and digitalisation are likely to be concentrated in a few territories. This includes territories that started investing and adopting clean and green technological solutions early as well as territories with creative capacities and low entry barriers to applying new technology. These territories can leapfrog stages of technological advancement and are shown as technological newcomers in </w:t>
      </w:r>
      <w:r w:rsidR="002F7400">
        <w:t>map 4-1</w:t>
      </w:r>
      <w:r w:rsidR="00D26535">
        <w:t>.</w:t>
      </w:r>
    </w:p>
    <w:p w14:paraId="286FB1AE" w14:textId="6CFEF9B3" w:rsidR="00D26535" w:rsidRDefault="00D26535" w:rsidP="00D26535">
      <w:r>
        <w:t>At the same time, the common baseline assumptions – territories in transition to sustainable economies, dealing with depopulation, a digital divide and incomplete EU integration– have different territorial consequences. In the Danube macro-region, challenges for industrial areas, mostly in EU countries, become noticeable. Imbalanced clean energy across the region challenges industrial production. As such, industry in Czechia, central Romania and Serbia must be innovative or pay more for carbon emissions. In addition, reliance on road or maritime transport to import or export production material challenges industrial areas as these means of transport are likely to become more costly. As such industrial areas in Croatia, Bosnia-Herzegovina, Serbia and Bulgaria risk losing competitive advantage.</w:t>
      </w:r>
    </w:p>
    <w:p w14:paraId="0FC09B74" w14:textId="7908A6A5" w:rsidR="0067643C" w:rsidRPr="00702488" w:rsidRDefault="00D26535" w:rsidP="00D26535">
      <w:pPr>
        <w:pStyle w:val="BodyText"/>
        <w:rPr>
          <w:lang w:eastAsia="sv-SE"/>
        </w:rPr>
      </w:pPr>
      <w:r>
        <w:rPr>
          <w:lang w:eastAsia="sv-SE"/>
        </w:rPr>
        <w:t>Overall, the baseline scenario depicts increasing challenges for many types of territories in the Danube macro-region. Only a few territories will thrive as islands of innovation. An incomplete transition to sustainable economies indicates great disparities between territories in the two macro-regions.</w:t>
      </w:r>
    </w:p>
    <w:p w14:paraId="794FE6B5" w14:textId="7B1E1A9F" w:rsidR="00EB13A1" w:rsidRPr="00702488" w:rsidRDefault="00C1422E" w:rsidP="00646167">
      <w:pPr>
        <w:pStyle w:val="Heading1"/>
      </w:pPr>
      <w:bookmarkStart w:id="22" w:name="_Toc100584664"/>
      <w:r w:rsidRPr="00702488">
        <w:t>Flourishing in green and social wellbeing</w:t>
      </w:r>
      <w:bookmarkEnd w:id="22"/>
    </w:p>
    <w:p w14:paraId="2B1F9C16" w14:textId="4484731B" w:rsidR="00210242" w:rsidRPr="00086CBD" w:rsidRDefault="00210242" w:rsidP="00210242">
      <w:pPr>
        <w:rPr>
          <w:color w:val="528E45" w:themeColor="accent4" w:themeShade="BF"/>
        </w:rPr>
      </w:pPr>
      <w:r w:rsidRPr="00086CBD">
        <w:rPr>
          <w:b/>
          <w:bCs/>
          <w:color w:val="528E45" w:themeColor="accent4" w:themeShade="BF"/>
        </w:rPr>
        <w:t xml:space="preserve">For the </w:t>
      </w:r>
      <w:r w:rsidRPr="00086CBD">
        <w:rPr>
          <w:b/>
          <w:bCs/>
          <w:i/>
          <w:iCs/>
          <w:color w:val="528E45" w:themeColor="accent4" w:themeShade="BF"/>
        </w:rPr>
        <w:t>summum bonum</w:t>
      </w:r>
      <w:r w:rsidRPr="00F54737">
        <w:rPr>
          <w:rStyle w:val="FootnoteReference"/>
        </w:rPr>
        <w:footnoteReference w:id="3"/>
      </w:r>
      <w:r w:rsidRPr="00086CBD">
        <w:rPr>
          <w:b/>
          <w:bCs/>
          <w:color w:val="528E45" w:themeColor="accent4" w:themeShade="BF"/>
        </w:rPr>
        <w:t>: Getting a good life</w:t>
      </w:r>
      <w:r w:rsidRPr="00086CBD">
        <w:rPr>
          <w:color w:val="528E45" w:themeColor="accent4" w:themeShade="BF"/>
        </w:rPr>
        <w:t>. By 2050 the Danube Region and its citizens have taken a big leap towards achieving the ‘</w:t>
      </w:r>
      <w:r>
        <w:rPr>
          <w:color w:val="528E45" w:themeColor="accent4" w:themeShade="BF"/>
        </w:rPr>
        <w:t>greatest</w:t>
      </w:r>
      <w:r w:rsidRPr="00086CBD">
        <w:rPr>
          <w:color w:val="528E45" w:themeColor="accent4" w:themeShade="BF"/>
        </w:rPr>
        <w:t xml:space="preserve"> good’, i.e., a better quality of life. The COVID-19 pandemic of the early 2020’s </w:t>
      </w:r>
      <w:r>
        <w:rPr>
          <w:color w:val="528E45" w:themeColor="accent4" w:themeShade="BF"/>
        </w:rPr>
        <w:t>was</w:t>
      </w:r>
      <w:r w:rsidRPr="00086CBD">
        <w:rPr>
          <w:color w:val="528E45" w:themeColor="accent4" w:themeShade="BF"/>
        </w:rPr>
        <w:t xml:space="preserve"> a trigger for </w:t>
      </w:r>
      <w:r>
        <w:rPr>
          <w:color w:val="528E45" w:themeColor="accent4" w:themeShade="BF"/>
        </w:rPr>
        <w:t>increasing</w:t>
      </w:r>
      <w:r w:rsidRPr="00086CBD">
        <w:rPr>
          <w:color w:val="528E45" w:themeColor="accent4" w:themeShade="BF"/>
        </w:rPr>
        <w:t xml:space="preserve"> the importance of wellbeing. </w:t>
      </w:r>
      <w:r>
        <w:rPr>
          <w:color w:val="528E45" w:themeColor="accent4" w:themeShade="BF"/>
        </w:rPr>
        <w:t>R</w:t>
      </w:r>
      <w:r w:rsidRPr="00086CBD">
        <w:rPr>
          <w:color w:val="528E45" w:themeColor="accent4" w:themeShade="BF"/>
        </w:rPr>
        <w:t xml:space="preserve">estrictions and social distancing measures </w:t>
      </w:r>
      <w:r>
        <w:rPr>
          <w:color w:val="528E45" w:themeColor="accent4" w:themeShade="BF"/>
        </w:rPr>
        <w:t>greatly</w:t>
      </w:r>
      <w:r w:rsidRPr="00086CBD">
        <w:rPr>
          <w:color w:val="528E45" w:themeColor="accent4" w:themeShade="BF"/>
        </w:rPr>
        <w:t xml:space="preserve"> affected social life, contacts and </w:t>
      </w:r>
      <w:r>
        <w:rPr>
          <w:color w:val="528E45" w:themeColor="accent4" w:themeShade="BF"/>
        </w:rPr>
        <w:t xml:space="preserve">the </w:t>
      </w:r>
      <w:r w:rsidRPr="00086CBD">
        <w:rPr>
          <w:color w:val="528E45" w:themeColor="accent4" w:themeShade="BF"/>
        </w:rPr>
        <w:t xml:space="preserve">mental health of citizens, which directly affects their personal </w:t>
      </w:r>
      <w:r>
        <w:rPr>
          <w:color w:val="528E45" w:themeColor="accent4" w:themeShade="BF"/>
        </w:rPr>
        <w:t>wellbeing</w:t>
      </w:r>
      <w:r w:rsidRPr="00086CBD">
        <w:rPr>
          <w:color w:val="528E45" w:themeColor="accent4" w:themeShade="BF"/>
        </w:rPr>
        <w:t xml:space="preserve">. Citizens have realised that it is not only economic progress that brings joy. In fact, </w:t>
      </w:r>
      <w:r>
        <w:rPr>
          <w:color w:val="528E45" w:themeColor="accent4" w:themeShade="BF"/>
        </w:rPr>
        <w:t>in addition to</w:t>
      </w:r>
      <w:r w:rsidRPr="00086CBD">
        <w:rPr>
          <w:color w:val="528E45" w:themeColor="accent4" w:themeShade="BF"/>
        </w:rPr>
        <w:t xml:space="preserve"> economic factors like income or wealth, other factors, such as personal relations, improved social life and contacts have been proven pivotal for a good quality of life </w:t>
      </w:r>
      <w:r w:rsidRPr="00086CBD">
        <w:rPr>
          <w:color w:val="528E45" w:themeColor="accent4" w:themeShade="BF"/>
        </w:rPr>
        <w:fldChar w:fldCharType="begin"/>
      </w:r>
      <w:r w:rsidR="00DC4537">
        <w:rPr>
          <w:color w:val="528E45" w:themeColor="accent4" w:themeShade="BF"/>
        </w:rPr>
        <w:instrText xml:space="preserve"> ADDIN ZOTERO_ITEM CSL_CITATION {"citationID":"TwF4oHsz","properties":{"formattedCitation":"(Hanell, 2018; Kahneman &amp; Krueger, 2006)","plainCitation":"(Hanell, 2018; Kahneman &amp; Krueger, 2006)","noteIndex":0},"citationItems":[{"id":3014,"uris":["http://zotero.org/groups/21774/items/P2S8PLMX"],"itemData":{"id":3014,"type":"book","collection-title":"Doctorial dissertation","event-place":"Helsinki","publisher":"Aalto university","publisher-place":"Helsinki","title":"Regional quality of life in the EU. Comprehending the European space beyond GDP through the capability approach","author":[{"family":"Hanell","given":"Tomas"}],"issued":{"date-parts":[["2018"]]}}},{"id":8326,"uris":["http://zotero.org/groups/4075961/items/WL9CWKVJ"],"itemData":{"id":8326,"type":"article-journal","container-title":"Journal of Economic Perspectives","issue":"1","page":"3-24","title":"Developments in the measurement of subjective well-being","volume":"20","author":[{"family":"Kahneman","given":"Daniel"},{"family":"Krueger","given":"Alan B."}],"issued":{"date-parts":[["2006"]]}}}],"schema":"https://github.com/citation-style-language/schema/raw/master/csl-citation.json"} </w:instrText>
      </w:r>
      <w:r w:rsidRPr="00086CBD">
        <w:rPr>
          <w:color w:val="528E45" w:themeColor="accent4" w:themeShade="BF"/>
        </w:rPr>
        <w:fldChar w:fldCharType="separate"/>
      </w:r>
      <w:r w:rsidRPr="00086CBD">
        <w:rPr>
          <w:noProof/>
          <w:color w:val="528E45" w:themeColor="accent4" w:themeShade="BF"/>
        </w:rPr>
        <w:t>(Hanell, 2018; Kahneman &amp; Krueger, 2006)</w:t>
      </w:r>
      <w:r w:rsidRPr="00086CBD">
        <w:rPr>
          <w:color w:val="528E45" w:themeColor="accent4" w:themeShade="BF"/>
        </w:rPr>
        <w:fldChar w:fldCharType="end"/>
      </w:r>
      <w:r w:rsidRPr="00086CBD">
        <w:rPr>
          <w:color w:val="528E45" w:themeColor="accent4" w:themeShade="BF"/>
        </w:rPr>
        <w:t xml:space="preserve">. </w:t>
      </w:r>
      <w:r>
        <w:rPr>
          <w:color w:val="528E45" w:themeColor="accent4" w:themeShade="BF"/>
        </w:rPr>
        <w:t>Beyond</w:t>
      </w:r>
      <w:r w:rsidRPr="00086CBD">
        <w:rPr>
          <w:color w:val="528E45" w:themeColor="accent4" w:themeShade="BF"/>
        </w:rPr>
        <w:t xml:space="preserve"> that, the pandemic also highlighted more than ever the link of good environmental conditions, good governance and good health with the quality of life. During the lockdowns of the early 2020s, CO</w:t>
      </w:r>
      <w:r w:rsidRPr="00086CBD">
        <w:rPr>
          <w:color w:val="528E45" w:themeColor="accent4" w:themeShade="BF"/>
          <w:vertAlign w:val="subscript"/>
        </w:rPr>
        <w:t>2</w:t>
      </w:r>
      <w:r w:rsidRPr="00086CBD">
        <w:rPr>
          <w:color w:val="528E45" w:themeColor="accent4" w:themeShade="BF"/>
        </w:rPr>
        <w:t xml:space="preserve"> emissions reduced to decade</w:t>
      </w:r>
      <w:r>
        <w:rPr>
          <w:color w:val="528E45" w:themeColor="accent4" w:themeShade="BF"/>
        </w:rPr>
        <w:t>-long</w:t>
      </w:r>
      <w:r w:rsidRPr="00086CBD">
        <w:rPr>
          <w:color w:val="528E45" w:themeColor="accent4" w:themeShade="BF"/>
        </w:rPr>
        <w:t xml:space="preserve"> </w:t>
      </w:r>
      <w:r w:rsidRPr="00A7683B">
        <w:rPr>
          <w:color w:val="528E45" w:themeColor="accent4" w:themeShade="BF"/>
        </w:rPr>
        <w:t xml:space="preserve">lows </w:t>
      </w:r>
      <w:r w:rsidRPr="00A7683B">
        <w:rPr>
          <w:color w:val="528E45" w:themeColor="accent4" w:themeShade="BF"/>
        </w:rPr>
        <w:fldChar w:fldCharType="begin"/>
      </w:r>
      <w:r w:rsidR="00DC4537" w:rsidRPr="00A7683B">
        <w:rPr>
          <w:color w:val="528E45" w:themeColor="accent4" w:themeShade="BF"/>
        </w:rPr>
        <w:instrText xml:space="preserve"> ADDIN ZOTERO_ITEM CSL_CITATION {"citationID":"a1mq6pme027","properties":{"formattedCitation":"(Tollefson, 2021)","plainCitation":"(Tollefson, 2021)","noteIndex":0},"citationItems":[{"id":8453,"uris":["http://zotero.org/groups/4075961/items/3VMQ3BUA"],"itemData":{"id":8453,"type":"webpage","container-title":"nature","title":"COVID curbed carbon emissions in 2020 - but not by much","URL":"https://www.nature.com/articles/d41586-021-00090-3","author":[{"family":"Tollefson","given":"Jeff"}],"accessed":{"date-parts":[["2021",3,10]]},"issued":{"date-parts":[["2021",1,15]]}}}],"schema":"https://github.com/citation-style-language/schema/raw/master/csl-citation.json"} </w:instrText>
      </w:r>
      <w:r w:rsidRPr="00A7683B">
        <w:rPr>
          <w:color w:val="528E45" w:themeColor="accent4" w:themeShade="BF"/>
        </w:rPr>
        <w:fldChar w:fldCharType="separate"/>
      </w:r>
      <w:r w:rsidR="00DC4537" w:rsidRPr="00A7683B">
        <w:rPr>
          <w:rFonts w:ascii="Arial" w:cs="Arial"/>
          <w:color w:val="528E45" w:themeColor="accent4" w:themeShade="BF"/>
        </w:rPr>
        <w:t>(Tollefson, 2021)</w:t>
      </w:r>
      <w:r w:rsidRPr="00A7683B">
        <w:rPr>
          <w:color w:val="528E45" w:themeColor="accent4" w:themeShade="BF"/>
        </w:rPr>
        <w:fldChar w:fldCharType="end"/>
      </w:r>
      <w:r w:rsidRPr="00A7683B">
        <w:rPr>
          <w:color w:val="528E45" w:themeColor="accent4" w:themeShade="BF"/>
        </w:rPr>
        <w:t xml:space="preserve">, improving air and noise quality, while some first seeds of nature revival in many places were sowed </w:t>
      </w:r>
      <w:r w:rsidRPr="00A7683B">
        <w:rPr>
          <w:color w:val="528E45" w:themeColor="accent4" w:themeShade="BF"/>
        </w:rPr>
        <w:fldChar w:fldCharType="begin"/>
      </w:r>
      <w:r w:rsidR="00DC4537" w:rsidRPr="00A7683B">
        <w:rPr>
          <w:color w:val="528E45" w:themeColor="accent4" w:themeShade="BF"/>
        </w:rPr>
        <w:instrText xml:space="preserve"> ADDIN ZOTERO_ITEM CSL_CITATION {"citationID":"a1cqv08vb6q","properties":{"formattedCitation":"(Barbiroglio, 2020)","plainCitation":"(Barbiroglio, 2020)","noteIndex":0},"citationItems":[{"id":8454,"uris":["http://zotero.org/groups/4075961/items/ETHKDUZY"],"itemData":{"id":8454,"type":"webpage","container-title":"Forbes","title":"Nature started healing even before lockdowns  - But we can now see the results for ourselves","URL":"https://www.forbes.com/sites/emanuelabarbiroglio/2020/03/30/nature-has-not-started-healing-when-people-have-been-forced-in-lockdown/?sh=5e186ed55f78","author":[{"family":"Barbiroglio","given":"Emanuela"}],"accessed":{"date-parts":[["2021",3,10]]},"issued":{"date-parts":[["2020",3,30]]}}}],"schema":"https://github.com/citation-style-language/schema/raw/master/csl-citation.json"} </w:instrText>
      </w:r>
      <w:r w:rsidRPr="00A7683B">
        <w:rPr>
          <w:color w:val="528E45" w:themeColor="accent4" w:themeShade="BF"/>
        </w:rPr>
        <w:fldChar w:fldCharType="separate"/>
      </w:r>
      <w:r w:rsidR="00DC4537" w:rsidRPr="00A7683B">
        <w:rPr>
          <w:rFonts w:ascii="Arial" w:cs="Arial"/>
          <w:color w:val="528E45" w:themeColor="accent4" w:themeShade="BF"/>
        </w:rPr>
        <w:t>(Barbiroglio, 2020)</w:t>
      </w:r>
      <w:r w:rsidRPr="00A7683B">
        <w:rPr>
          <w:color w:val="528E45" w:themeColor="accent4" w:themeShade="BF"/>
        </w:rPr>
        <w:fldChar w:fldCharType="end"/>
      </w:r>
      <w:r w:rsidRPr="00A7683B">
        <w:rPr>
          <w:color w:val="528E45" w:themeColor="accent4" w:themeShade="BF"/>
        </w:rPr>
        <w:t xml:space="preserve">. In addition, public trust, e.g. trust in services, in the legal system etc., has been boosted since the 2020s, building a new paradigm for governments which have won trust over the pandemic crisis years, as an important wellbeing component </w:t>
      </w:r>
      <w:r w:rsidRPr="00A7683B">
        <w:rPr>
          <w:color w:val="528E45" w:themeColor="accent4" w:themeShade="BF"/>
        </w:rPr>
        <w:fldChar w:fldCharType="begin"/>
      </w:r>
      <w:r w:rsidR="00DC4537" w:rsidRPr="00A7683B">
        <w:rPr>
          <w:color w:val="528E45" w:themeColor="accent4" w:themeShade="BF"/>
        </w:rPr>
        <w:instrText xml:space="preserve"> ADDIN ZOTERO_ITEM CSL_CITATION {"citationID":"a1fl47t8dqi","properties":{"formattedCitation":"(OECD, 2021b, 2021a)","plainCitation":"(OECD, 2021b, 2021a)","noteIndex":0},"citationItems":[{"id":8456,"uris":["http://zotero.org/groups/4075961/items/NM278T5L"],"itemData":{"id":8456,"type":"report","collection-title":"OECD Publishing","event-place":"Paris","publisher-place":"Paris","title":"Government at a Glance 2021","author":[{"family":"OECD","given":""}],"issued":{"date-parts":[["2021"]]}}},{"id":8457,"uris":["http://zotero.org/groups/4075961/items/YH27CERR"],"itemData":{"id":8457,"type":"document","title":"Trust in Government: Understanding its Territorial Divides. Webinar Summary","author":[{"family":"OECD","given":""}],"issued":{"date-parts":[["2021",7,7]]}}}],"schema":"https://github.com/citation-style-language/schema/raw/master/csl-citation.json"} </w:instrText>
      </w:r>
      <w:r w:rsidRPr="00A7683B">
        <w:rPr>
          <w:color w:val="528E45" w:themeColor="accent4" w:themeShade="BF"/>
        </w:rPr>
        <w:fldChar w:fldCharType="separate"/>
      </w:r>
      <w:r w:rsidR="00DC4537" w:rsidRPr="00A7683B">
        <w:rPr>
          <w:rFonts w:ascii="Arial" w:cs="Arial"/>
          <w:color w:val="528E45" w:themeColor="accent4" w:themeShade="BF"/>
        </w:rPr>
        <w:t>(OECD, 2021b, 2021a)</w:t>
      </w:r>
      <w:r w:rsidRPr="00A7683B">
        <w:rPr>
          <w:color w:val="528E45" w:themeColor="accent4" w:themeShade="BF"/>
        </w:rPr>
        <w:fldChar w:fldCharType="end"/>
      </w:r>
      <w:r w:rsidRPr="00A7683B">
        <w:rPr>
          <w:color w:val="528E45" w:themeColor="accent4" w:themeShade="BF"/>
        </w:rPr>
        <w:t xml:space="preserve">. </w:t>
      </w:r>
      <w:r w:rsidR="00A7683B">
        <w:rPr>
          <w:color w:val="528E45" w:themeColor="accent4" w:themeShade="BF"/>
        </w:rPr>
        <w:t xml:space="preserve">The war in Ukraine also highlighted the need for </w:t>
      </w:r>
      <w:r w:rsidR="00207C6D">
        <w:rPr>
          <w:color w:val="528E45" w:themeColor="accent4" w:themeShade="BF"/>
        </w:rPr>
        <w:t xml:space="preserve">trust in democratic governments. </w:t>
      </w:r>
      <w:r w:rsidRPr="00A7683B">
        <w:rPr>
          <w:color w:val="528E45" w:themeColor="accent4" w:themeShade="BF"/>
        </w:rPr>
        <w:t xml:space="preserve">These triggers made it clear that green environments and flourishing ecology, as well as institutional trust and thriving communities are important enablers for a good life </w:t>
      </w:r>
      <w:r w:rsidRPr="00A7683B">
        <w:rPr>
          <w:color w:val="528E45" w:themeColor="accent4" w:themeShade="BF"/>
        </w:rPr>
        <w:fldChar w:fldCharType="begin"/>
      </w:r>
      <w:r w:rsidR="00DC4537" w:rsidRPr="00A7683B">
        <w:rPr>
          <w:color w:val="528E45" w:themeColor="accent4" w:themeShade="BF"/>
        </w:rPr>
        <w:instrText xml:space="preserve"> ADDIN ZOTERO_ITEM CSL_CITATION {"citationID":"astkrmjanu","properties":{"formattedCitation":"(ESPON, 2020a)","plainCitation":"(ESPON, 2020a)","noteIndex":0},"citationItems":[{"id":100,"uris":["http://zotero.org/groups/21774/items/IF5E5V83"],"itemData":{"id":100,"type":"report","event-place":"Luxembourg","publisher":"ESPON EGTC","publisher-place":"Luxembourg","title":"ESPON QoL - Quality of Life Measurements and Methodology. Final Report.","author":[{"family":"ESPON","given":""}],"issued":{"date-parts":[["2020"]]}}}],"schema":"https://github.com/citation-style-language/schema/raw/master/csl-citation.json"} </w:instrText>
      </w:r>
      <w:r w:rsidRPr="00A7683B">
        <w:rPr>
          <w:color w:val="528E45" w:themeColor="accent4" w:themeShade="BF"/>
        </w:rPr>
        <w:fldChar w:fldCharType="separate"/>
      </w:r>
      <w:r w:rsidR="00DC4537" w:rsidRPr="00A7683B">
        <w:rPr>
          <w:rFonts w:ascii="Arial" w:cs="Arial"/>
          <w:color w:val="528E45" w:themeColor="accent4" w:themeShade="BF"/>
        </w:rPr>
        <w:t>(ESPON, 2020a)</w:t>
      </w:r>
      <w:r w:rsidRPr="00A7683B">
        <w:rPr>
          <w:color w:val="528E45" w:themeColor="accent4" w:themeShade="BF"/>
        </w:rPr>
        <w:fldChar w:fldCharType="end"/>
      </w:r>
      <w:r w:rsidRPr="00A7683B">
        <w:rPr>
          <w:color w:val="528E45" w:themeColor="accent4" w:themeShade="BF"/>
        </w:rPr>
        <w:t xml:space="preserve">. By 2050, prosperity in the Danube Region is not only defined by good material conditions, education, economic and </w:t>
      </w:r>
      <w:r w:rsidRPr="00086CBD">
        <w:rPr>
          <w:color w:val="528E45" w:themeColor="accent4" w:themeShade="BF"/>
        </w:rPr>
        <w:t xml:space="preserve">physical safety, employment and job satisfaction, but also health, leisure and social interactions, a good living environment and good governance </w:t>
      </w:r>
      <w:r w:rsidRPr="00086CBD">
        <w:rPr>
          <w:color w:val="528E45" w:themeColor="accent4" w:themeShade="BF"/>
        </w:rPr>
        <w:fldChar w:fldCharType="begin"/>
      </w:r>
      <w:r w:rsidR="00DC4537">
        <w:rPr>
          <w:color w:val="528E45" w:themeColor="accent4" w:themeShade="BF"/>
        </w:rPr>
        <w:instrText xml:space="preserve"> ADDIN ZOTERO_ITEM CSL_CITATION {"citationID":"afpu2gk4c0","properties":{"formattedCitation":"(Hanell, 2018)","plainCitation":"(Hanell, 2018)","noteIndex":0},"citationItems":[{"id":3014,"uris":["http://zotero.org/groups/21774/items/P2S8PLMX"],"itemData":{"id":3014,"type":"book","collection-title":"Doctorial dissertation","event-place":"Helsinki","publisher":"Aalto university","publisher-place":"Helsinki","title":"Regional quality of life in the EU. Comprehending the European space beyond GDP through the capability approach","author":[{"family":"Hanell","given":"Tomas"}],"issued":{"date-parts":[["2018"]]}}}],"schema":"https://github.com/citation-style-language/schema/raw/master/csl-citation.json"} </w:instrText>
      </w:r>
      <w:r w:rsidRPr="00086CBD">
        <w:rPr>
          <w:color w:val="528E45" w:themeColor="accent4" w:themeShade="BF"/>
        </w:rPr>
        <w:fldChar w:fldCharType="separate"/>
      </w:r>
      <w:r w:rsidR="00DC4537" w:rsidRPr="00DC4537">
        <w:rPr>
          <w:rFonts w:ascii="Arial" w:cs="Arial"/>
          <w:color w:val="808080"/>
        </w:rPr>
        <w:t>(Hanell, 2018)</w:t>
      </w:r>
      <w:r w:rsidRPr="00086CBD">
        <w:rPr>
          <w:color w:val="528E45" w:themeColor="accent4" w:themeShade="BF"/>
        </w:rPr>
        <w:fldChar w:fldCharType="end"/>
      </w:r>
      <w:r w:rsidRPr="00086CBD">
        <w:rPr>
          <w:color w:val="528E45" w:themeColor="accent4" w:themeShade="BF"/>
        </w:rPr>
        <w:t xml:space="preserve">, as people start to value their personal lives more. </w:t>
      </w:r>
    </w:p>
    <w:p w14:paraId="76B3BE7F" w14:textId="61DAA4ED" w:rsidR="00210242" w:rsidRPr="00E533BD" w:rsidRDefault="00210242" w:rsidP="00210242">
      <w:pPr>
        <w:rPr>
          <w:color w:val="528E45" w:themeColor="accent4" w:themeShade="BF"/>
        </w:rPr>
      </w:pPr>
      <w:r w:rsidRPr="00E533BD">
        <w:rPr>
          <w:b/>
          <w:bCs/>
          <w:color w:val="528E45" w:themeColor="accent4" w:themeShade="BF"/>
        </w:rPr>
        <w:t>In strategic autonomy: EU as a global player</w:t>
      </w:r>
      <w:r w:rsidRPr="00E533BD">
        <w:rPr>
          <w:color w:val="528E45" w:themeColor="accent4" w:themeShade="BF"/>
        </w:rPr>
        <w:t xml:space="preserve">. By 2050 the EU has become more strategically autonomous, which has greatly influenced the integration of its territories and macro-regions, by also becoming more resilient. The COVID-19 pandemic exposed several vulnerabilities, dependencies and gradual dis-empowerment across Europe and its neighbourhood. To counter that, the EU has aimed at more resilience, where mutual interdependencies are well managed and there is relative power across the EU </w:t>
      </w:r>
      <w:r w:rsidRPr="00E533BD">
        <w:rPr>
          <w:color w:val="528E45" w:themeColor="accent4" w:themeShade="BF"/>
        </w:rPr>
        <w:fldChar w:fldCharType="begin"/>
      </w:r>
      <w:r w:rsidR="00DC4537" w:rsidRPr="00E533BD">
        <w:rPr>
          <w:color w:val="528E45" w:themeColor="accent4" w:themeShade="BF"/>
        </w:rPr>
        <w:instrText xml:space="preserve"> ADDIN ZOTERO_ITEM CSL_CITATION {"citationID":"a1i9v9s7p85","properties":{"formattedCitation":"(Joint Research Centre, 2021c)","plainCitation":"(Joint Research Centre, 2021c)","noteIndex":0},"citationItems":[{"id":8343,"uris":["http://zotero.org/groups/4075961/items/D7U9LR9A"],"itemData":{"id":8343,"type":"report","title":"Shaping &amp; securing the EU's open strategic autonomy by 2040 and beyond","author":[{"family":"Joint Research Centre","given":""}],"issued":{"date-parts":[["2021"]]}}}],"schema":"https://github.com/citation-style-language/schema/raw/master/csl-citation.json"} </w:instrText>
      </w:r>
      <w:r w:rsidRPr="00E533BD">
        <w:rPr>
          <w:color w:val="528E45" w:themeColor="accent4" w:themeShade="BF"/>
        </w:rPr>
        <w:fldChar w:fldCharType="separate"/>
      </w:r>
      <w:r w:rsidR="00DC4537" w:rsidRPr="00E533BD">
        <w:rPr>
          <w:rFonts w:ascii="Arial" w:cs="Arial"/>
          <w:color w:val="528E45" w:themeColor="accent4" w:themeShade="BF"/>
        </w:rPr>
        <w:t>(Joint Research Centre, 2021c)</w:t>
      </w:r>
      <w:r w:rsidRPr="00E533BD">
        <w:rPr>
          <w:color w:val="528E45" w:themeColor="accent4" w:themeShade="BF"/>
        </w:rPr>
        <w:fldChar w:fldCharType="end"/>
      </w:r>
      <w:r w:rsidRPr="00E533BD">
        <w:rPr>
          <w:color w:val="528E45" w:themeColor="accent4" w:themeShade="BF"/>
        </w:rPr>
        <w:t xml:space="preserve">. Critical dependencies such as increased competition in geopolitics, digital technology, economic dependence on foreign powers, the green and digital transitions, polarisation due to populism and climate change consequences that need coordinated action have prompted a more active role for the EU in the world </w:t>
      </w:r>
      <w:r w:rsidRPr="00E533BD">
        <w:rPr>
          <w:color w:val="528E45" w:themeColor="accent4" w:themeShade="BF"/>
        </w:rPr>
        <w:fldChar w:fldCharType="begin"/>
      </w:r>
      <w:r w:rsidR="00DC4537" w:rsidRPr="00E533BD">
        <w:rPr>
          <w:color w:val="528E45" w:themeColor="accent4" w:themeShade="BF"/>
        </w:rPr>
        <w:instrText xml:space="preserve"> ADDIN ZOTERO_ITEM CSL_CITATION {"citationID":"oVWzxwV1","properties":{"formattedCitation":"(Joint Research Centre, 2021c)","plainCitation":"(Joint Research Centre, 2021c)","noteIndex":0},"citationItems":[{"id":8343,"uris":["http://zotero.org/groups/4075961/items/D7U9LR9A"],"itemData":{"id":8343,"type":"report","title":"Shaping &amp; securing the EU's open strategic autonomy by 2040 and beyond","author":[{"family":"Joint Research Centre","given":""}],"issued":{"date-parts":[["2021"]]}}}],"schema":"https://github.com/citation-style-language/schema/raw/master/csl-citation.json"} </w:instrText>
      </w:r>
      <w:r w:rsidRPr="00E533BD">
        <w:rPr>
          <w:color w:val="528E45" w:themeColor="accent4" w:themeShade="BF"/>
        </w:rPr>
        <w:fldChar w:fldCharType="separate"/>
      </w:r>
      <w:r w:rsidR="00DC4537" w:rsidRPr="00E533BD">
        <w:rPr>
          <w:rFonts w:ascii="Arial" w:cs="Arial"/>
          <w:color w:val="528E45" w:themeColor="accent4" w:themeShade="BF"/>
        </w:rPr>
        <w:t>(Joint Research Centre, 2021c)</w:t>
      </w:r>
      <w:r w:rsidRPr="00E533BD">
        <w:rPr>
          <w:color w:val="528E45" w:themeColor="accent4" w:themeShade="BF"/>
        </w:rPr>
        <w:fldChar w:fldCharType="end"/>
      </w:r>
      <w:r w:rsidRPr="00E533BD">
        <w:rPr>
          <w:color w:val="528E45" w:themeColor="accent4" w:themeShade="BF"/>
        </w:rPr>
        <w:t>. Although the idea initially focused on security and defence, over the years, strategic autonomy evolved towards further policies. As a result, by 2050, the EU has become more proactive, being true to its interest and values, and has taken a leading role in geopolitics, the environment and society. This strategic autonomy over the decades has been step for the EU project, evolving from an economic and social union to a ‘governance of governance’. This has not only had implications for EU member states, but particularly for EU enlargement, with the latter becoming a key influence and priority tool in its wider territory. Enlargement countries have mainly become EU member states. Through its strategic autonomy, the EU has become a strong regulatory player functioning as a large umbrella organisation, safeguarding its sustainability rules and social charter through legislation. At the same time, this overarching autonomy of the EU strengthened the subsidiarity principle in member states and allowed the EU to have more global influence.</w:t>
      </w:r>
    </w:p>
    <w:p w14:paraId="68A00B6A" w14:textId="5D9B92BD" w:rsidR="00210242" w:rsidRPr="00E533BD" w:rsidRDefault="00210242" w:rsidP="00210242">
      <w:pPr>
        <w:rPr>
          <w:color w:val="528E45" w:themeColor="accent4" w:themeShade="BF"/>
        </w:rPr>
      </w:pPr>
      <w:r w:rsidRPr="00E533BD">
        <w:rPr>
          <w:b/>
          <w:bCs/>
          <w:color w:val="528E45" w:themeColor="accent4" w:themeShade="BF"/>
        </w:rPr>
        <w:t>Fit for digital transformations</w:t>
      </w:r>
      <w:r w:rsidRPr="00E533BD">
        <w:rPr>
          <w:color w:val="528E45" w:themeColor="accent4" w:themeShade="BF"/>
        </w:rPr>
        <w:t xml:space="preserve">. Discussions in the 2020s initiated the digital transformation across the EU. This is transforming people’s lives, bringing people closer together no matter where they are located, as was proved during the COVID-19 pandemic, enabling people to organise themselves, interact, work and reach out in a fast, easy and economical way. The EU digital compass of the 2020s launched four key aspects for digital transformation, which have evolved by 2050 and peaked in the Danube Region. Increased digital skills, more secure and sustainable digital infrastructure, the transformation of businesses and public services now highlight the digital profile of the macro-region </w:t>
      </w:r>
      <w:r w:rsidRPr="00E533BD">
        <w:rPr>
          <w:color w:val="528E45" w:themeColor="accent4" w:themeShade="BF"/>
        </w:rPr>
        <w:fldChar w:fldCharType="begin"/>
      </w:r>
      <w:r w:rsidR="00DC4537" w:rsidRPr="00E533BD">
        <w:rPr>
          <w:color w:val="528E45" w:themeColor="accent4" w:themeShade="BF"/>
        </w:rPr>
        <w:instrText xml:space="preserve"> ADDIN ZOTERO_ITEM CSL_CITATION {"citationID":"atgh5l44nj","properties":{"formattedCitation":"(European Commission, 2021b)","plainCitation":"(European Commission, 2021b)","noteIndex":0},"citationItems":[{"id":8335,"uris":["http://zotero.org/groups/4075961/items/BSL3NHC9"],"itemData":{"id":8335,"type":"document","title":"Communication from the Commission to the European Parliament, the Council, the European Economic and Social Committee and the Committee of the Regions. 2030 Digital Compass: the European way for the Digital Decade. COM(2021) 118 final","author":[{"family":"European Commission","given":""}],"issued":{"date-parts":[["2021",3,9]]}}}],"schema":"https://github.com/citation-style-language/schema/raw/master/csl-citation.json"} </w:instrText>
      </w:r>
      <w:r w:rsidRPr="00E533BD">
        <w:rPr>
          <w:color w:val="528E45" w:themeColor="accent4" w:themeShade="BF"/>
        </w:rPr>
        <w:fldChar w:fldCharType="separate"/>
      </w:r>
      <w:r w:rsidR="00DC4537" w:rsidRPr="00E533BD">
        <w:rPr>
          <w:rFonts w:ascii="Arial" w:cs="Arial"/>
          <w:color w:val="528E45" w:themeColor="accent4" w:themeShade="BF"/>
        </w:rPr>
        <w:t>(European Commission, 2021b)</w:t>
      </w:r>
      <w:r w:rsidRPr="00E533BD">
        <w:rPr>
          <w:color w:val="528E45" w:themeColor="accent4" w:themeShade="BF"/>
        </w:rPr>
        <w:fldChar w:fldCharType="end"/>
      </w:r>
      <w:r w:rsidRPr="00E533BD">
        <w:rPr>
          <w:color w:val="528E45" w:themeColor="accent4" w:themeShade="BF"/>
        </w:rPr>
        <w:t xml:space="preserve">. In addition, the digital agenda for the Western Balkans has been a cornerstone for a gradual digital revolution with better broadband connectivity, increased cybersecurity and industry digitalisation, a stronger digital economy and society as well as research and innovation </w:t>
      </w:r>
      <w:r w:rsidRPr="00E533BD">
        <w:rPr>
          <w:color w:val="528E45" w:themeColor="accent4" w:themeShade="BF"/>
        </w:rPr>
        <w:fldChar w:fldCharType="begin"/>
      </w:r>
      <w:r w:rsidR="00DC4537" w:rsidRPr="00E533BD">
        <w:rPr>
          <w:color w:val="528E45" w:themeColor="accent4" w:themeShade="BF"/>
        </w:rPr>
        <w:instrText xml:space="preserve"> ADDIN ZOTERO_ITEM CSL_CITATION {"citationID":"a1grd0cee2p","properties":{"formattedCitation":"(European Commission, 2018a)","plainCitation":"(European Commission, 2018a)","noteIndex":0},"citationItems":[{"id":8455,"uris":["http://zotero.org/groups/4075961/items/TY4DU2YQ"],"itemData":{"id":8455,"type":"document","title":"European Commission launches Digital Agenda for the Western Balkans. Press Release","author":[{"family":"European Commission","given":""}],"issued":{"date-parts":[["2018",6,25]]}}}],"schema":"https://github.com/citation-style-language/schema/raw/master/csl-citation.json"} </w:instrText>
      </w:r>
      <w:r w:rsidRPr="00E533BD">
        <w:rPr>
          <w:color w:val="528E45" w:themeColor="accent4" w:themeShade="BF"/>
        </w:rPr>
        <w:fldChar w:fldCharType="separate"/>
      </w:r>
      <w:r w:rsidR="00DC4537" w:rsidRPr="00E533BD">
        <w:rPr>
          <w:rFonts w:ascii="Arial" w:cs="Arial"/>
          <w:color w:val="528E45" w:themeColor="accent4" w:themeShade="BF"/>
        </w:rPr>
        <w:t>(European Commission, 2018a)</w:t>
      </w:r>
      <w:r w:rsidRPr="00E533BD">
        <w:rPr>
          <w:color w:val="528E45" w:themeColor="accent4" w:themeShade="BF"/>
        </w:rPr>
        <w:fldChar w:fldCharType="end"/>
      </w:r>
      <w:r w:rsidRPr="00E533BD">
        <w:rPr>
          <w:color w:val="528E45" w:themeColor="accent4" w:themeShade="BF"/>
        </w:rPr>
        <w:t>. These developments have fostered new opportunities in the region, not only in connectivity and business, but especially in developing an open and democratic society, green solutions and personal interactions, which were necessary for the wellbeing of Danube Region citizens.</w:t>
      </w:r>
    </w:p>
    <w:p w14:paraId="47E689CB" w14:textId="224289FF" w:rsidR="00532805" w:rsidRPr="00702488" w:rsidRDefault="00210242" w:rsidP="008F7840">
      <w:pPr>
        <w:rPr>
          <w:i/>
          <w:iCs/>
        </w:rPr>
      </w:pPr>
      <w:r w:rsidRPr="00086CBD">
        <w:rPr>
          <w:i/>
          <w:iCs/>
        </w:rPr>
        <w:t xml:space="preserve">The transition towards a better quality of life by investing more in environmental and social enablers has affected people’s lives to </w:t>
      </w:r>
      <w:r>
        <w:rPr>
          <w:i/>
          <w:iCs/>
        </w:rPr>
        <w:t xml:space="preserve">a </w:t>
      </w:r>
      <w:r w:rsidRPr="00086CBD">
        <w:rPr>
          <w:i/>
          <w:iCs/>
        </w:rPr>
        <w:t>great exten</w:t>
      </w:r>
      <w:r>
        <w:rPr>
          <w:i/>
          <w:iCs/>
        </w:rPr>
        <w:t>t</w:t>
      </w:r>
      <w:r w:rsidRPr="00086CBD">
        <w:rPr>
          <w:i/>
          <w:iCs/>
        </w:rPr>
        <w:t xml:space="preserve">. It has influenced the way people work, the economy, technological infrastructure, transport and health. At the same time, with support from the EU’s strong regulatory presence and new global role, it </w:t>
      </w:r>
      <w:r>
        <w:rPr>
          <w:i/>
          <w:iCs/>
        </w:rPr>
        <w:t>enabled</w:t>
      </w:r>
      <w:r w:rsidRPr="00086CBD">
        <w:rPr>
          <w:i/>
          <w:iCs/>
        </w:rPr>
        <w:t xml:space="preserve"> more solidarity and integration across the territories and their people which played a role in the</w:t>
      </w:r>
      <w:r>
        <w:rPr>
          <w:i/>
          <w:iCs/>
        </w:rPr>
        <w:t>ir</w:t>
      </w:r>
      <w:r w:rsidRPr="00086CBD">
        <w:rPr>
          <w:i/>
          <w:iCs/>
        </w:rPr>
        <w:t xml:space="preserve"> prosperity and wellbeing.</w:t>
      </w:r>
    </w:p>
    <w:p w14:paraId="727506B2" w14:textId="43B1919B" w:rsidR="001C2BB9" w:rsidRPr="00086CBD" w:rsidRDefault="001C2BB9" w:rsidP="001C2BB9">
      <w:r w:rsidRPr="00086CBD">
        <w:rPr>
          <w:b/>
          <w:bCs/>
        </w:rPr>
        <w:t>Green is the colour of wellbeing</w:t>
      </w:r>
      <w:r w:rsidRPr="00086CBD">
        <w:t xml:space="preserve">. By 2050 the Danube Region has invested </w:t>
      </w:r>
      <w:r>
        <w:t>in</w:t>
      </w:r>
      <w:r w:rsidRPr="00086CBD">
        <w:t xml:space="preserve"> improving ecological enablers </w:t>
      </w:r>
      <w:r>
        <w:t>in</w:t>
      </w:r>
      <w:r w:rsidRPr="00086CBD">
        <w:t xml:space="preserve"> its territories. As good environmental conditions are closely connected to better health, not only being closer to nature, but also living in healthy environments are recognised as key prerequisites for a better quality of life </w:t>
      </w:r>
      <w:r w:rsidRPr="00086CBD">
        <w:fldChar w:fldCharType="begin"/>
      </w:r>
      <w:r w:rsidR="00DC4537">
        <w:instrText xml:space="preserve"> ADDIN ZOTERO_ITEM CSL_CITATION {"citationID":"a1mg87n09vm","properties":{"formattedCitation":"(ESPON, 2020a)","plainCitation":"(ESPON, 2020a)","noteIndex":0},"citationItems":[{"id":100,"uris":["http://zotero.org/groups/21774/items/IF5E5V83"],"itemData":{"id":100,"type":"report","event-place":"Luxembourg","publisher":"ESPON EGTC","publisher-place":"Luxembourg","title":"ESPON QoL - Quality of Life Measurements and Methodology. Final Report.","author":[{"family":"ESPON","given":""}],"issued":{"date-parts":[["2020"]]}}}],"schema":"https://github.com/citation-style-language/schema/raw/master/csl-citation.json"} </w:instrText>
      </w:r>
      <w:r w:rsidRPr="00086CBD">
        <w:fldChar w:fldCharType="separate"/>
      </w:r>
      <w:r w:rsidR="00DC4537" w:rsidRPr="00DC4537">
        <w:rPr>
          <w:rFonts w:ascii="Arial" w:cs="Arial"/>
        </w:rPr>
        <w:t>(ESPON, 2020a)</w:t>
      </w:r>
      <w:r w:rsidRPr="00086CBD">
        <w:fldChar w:fldCharType="end"/>
      </w:r>
      <w:r w:rsidRPr="00086CBD">
        <w:t xml:space="preserve">. Possible enablers are green infrastructure and protected areas </w:t>
      </w:r>
      <w:r>
        <w:t xml:space="preserve">that are </w:t>
      </w:r>
      <w:r w:rsidRPr="00086CBD">
        <w:t>availab</w:t>
      </w:r>
      <w:r>
        <w:t>le</w:t>
      </w:r>
      <w:r w:rsidRPr="00086CBD">
        <w:t xml:space="preserve"> and maint</w:t>
      </w:r>
      <w:r>
        <w:t>ained</w:t>
      </w:r>
      <w:r w:rsidRPr="00086CBD">
        <w:t>, i.e. access to green places rich in biodiversity and nature increase opportunities for relaxation, health, sport and leisure. At the same time, good air and water quality, little soil contamination, reduced CO2 emissions</w:t>
      </w:r>
      <w:r>
        <w:t xml:space="preserve"> and</w:t>
      </w:r>
      <w:r w:rsidRPr="00086CBD">
        <w:t xml:space="preserve"> decarbonisation of the economy, all contribute to reducing climate change risks and make territories more resilient and more sustainable </w:t>
      </w:r>
      <w:r w:rsidRPr="00086CBD">
        <w:fldChar w:fldCharType="begin"/>
      </w:r>
      <w:r w:rsidR="00DC4537">
        <w:instrText xml:space="preserve"> ADDIN ZOTERO_ITEM CSL_CITATION {"citationID":"buDSt032","properties":{"formattedCitation":"(ESPON, 2020a)","plainCitation":"(ESPON, 2020a)","noteIndex":0},"citationItems":[{"id":100,"uris":["http://zotero.org/groups/21774/items/IF5E5V83"],"itemData":{"id":100,"type":"report","event-place":"Luxembourg","publisher":"ESPON EGTC","publisher-place":"Luxembourg","title":"ESPON QoL - Quality of Life Measurements and Methodology. Final Report.","author":[{"family":"ESPON","given":""}],"issued":{"date-parts":[["2020"]]}}}],"schema":"https://github.com/citation-style-language/schema/raw/master/csl-citation.json"} </w:instrText>
      </w:r>
      <w:r w:rsidRPr="00086CBD">
        <w:fldChar w:fldCharType="separate"/>
      </w:r>
      <w:r w:rsidR="00DC4537" w:rsidRPr="00DC4537">
        <w:rPr>
          <w:rFonts w:ascii="Arial" w:cs="Arial"/>
        </w:rPr>
        <w:t>(ESPON, 2020a)</w:t>
      </w:r>
      <w:r w:rsidRPr="00086CBD">
        <w:fldChar w:fldCharType="end"/>
      </w:r>
      <w:r w:rsidRPr="00086CBD">
        <w:t xml:space="preserve">. </w:t>
      </w:r>
    </w:p>
    <w:p w14:paraId="5648C6E9" w14:textId="005B04B9" w:rsidR="002A3A18" w:rsidRPr="00702488" w:rsidRDefault="001C2BB9" w:rsidP="006006AC">
      <w:pPr>
        <w:rPr>
          <w:i/>
          <w:iCs/>
        </w:rPr>
      </w:pPr>
      <w:r w:rsidRPr="00086CBD">
        <w:rPr>
          <w:i/>
          <w:iCs/>
        </w:rPr>
        <w:t>Places with ecological enablers, such as green infrastructure and protected areas, are where green wellbeing can flourish. This is, for instance to be seen in the regions of Voraldberg and East Austria, in Central Slovakia, most parts of the C</w:t>
      </w:r>
      <w:r>
        <w:rPr>
          <w:i/>
          <w:iCs/>
        </w:rPr>
        <w:t>z</w:t>
      </w:r>
      <w:r w:rsidRPr="00086CBD">
        <w:rPr>
          <w:i/>
          <w:iCs/>
        </w:rPr>
        <w:t>ech</w:t>
      </w:r>
      <w:r>
        <w:rPr>
          <w:i/>
          <w:iCs/>
        </w:rPr>
        <w:t>ia</w:t>
      </w:r>
      <w:r w:rsidRPr="00086CBD">
        <w:rPr>
          <w:i/>
          <w:iCs/>
        </w:rPr>
        <w:t xml:space="preserve"> and Slovenia, as well as the regions of Caras-Severin, Hunedoara and Maramures in Romania. </w:t>
      </w:r>
      <w:r w:rsidRPr="00086CBD">
        <w:fldChar w:fldCharType="begin"/>
      </w:r>
      <w:r w:rsidR="00DC4537">
        <w:instrText xml:space="preserve"> ADDIN ZOTERO_ITEM CSL_CITATION {"citationID":"cMi2lQro","properties":{"formattedCitation":"(ESPON, 2020a)","plainCitation":"(ESPON, 2020a)","noteIndex":0},"citationItems":[{"id":100,"uris":["http://zotero.org/groups/21774/items/IF5E5V83"],"itemData":{"id":100,"type":"report","event-place":"Luxembourg","publisher":"ESPON EGTC","publisher-place":"Luxembourg","title":"ESPON QoL - Quality of Life Measurements and Methodology. Final Report.","author":[{"family":"ESPON","given":""}],"issued":{"date-parts":[["2020"]]}}}],"schema":"https://github.com/citation-style-language/schema/raw/master/csl-citation.json"} </w:instrText>
      </w:r>
      <w:r w:rsidRPr="00086CBD">
        <w:fldChar w:fldCharType="separate"/>
      </w:r>
      <w:r w:rsidR="00DC4537" w:rsidRPr="00DC4537">
        <w:rPr>
          <w:rFonts w:ascii="Arial" w:cs="Arial"/>
        </w:rPr>
        <w:t>(ESPON, 2020a)</w:t>
      </w:r>
      <w:r w:rsidRPr="00086CBD">
        <w:fldChar w:fldCharType="end"/>
      </w:r>
      <w:r w:rsidRPr="00086CBD">
        <w:t xml:space="preserve">. </w:t>
      </w:r>
      <w:r w:rsidRPr="00086CBD">
        <w:rPr>
          <w:i/>
          <w:iCs/>
        </w:rPr>
        <w:t>Furthermore, places with protected areas or large natural parks, such as the Danube Delta biosphere reserve</w:t>
      </w:r>
      <w:r>
        <w:rPr>
          <w:i/>
          <w:iCs/>
        </w:rPr>
        <w:t>,</w:t>
      </w:r>
      <w:r w:rsidRPr="00086CBD">
        <w:rPr>
          <w:i/>
          <w:iCs/>
        </w:rPr>
        <w:t xml:space="preserve"> Iron Gates natural park in Romania, Lower Prut nature reserve in Moldova, Duna-Ipoly national par</w:t>
      </w:r>
      <w:r>
        <w:rPr>
          <w:i/>
          <w:iCs/>
        </w:rPr>
        <w:t>k</w:t>
      </w:r>
      <w:r w:rsidRPr="00086CBD">
        <w:rPr>
          <w:i/>
          <w:iCs/>
        </w:rPr>
        <w:t xml:space="preserve"> and the Duna-Drava national parks in Hungary, the Zahorie protected landscape area in Slovania, Gornje Podunavlje nature reserve in Serbia, Donau-Auen national park and the Wachau protected landscape area, as well as the narrow valley of the Danube in the Passau district and Donauwald Neuburg Ingolstand in Germany </w:t>
      </w:r>
      <w:r w:rsidRPr="00086CBD">
        <w:rPr>
          <w:i/>
          <w:iCs/>
        </w:rPr>
        <w:fldChar w:fldCharType="begin"/>
      </w:r>
      <w:r w:rsidR="00DC4537">
        <w:rPr>
          <w:i/>
          <w:iCs/>
        </w:rPr>
        <w:instrText xml:space="preserve"> ADDIN ZOTERO_ITEM CSL_CITATION {"citationID":"a1ij5ht84v9","properties":{"formattedCitation":"(DanubeParks, 2020)","plainCitation":"(DanubeParks, 2020)","noteIndex":0},"citationItems":[{"id":8459,"uris":["http://zotero.org/groups/4075961/items/M7E4DGGL"],"itemData":{"id":8459,"type":"webpage","container-title":"DanubeParks","title":"Danube Parks Members","URL":"https://danubeparks.org/#members","author":[{"family":"DanubeParks","given":""}],"issued":{"date-parts":[["2020"]]}}}],"schema":"https://github.com/citation-style-language/schema/raw/master/csl-citation.json"} </w:instrText>
      </w:r>
      <w:r w:rsidRPr="00086CBD">
        <w:rPr>
          <w:i/>
          <w:iCs/>
        </w:rPr>
        <w:fldChar w:fldCharType="separate"/>
      </w:r>
      <w:r w:rsidR="00DC4537" w:rsidRPr="00DC4537">
        <w:rPr>
          <w:rFonts w:ascii="Arial" w:cs="Arial"/>
        </w:rPr>
        <w:t>(DanubeParks, 2020)</w:t>
      </w:r>
      <w:r w:rsidRPr="00086CBD">
        <w:rPr>
          <w:i/>
          <w:iCs/>
        </w:rPr>
        <w:fldChar w:fldCharType="end"/>
      </w:r>
      <w:r w:rsidRPr="00086CBD">
        <w:rPr>
          <w:i/>
          <w:iCs/>
        </w:rPr>
        <w:t>, a</w:t>
      </w:r>
      <w:r>
        <w:rPr>
          <w:i/>
          <w:iCs/>
        </w:rPr>
        <w:t>re</w:t>
      </w:r>
      <w:r w:rsidRPr="00086CBD">
        <w:rPr>
          <w:i/>
          <w:iCs/>
        </w:rPr>
        <w:t xml:space="preserve"> some examples of places that by 2050 thrive in ecological wellbeing. </w:t>
      </w:r>
      <w:r w:rsidR="00EE7F68" w:rsidRPr="005327C5">
        <w:rPr>
          <w:i/>
          <w:iCs/>
        </w:rPr>
        <w:t>(Map 5-1)</w:t>
      </w:r>
    </w:p>
    <w:p w14:paraId="4C0ECB10" w14:textId="7E989066" w:rsidR="00C975CF" w:rsidRPr="00086CBD" w:rsidRDefault="00C975CF" w:rsidP="00C975CF">
      <w:r w:rsidRPr="00086CBD">
        <w:rPr>
          <w:b/>
          <w:bCs/>
        </w:rPr>
        <w:t>Achieving the Green Deal 2.0</w:t>
      </w:r>
      <w:r w:rsidRPr="00086CBD">
        <w:t>. Climate change has been the greatest long</w:t>
      </w:r>
      <w:r>
        <w:t>-</w:t>
      </w:r>
      <w:r w:rsidRPr="00086CBD">
        <w:t xml:space="preserve">term challenge of </w:t>
      </w:r>
      <w:r>
        <w:t>recent</w:t>
      </w:r>
      <w:r w:rsidRPr="00086CBD">
        <w:t xml:space="preserve"> decades. Nevertheless, </w:t>
      </w:r>
      <w:r>
        <w:t>a</w:t>
      </w:r>
      <w:r w:rsidRPr="00086CBD">
        <w:t xml:space="preserve"> good environment and connection to nature would </w:t>
      </w:r>
      <w:r>
        <w:t xml:space="preserve">not </w:t>
      </w:r>
      <w:r w:rsidRPr="00086CBD">
        <w:t>have been possible</w:t>
      </w:r>
      <w:r>
        <w:t xml:space="preserve"> without </w:t>
      </w:r>
      <w:r w:rsidRPr="00086CBD">
        <w:t xml:space="preserve">the EU Green Deal 2.0. </w:t>
      </w:r>
      <w:r>
        <w:t>I</w:t>
      </w:r>
      <w:r w:rsidRPr="00086CBD">
        <w:t>mplementing the Green Deal has transformed the Danube Region</w:t>
      </w:r>
      <w:r>
        <w:t>, t</w:t>
      </w:r>
      <w:r w:rsidRPr="00086CBD">
        <w:t xml:space="preserve">aking </w:t>
      </w:r>
      <w:r>
        <w:t>it to the</w:t>
      </w:r>
      <w:r w:rsidRPr="00086CBD">
        <w:t xml:space="preserve"> next level, where a net-zero society has been </w:t>
      </w:r>
      <w:r>
        <w:t xml:space="preserve">largely </w:t>
      </w:r>
      <w:r w:rsidRPr="00086CBD">
        <w:t>achieved across Europe</w:t>
      </w:r>
      <w:r>
        <w:t>.</w:t>
      </w:r>
      <w:r w:rsidRPr="00086CBD">
        <w:t xml:space="preserve"> CO2 emissions </w:t>
      </w:r>
      <w:r>
        <w:t>have been</w:t>
      </w:r>
      <w:r w:rsidRPr="00086CBD">
        <w:t xml:space="preserve"> reduced and most of the Green Deal goals achieved </w:t>
      </w:r>
      <w:r>
        <w:t>which have</w:t>
      </w:r>
      <w:r w:rsidRPr="00086CBD">
        <w:t xml:space="preserve"> improved </w:t>
      </w:r>
      <w:r>
        <w:t xml:space="preserve">the </w:t>
      </w:r>
      <w:r w:rsidRPr="00086CBD">
        <w:t>quality of life for citizens over the years</w:t>
      </w:r>
      <w:r>
        <w:t xml:space="preserve"> as have</w:t>
      </w:r>
      <w:r w:rsidRPr="00086CBD">
        <w:t xml:space="preserve"> actions for fresh air, clean water, healthy soil, biodiversity, healthy and affordable food. </w:t>
      </w:r>
      <w:r>
        <w:t>With b</w:t>
      </w:r>
      <w:r w:rsidRPr="00086CBD">
        <w:t xml:space="preserve">etter public transport, renovated and energy efficient buildings, cleaner energy, long lasting products and circular economy approaches </w:t>
      </w:r>
      <w:r w:rsidRPr="00086CBD">
        <w:fldChar w:fldCharType="begin"/>
      </w:r>
      <w:r w:rsidR="00DC4537">
        <w:instrText xml:space="preserve"> ADDIN ZOTERO_ITEM CSL_CITATION {"citationID":"a2ohs8qlc1l","properties":{"formattedCitation":"(European Commission, 2019b)","plainCitation":"(European Commission, 2019b)","noteIndex":0},"citationItems":[{"id":2866,"uris":["http://zotero.org/groups/21774/items/JUL2P9KP"],"itemData":{"id":2866,"type":"report","abstract":"Striving to be the first climate-neutral continent","event-place":"Brussels","genre":"Text","language":"en","note":"Times cited: 1","number":"COM(2019) 640 final","publisher-place":"Brussels","title":"Communication from The Commission to The European Parliament, The European Council, The Council, The European Economic And Social Committee and The Committee Of The Regions.  The European Green Deal","title-short":"The European Green Deal.","URL":"https://ec.europa.eu/info/strategy/priorities-2019-2024/european-green-deal_en","author":[{"family":"European Commission","given":""}],"accessed":{"date-parts":[["2019",12,19]]},"issued":{"date-parts":[["2019",11,12]]}}}],"schema":"https://github.com/citation-style-language/schema/raw/master/csl-citation.json"} </w:instrText>
      </w:r>
      <w:r w:rsidRPr="00086CBD">
        <w:fldChar w:fldCharType="separate"/>
      </w:r>
      <w:r w:rsidR="00DC4537" w:rsidRPr="00DC4537">
        <w:rPr>
          <w:rFonts w:ascii="Arial" w:cs="Arial"/>
        </w:rPr>
        <w:t>(European Commission, 2019b)</w:t>
      </w:r>
      <w:r w:rsidRPr="00086CBD">
        <w:fldChar w:fldCharType="end"/>
      </w:r>
      <w:r w:rsidRPr="00086CBD">
        <w:t xml:space="preserve"> the Green Deal has been an overarching umbrella for the Danube Region </w:t>
      </w:r>
      <w:r>
        <w:t>to</w:t>
      </w:r>
      <w:r w:rsidRPr="00086CBD">
        <w:t xml:space="preserve"> achiev</w:t>
      </w:r>
      <w:r>
        <w:t>e</w:t>
      </w:r>
      <w:r w:rsidRPr="00086CBD">
        <w:t xml:space="preserve"> a better ecological status and gradually becom</w:t>
      </w:r>
      <w:r>
        <w:t>e</w:t>
      </w:r>
      <w:r w:rsidRPr="00086CBD">
        <w:t xml:space="preserve"> a net-zero society. This has not only affected EU member states, but also those who were non-EU members</w:t>
      </w:r>
      <w:r w:rsidRPr="004B3D88">
        <w:t xml:space="preserve"> </w:t>
      </w:r>
      <w:r>
        <w:t>at</w:t>
      </w:r>
      <w:r w:rsidRPr="00086CBD">
        <w:t xml:space="preserve"> the beginning of the policy, such as the Balkan states. More specifically, dedicated polic</w:t>
      </w:r>
      <w:r>
        <w:t>ies</w:t>
      </w:r>
      <w:r w:rsidRPr="00086CBD">
        <w:t xml:space="preserve"> for them supported their green transition </w:t>
      </w:r>
      <w:r>
        <w:t>with</w:t>
      </w:r>
      <w:r w:rsidRPr="00086CBD">
        <w:t xml:space="preserve"> measures on decarbonisation focusing on energy, mobility, climate, </w:t>
      </w:r>
      <w:r>
        <w:t>the</w:t>
      </w:r>
      <w:r w:rsidRPr="00086CBD">
        <w:t xml:space="preserve"> circular economy, depollution, sustainable food systems and biodiversity protection. The efforts have largely paid off with many places showing an improvement by 2050 </w:t>
      </w:r>
      <w:r w:rsidRPr="00086CBD">
        <w:fldChar w:fldCharType="begin"/>
      </w:r>
      <w:r w:rsidR="00DC4537">
        <w:instrText xml:space="preserve"> ADDIN ZOTERO_ITEM CSL_CITATION {"citationID":"a21c20m1hub","properties":{"formattedCitation":"(European Commission, 2020e)","plainCitation":"(European Commission, 2020e)","noteIndex":0},"citationItems":[{"id":8460,"uris":["http://zotero.org/groups/4075961/items/CYG3ULWQ"],"itemData":{"id":8460,"type":"report","title":"Commission Staff Working Document. Guidelines for the Implementation of the Green Agenda for the Western Balkans. Accompanying the Communication from the Commission to the European Parliament, the Council, the European Economic and Social Committee and the Committee of the Regions, An Economic and Investment Plan for the Western balkans. (COM 2020 641 final)","author":[{"family":"European Commission","given":""}],"issued":{"date-parts":[["2020",10,6]]}}}],"schema":"https://github.com/citation-style-language/schema/raw/master/csl-citation.json"} </w:instrText>
      </w:r>
      <w:r w:rsidRPr="00086CBD">
        <w:fldChar w:fldCharType="separate"/>
      </w:r>
      <w:r w:rsidR="00DC4537" w:rsidRPr="00DC4537">
        <w:rPr>
          <w:rFonts w:ascii="Arial" w:cs="Arial"/>
        </w:rPr>
        <w:t>(European Commission, 2020e)</w:t>
      </w:r>
      <w:r w:rsidRPr="00086CBD">
        <w:fldChar w:fldCharType="end"/>
      </w:r>
      <w:r w:rsidRPr="00086CBD">
        <w:t xml:space="preserve">. </w:t>
      </w:r>
    </w:p>
    <w:p w14:paraId="2B1F8EB0" w14:textId="0E85214E" w:rsidR="009C6DF1" w:rsidRPr="00702488" w:rsidRDefault="00C975CF" w:rsidP="00C975CF">
      <w:pPr>
        <w:rPr>
          <w:i/>
          <w:iCs/>
        </w:rPr>
      </w:pPr>
      <w:r w:rsidRPr="00086CBD">
        <w:rPr>
          <w:i/>
          <w:iCs/>
        </w:rPr>
        <w:t>An improvement in CO</w:t>
      </w:r>
      <w:r w:rsidRPr="00086CBD">
        <w:rPr>
          <w:i/>
          <w:iCs/>
          <w:vertAlign w:val="subscript"/>
        </w:rPr>
        <w:t>2</w:t>
      </w:r>
      <w:r w:rsidRPr="00086CBD">
        <w:rPr>
          <w:i/>
          <w:iCs/>
        </w:rPr>
        <w:t xml:space="preserve"> emissions per capita has result</w:t>
      </w:r>
      <w:r>
        <w:rPr>
          <w:i/>
          <w:iCs/>
        </w:rPr>
        <w:t>ed from</w:t>
      </w:r>
      <w:r w:rsidRPr="00086CBD">
        <w:rPr>
          <w:i/>
          <w:iCs/>
        </w:rPr>
        <w:t xml:space="preserve"> the climate neutrality policy. This is particularly to be seen in eastern regions of Romania, the city of Vienna and East Austria region, the eastern part of Bulgaria</w:t>
      </w:r>
      <w:r>
        <w:rPr>
          <w:i/>
          <w:iCs/>
        </w:rPr>
        <w:t xml:space="preserve"> and</w:t>
      </w:r>
      <w:r w:rsidRPr="00086CBD">
        <w:rPr>
          <w:i/>
          <w:iCs/>
        </w:rPr>
        <w:t xml:space="preserve"> north west Czech</w:t>
      </w:r>
      <w:r>
        <w:rPr>
          <w:i/>
          <w:iCs/>
        </w:rPr>
        <w:t>ia</w:t>
      </w:r>
      <w:r w:rsidRPr="00086CBD">
        <w:rPr>
          <w:i/>
          <w:iCs/>
        </w:rPr>
        <w:t xml:space="preserve"> </w:t>
      </w:r>
      <w:r w:rsidRPr="00086CBD">
        <w:rPr>
          <w:i/>
          <w:iCs/>
        </w:rPr>
        <w:fldChar w:fldCharType="begin"/>
      </w:r>
      <w:r w:rsidR="00DC4537">
        <w:rPr>
          <w:i/>
          <w:iCs/>
        </w:rPr>
        <w:instrText xml:space="preserve"> ADDIN ZOTERO_ITEM CSL_CITATION {"citationID":"a16qipr1kv5","properties":{"formattedCitation":"(European Committee of the Regions, 2019)","plainCitation":"(European Committee of the Regions, 2019)","noteIndex":0},"citationItems":[{"id":8461,"uris":["http://zotero.org/groups/4075961/items/MWBZ5Y2W"],"itemData":{"id":8461,"type":"report","event-place":"Brussels","publisher-place":"Brussels","title":"Territorial Impact Assessment. Climate Neutrality.","author":[{"family":"European Committee of the Regions","given":""}],"issued":{"date-parts":[["2019",4,5]]}}}],"schema":"https://github.com/citation-style-language/schema/raw/master/csl-citation.json"} </w:instrText>
      </w:r>
      <w:r w:rsidRPr="00086CBD">
        <w:rPr>
          <w:i/>
          <w:iCs/>
        </w:rPr>
        <w:fldChar w:fldCharType="separate"/>
      </w:r>
      <w:r w:rsidR="00DC4537" w:rsidRPr="00DC4537">
        <w:rPr>
          <w:rFonts w:ascii="Arial" w:cs="Arial"/>
        </w:rPr>
        <w:t>(European Committee of the Regions, 2019)</w:t>
      </w:r>
      <w:r w:rsidRPr="00086CBD">
        <w:rPr>
          <w:i/>
          <w:iCs/>
        </w:rPr>
        <w:fldChar w:fldCharType="end"/>
      </w:r>
      <w:r w:rsidRPr="00086CBD">
        <w:rPr>
          <w:i/>
          <w:iCs/>
        </w:rPr>
        <w:t>. In addition, regions that were formerly ‘coal regions’, such as Trencin in Slovakia, Valea Jiului in Romania, Karlovarsky, Ustecky, Moravskoslezsky in Czech</w:t>
      </w:r>
      <w:r>
        <w:rPr>
          <w:i/>
          <w:iCs/>
        </w:rPr>
        <w:t>ia</w:t>
      </w:r>
      <w:r w:rsidRPr="00086CBD">
        <w:rPr>
          <w:i/>
          <w:iCs/>
        </w:rPr>
        <w:t xml:space="preserve">, as well as the Donets’k, Luhans’k, Lviv and Volyn regions in Ukraine have by 2050 been transformed. </w:t>
      </w:r>
      <w:r w:rsidRPr="00086CBD">
        <w:rPr>
          <w:i/>
          <w:iCs/>
        </w:rPr>
        <w:fldChar w:fldCharType="begin"/>
      </w:r>
      <w:r w:rsidR="00DC4537">
        <w:rPr>
          <w:i/>
          <w:iCs/>
        </w:rPr>
        <w:instrText xml:space="preserve"> ADDIN ZOTERO_ITEM CSL_CITATION {"citationID":"a2f7srcaoi","properties":{"formattedCitation":"(European Commission, n.d.-a, n.d.-b)","plainCitation":"(European Commission, n.d.-a, n.d.-b)","noteIndex":0},"citationItems":[{"id":8477,"uris":["http://zotero.org/groups/4075961/items/HYY73J9N"],"itemData":{"id":8477,"type":"speech","title":"Coal Region in Transition Initiative. 9th EMA network meeting European Network of Energy authorities and Managing Authorities of the cohesion policy 2014-2020","author":[{"family":"European Commission","given":""}]}},{"id":8478,"uris":["http://zotero.org/groups/4075961/items/P6QCRP8S"],"itemData":{"id":8478,"type":"webpage","container-title":"European Commission. Energy","title":"Initiative for coal regions in transition in the Western Balkans and Ukraine","URL":"https://energy.ec.europa.eu/topics/oil-gas-and-coal/coal-regions-western-balkans-and-ukraine/initiative-coal-regions-transition-western-balkans-and-ukraine_en","author":[{"family":"European Commission","given":""}],"accessed":{"date-parts":[["2022",3,16]]}}}],"schema":"https://github.com/citation-style-language/schema/raw/master/csl-citation.json"} </w:instrText>
      </w:r>
      <w:r w:rsidRPr="00086CBD">
        <w:rPr>
          <w:i/>
          <w:iCs/>
        </w:rPr>
        <w:fldChar w:fldCharType="separate"/>
      </w:r>
      <w:r w:rsidR="00DC4537" w:rsidRPr="00DC4537">
        <w:rPr>
          <w:rFonts w:ascii="Arial" w:cs="Arial"/>
        </w:rPr>
        <w:t>(European Commission, n.d.-a, n.d.-b)</w:t>
      </w:r>
      <w:r w:rsidRPr="00086CBD">
        <w:rPr>
          <w:i/>
          <w:iCs/>
        </w:rPr>
        <w:fldChar w:fldCharType="end"/>
      </w:r>
    </w:p>
    <w:p w14:paraId="040E7778" w14:textId="4CE3CC45" w:rsidR="004B579B" w:rsidRPr="00086CBD" w:rsidRDefault="004B579B" w:rsidP="004B579B">
      <w:r w:rsidRPr="00086CBD">
        <w:rPr>
          <w:b/>
          <w:bCs/>
        </w:rPr>
        <w:t>Prosperity as a matter of trust</w:t>
      </w:r>
      <w:r w:rsidRPr="00086CBD">
        <w:t xml:space="preserve">. The years before the 2020s were marked by discourse around ‘places that don’t matter’ and the ‘geography of discontent’, which </w:t>
      </w:r>
      <w:r>
        <w:t>referred to</w:t>
      </w:r>
      <w:r w:rsidRPr="00086CBD">
        <w:t xml:space="preserve"> regions with persistent poverty, economic decay, lack of opportunities and declin</w:t>
      </w:r>
      <w:r>
        <w:t>e</w:t>
      </w:r>
      <w:r w:rsidRPr="00086CBD">
        <w:t xml:space="preserve"> </w:t>
      </w:r>
      <w:r w:rsidRPr="00086CBD">
        <w:fldChar w:fldCharType="begin"/>
      </w:r>
      <w:r w:rsidR="00DC4537">
        <w:instrText xml:space="preserve"> ADDIN ZOTERO_ITEM CSL_CITATION {"citationID":"a13qjps8v5n","properties":{"formattedCitation":"(Dijkstra, Poelman, &amp; Rodr\\uc0\\u237{}guez-Pose, 2018; Rodr\\uc0\\u237{}guez-Pose, 2020)","plainCitation":"(Dijkstra, Poelman, &amp; Rodríguez-Pose, 2018; Rodríguez-Pose, 2020)","noteIndex":0},"citationItems":[{"id":3068,"uris":["http://zotero.org/groups/21774/items/UEBB5BPD"],"itemData":{"id":3068,"type":"report","collection-title":"Working Papers","event-place":"Luxembourg","number":"12/2018","publisher":"Publications Office of the European Union","publisher-place":"Luxembourg","title":"The Geography of EU Discontent","URL":"https://ec.europa.eu/regional_policy/sources/docgener/work/2018_02_geog_discontent.pdf","author":[{"family":"Dijkstra","given":"Lewis"},{"family":"Poelman","given":"Hugo"},{"family":"Rodríguez-Pose","given":"Andrés"}],"accessed":{"date-parts":[["2019",6,3]]},"issued":{"date-parts":[["2018"]]}}},{"id":195,"uris":["http://zotero.org/groups/21774/items/JYQKS2JL"],"itemData":{"id":195,"type":"article-journal","container-title":"LSE Public Policy Review","DOI":"10.31389/lseppr.4","ISSN":"2633-4046","issue":"1","language":"en","page":"4","source":"DOI.org (Crossref)","title":"The Rise of Populism and the Revenge of the Places That Don’t Matter","volume":"1","author":[{"family":"Rodríguez-Pose","given":"Andrés"}],"issued":{"date-parts":[["2020",7,20]]}}}],"schema":"https://github.com/citation-style-language/schema/raw/master/csl-citation.json"} </w:instrText>
      </w:r>
      <w:r w:rsidRPr="00086CBD">
        <w:fldChar w:fldCharType="separate"/>
      </w:r>
      <w:r w:rsidR="00DC4537" w:rsidRPr="00DC4537">
        <w:rPr>
          <w:rFonts w:ascii="Arial" w:cs="Arial"/>
        </w:rPr>
        <w:t>(Dijkstra, Poelman, &amp; Rodríguez-Pose, 2018; Rodríguez-Pose, 2020)</w:t>
      </w:r>
      <w:r w:rsidRPr="00086CBD">
        <w:fldChar w:fldCharType="end"/>
      </w:r>
      <w:r w:rsidRPr="00086CBD">
        <w:t xml:space="preserve">. These brought an avalanche of developments </w:t>
      </w:r>
      <w:r>
        <w:t>especially a</w:t>
      </w:r>
      <w:r w:rsidRPr="00086CBD">
        <w:t xml:space="preserve"> rise in populism across Europe and </w:t>
      </w:r>
      <w:r>
        <w:t>a</w:t>
      </w:r>
      <w:r w:rsidRPr="00086CBD">
        <w:t xml:space="preserve"> fall </w:t>
      </w:r>
      <w:r>
        <w:t>in</w:t>
      </w:r>
      <w:r w:rsidRPr="00086CBD">
        <w:t xml:space="preserve"> trust </w:t>
      </w:r>
      <w:r>
        <w:t>of</w:t>
      </w:r>
      <w:r w:rsidRPr="00086CBD">
        <w:t xml:space="preserve"> governance, services and institutions. This phenomenon started to reverse following the COVID-19 pandemic. In fact, the quick and remarkable response of governments to the pandemic has </w:t>
      </w:r>
      <w:r>
        <w:t>been</w:t>
      </w:r>
      <w:r w:rsidRPr="00086CBD">
        <w:t xml:space="preserve"> a lesson for reinforcing democra</w:t>
      </w:r>
      <w:r>
        <w:t>cy</w:t>
      </w:r>
      <w:r w:rsidRPr="00086CBD">
        <w:t xml:space="preserve"> and hence increas</w:t>
      </w:r>
      <w:r>
        <w:t>ing</w:t>
      </w:r>
      <w:r w:rsidRPr="00086CBD">
        <w:t xml:space="preserve"> trust in governance, services and institutions </w:t>
      </w:r>
      <w:r w:rsidRPr="00086CBD">
        <w:fldChar w:fldCharType="begin"/>
      </w:r>
      <w:r w:rsidR="00DC4537">
        <w:instrText xml:space="preserve"> ADDIN ZOTERO_ITEM CSL_CITATION {"citationID":"au6rd3j8mu","properties":{"formattedCitation":"(OECD, 2021b)","plainCitation":"(OECD, 2021b)","noteIndex":0},"citationItems":[{"id":8456,"uris":["http://zotero.org/groups/4075961/items/NM278T5L"],"itemData":{"id":8456,"type":"report","collection-title":"OECD Publishing","event-place":"Paris","publisher-place":"Paris","title":"Government at a Glance 2021","author":[{"family":"OECD","given":""}],"issued":{"date-parts":[["2021"]]}}}],"schema":"https://github.com/citation-style-language/schema/raw/master/csl-citation.json"} </w:instrText>
      </w:r>
      <w:r w:rsidRPr="00086CBD">
        <w:fldChar w:fldCharType="separate"/>
      </w:r>
      <w:r w:rsidR="00DC4537" w:rsidRPr="00DC4537">
        <w:rPr>
          <w:rFonts w:ascii="Arial" w:cs="Arial"/>
        </w:rPr>
        <w:t>(OECD, 2021b)</w:t>
      </w:r>
      <w:r w:rsidRPr="00086CBD">
        <w:fldChar w:fldCharType="end"/>
      </w:r>
      <w:r w:rsidRPr="00086CBD">
        <w:t xml:space="preserve">. More than 50% of people trusted their government in 2020 </w:t>
      </w:r>
      <w:r w:rsidRPr="00086CBD">
        <w:fldChar w:fldCharType="begin"/>
      </w:r>
      <w:r w:rsidR="00DC4537">
        <w:instrText xml:space="preserve"> ADDIN ZOTERO_ITEM CSL_CITATION {"citationID":"4G9fGqi0","properties":{"formattedCitation":"(OECD, 2021b)","plainCitation":"(OECD, 2021b)","noteIndex":0},"citationItems":[{"id":8456,"uris":["http://zotero.org/groups/4075961/items/NM278T5L"],"itemData":{"id":8456,"type":"report","collection-title":"OECD Publishing","event-place":"Paris","publisher-place":"Paris","title":"Government at a Glance 2021","author":[{"family":"OECD","given":""}],"issued":{"date-parts":[["2021"]]}}}],"schema":"https://github.com/citation-style-language/schema/raw/master/csl-citation.json"} </w:instrText>
      </w:r>
      <w:r w:rsidRPr="00086CBD">
        <w:fldChar w:fldCharType="separate"/>
      </w:r>
      <w:r w:rsidR="00DC4537" w:rsidRPr="00DC4537">
        <w:rPr>
          <w:rFonts w:ascii="Arial" w:cs="Arial"/>
        </w:rPr>
        <w:t>(OECD, 2021b)</w:t>
      </w:r>
      <w:r w:rsidRPr="00086CBD">
        <w:fldChar w:fldCharType="end"/>
      </w:r>
      <w:r w:rsidRPr="00086CBD">
        <w:t xml:space="preserve">, </w:t>
      </w:r>
      <w:r>
        <w:t>this</w:t>
      </w:r>
      <w:r w:rsidRPr="00086CBD">
        <w:t xml:space="preserve"> gradually increased by 2050 with stronger environmental </w:t>
      </w:r>
      <w:r>
        <w:t>and</w:t>
      </w:r>
      <w:r w:rsidRPr="00086CBD">
        <w:t xml:space="preserve"> social policies</w:t>
      </w:r>
      <w:r>
        <w:t>, as well as more</w:t>
      </w:r>
      <w:r w:rsidRPr="00086CBD">
        <w:t xml:space="preserve"> citizen participation in decision making, </w:t>
      </w:r>
      <w:r>
        <w:t>especially</w:t>
      </w:r>
      <w:r w:rsidRPr="00086CBD">
        <w:t xml:space="preserve"> where trust in government was low or challenged earlier. </w:t>
      </w:r>
      <w:r>
        <w:t>This</w:t>
      </w:r>
      <w:r w:rsidRPr="00086CBD">
        <w:t xml:space="preserve"> shift has improved the social wellbeing of citizens which is </w:t>
      </w:r>
      <w:r>
        <w:t>affected by</w:t>
      </w:r>
      <w:r w:rsidRPr="00086CBD">
        <w:t xml:space="preserve"> interpersonal and institutional trust. </w:t>
      </w:r>
    </w:p>
    <w:p w14:paraId="14E0F0EA" w14:textId="51F47EDB" w:rsidR="005D7769" w:rsidRPr="00702488" w:rsidRDefault="004B579B" w:rsidP="00284ACF">
      <w:pPr>
        <w:rPr>
          <w:i/>
          <w:iCs/>
        </w:rPr>
      </w:pPr>
      <w:r w:rsidRPr="00086CBD">
        <w:rPr>
          <w:i/>
          <w:iCs/>
        </w:rPr>
        <w:t xml:space="preserve">Regions where the quality of governance was low have shown substantial leaps in increasing trust and governance quality by 2050. These </w:t>
      </w:r>
      <w:r>
        <w:rPr>
          <w:i/>
          <w:iCs/>
        </w:rPr>
        <w:t>include</w:t>
      </w:r>
      <w:r w:rsidRPr="00086CBD">
        <w:rPr>
          <w:i/>
          <w:iCs/>
        </w:rPr>
        <w:t xml:space="preserve"> most regions </w:t>
      </w:r>
      <w:r>
        <w:rPr>
          <w:i/>
          <w:iCs/>
        </w:rPr>
        <w:t>in</w:t>
      </w:r>
      <w:r w:rsidRPr="00086CBD">
        <w:rPr>
          <w:i/>
          <w:iCs/>
        </w:rPr>
        <w:t xml:space="preserve"> Romania</w:t>
      </w:r>
      <w:r>
        <w:rPr>
          <w:i/>
          <w:iCs/>
        </w:rPr>
        <w:t>,</w:t>
      </w:r>
      <w:r w:rsidRPr="00086CBD">
        <w:rPr>
          <w:i/>
          <w:iCs/>
        </w:rPr>
        <w:t xml:space="preserve"> particularly the metropolitan region of Bucharest, coastal Bulgaria regions such as Severoiztochen and Yogoistochen, the regions of Eszak-Alfold and Eszak-Magyarorszag in Hungary, as well as most regions in Serbia. </w:t>
      </w:r>
      <w:r w:rsidRPr="00086CBD">
        <w:fldChar w:fldCharType="begin"/>
      </w:r>
      <w:r w:rsidR="00DC4537">
        <w:instrText xml:space="preserve"> ADDIN ZOTERO_ITEM CSL_CITATION {"citationID":"a5q7q9uqps","properties":{"formattedCitation":"\\uldash{(Sandberg, Klockars, &amp; Wil\\uc0\\u233{}n, 2019)}","plainCitation":"(Sandberg, Klockars, &amp; Wilén, 2019)","dontUpdate":true,"noteIndex":0},"citationItems":[{"id":3102,"uris":["http://zotero.org/groups/21774/items/IH6HQZ9S"],"itemData":{"id":3102,"type":"article-journal","container-title":"Journal of Cleaner Production","page":"133-141","title":"Green growth or degrowth? Assessing the normative justificaitons for environmental sustainability and economic growth through critical social theory","volume":"2006","author":[{"family":"Sandberg","given":"Maria"},{"family":"Klockars","given":"Kristian"},{"family":"Wilén","given":"Kristoffer"}],"issued":{"date-parts":[["2019"]]}}}],"schema":"https://github.com/citation-style-language/schema/raw/master/csl-citation.json"} </w:instrText>
      </w:r>
      <w:r w:rsidRPr="00086CBD">
        <w:fldChar w:fldCharType="separate"/>
      </w:r>
      <w:r w:rsidRPr="00421937">
        <w:rPr>
          <w:rFonts w:ascii="Arial" w:cs="Arial"/>
          <w:u w:val="dash"/>
        </w:rPr>
        <w:t>(Charron, Lapuente, &amp; Bauhr, 2021)</w:t>
      </w:r>
      <w:r w:rsidRPr="00086CBD">
        <w:fldChar w:fldCharType="end"/>
      </w:r>
    </w:p>
    <w:p w14:paraId="064AC79E" w14:textId="77777777" w:rsidR="00A75156" w:rsidRPr="00086CBD" w:rsidRDefault="00A75156" w:rsidP="00A75156">
      <w:r w:rsidRPr="00086CBD">
        <w:rPr>
          <w:b/>
          <w:bCs/>
        </w:rPr>
        <w:t xml:space="preserve">Economy: Is this the end of GDP? </w:t>
      </w:r>
      <w:r w:rsidRPr="00086CBD">
        <w:t>Wellbeing is not always linked to GDP indicators, as the latter often fail to show what brings people joy.</w:t>
      </w:r>
      <w:r w:rsidRPr="00086CBD">
        <w:rPr>
          <w:b/>
          <w:bCs/>
        </w:rPr>
        <w:t xml:space="preserve"> </w:t>
      </w:r>
      <w:r w:rsidRPr="001A1ECD">
        <w:rPr>
          <w:bCs/>
        </w:rPr>
        <w:t>There were d</w:t>
      </w:r>
      <w:r w:rsidRPr="00086CBD">
        <w:t xml:space="preserve">iscussions about going beyond GDP before the 2020’s. Nevertheless, the increased focus on ecological and social wellbeing in the Danube Region by 2050 has gradually restructured the economic measurement of GDP to encompass </w:t>
      </w:r>
      <w:r>
        <w:t>other</w:t>
      </w:r>
      <w:r w:rsidRPr="00086CBD">
        <w:t xml:space="preserve"> aspects of peoples’ wellbeing. Elements covering environmental and social dimensions have been necessary</w:t>
      </w:r>
      <w:r>
        <w:t xml:space="preserve"> p</w:t>
      </w:r>
      <w:r w:rsidRPr="00086CBD">
        <w:t>articularly redefining prosperity by embracing social fairness</w:t>
      </w:r>
      <w:r>
        <w:t>. This means</w:t>
      </w:r>
      <w:r w:rsidRPr="00086CBD">
        <w:t xml:space="preserve"> paying particular attention to leaving ‘no one behind’</w:t>
      </w:r>
      <w:r>
        <w:t>,</w:t>
      </w:r>
      <w:r w:rsidRPr="00086CBD">
        <w:t xml:space="preserve"> build</w:t>
      </w:r>
      <w:r>
        <w:t>ing</w:t>
      </w:r>
      <w:r w:rsidRPr="00086CBD">
        <w:t xml:space="preserve"> resilient societies, as well as decoupl</w:t>
      </w:r>
      <w:r>
        <w:t>ing</w:t>
      </w:r>
      <w:r w:rsidRPr="00086CBD">
        <w:t xml:space="preserve"> prosperity from natural resource use, support</w:t>
      </w:r>
      <w:r>
        <w:t>ing</w:t>
      </w:r>
      <w:r w:rsidRPr="00086CBD">
        <w:t xml:space="preserve"> a fair green transition and exploitation of natural resources. </w:t>
      </w:r>
      <w:r>
        <w:t>T</w:t>
      </w:r>
      <w:r w:rsidRPr="00086CBD">
        <w:t xml:space="preserve">alks about ‘beyond GDP’ </w:t>
      </w:r>
      <w:r>
        <w:t>were</w:t>
      </w:r>
      <w:r w:rsidRPr="00086CBD">
        <w:t xml:space="preserve"> often linked to ‘de-growth’</w:t>
      </w:r>
      <w:r>
        <w:t>. This meant</w:t>
      </w:r>
      <w:r w:rsidRPr="00086CBD">
        <w:t xml:space="preserve"> reducing production and consumption and understanding environmental issues as ethical issues </w:t>
      </w:r>
      <w:r>
        <w:t>involving</w:t>
      </w:r>
      <w:r w:rsidRPr="00086CBD">
        <w:t xml:space="preserve"> social transformation</w:t>
      </w:r>
      <w:r>
        <w:t>. I</w:t>
      </w:r>
      <w:r w:rsidRPr="00086CBD">
        <w:t xml:space="preserve">n the Danube region, efforts have been made towards more sustainability and social fairness for increased wellbeing by 2050. </w:t>
      </w:r>
    </w:p>
    <w:p w14:paraId="10306DA0" w14:textId="63577D66" w:rsidR="00A75156" w:rsidRDefault="00A75156" w:rsidP="00A75156">
      <w:pPr>
        <w:rPr>
          <w:i/>
          <w:iCs/>
        </w:rPr>
      </w:pPr>
      <w:r w:rsidRPr="00086CBD">
        <w:rPr>
          <w:i/>
          <w:iCs/>
        </w:rPr>
        <w:t>Regions which were characterised earlier as ‘left behind’</w:t>
      </w:r>
      <w:r>
        <w:rPr>
          <w:i/>
          <w:iCs/>
        </w:rPr>
        <w:t>,</w:t>
      </w:r>
      <w:r w:rsidRPr="00086CBD">
        <w:rPr>
          <w:i/>
          <w:iCs/>
        </w:rPr>
        <w:t xml:space="preserve"> opposing EU integration, such as regions in Hungary, south Austria, parts of central and west of Slovakia and most regions in Czech</w:t>
      </w:r>
      <w:r>
        <w:rPr>
          <w:i/>
          <w:iCs/>
        </w:rPr>
        <w:t>ia</w:t>
      </w:r>
      <w:r w:rsidRPr="00086CBD">
        <w:rPr>
          <w:i/>
          <w:iCs/>
        </w:rPr>
        <w:t>, have leap</w:t>
      </w:r>
      <w:r>
        <w:rPr>
          <w:i/>
          <w:iCs/>
        </w:rPr>
        <w:t>t</w:t>
      </w:r>
      <w:r w:rsidRPr="00086CBD">
        <w:rPr>
          <w:i/>
          <w:iCs/>
        </w:rPr>
        <w:t xml:space="preserve"> towards </w:t>
      </w:r>
      <w:r>
        <w:rPr>
          <w:i/>
          <w:iCs/>
        </w:rPr>
        <w:t xml:space="preserve">increased </w:t>
      </w:r>
      <w:r w:rsidRPr="00086CBD">
        <w:rPr>
          <w:i/>
          <w:iCs/>
        </w:rPr>
        <w:t xml:space="preserve">trust and stronger social wellbeing </w:t>
      </w:r>
      <w:r w:rsidRPr="00086CBD">
        <w:rPr>
          <w:i/>
          <w:iCs/>
        </w:rPr>
        <w:fldChar w:fldCharType="begin"/>
      </w:r>
      <w:r w:rsidR="001C3DA6">
        <w:rPr>
          <w:i/>
          <w:iCs/>
        </w:rPr>
        <w:instrText xml:space="preserve"> ADDIN ZOTERO_ITEM CSL_CITATION {"citationID":"a2lmes9oki","properties":{"formattedCitation":"(Dijkstra et al., 2018)","plainCitation":"(Dijkstra et al., 2018)","noteIndex":0},"citationItems":[{"id":3068,"uris":["http://zotero.org/groups/21774/items/UEBB5BPD"],"itemData":{"id":3068,"type":"report","collection-title":"Working Papers","event-place":"Luxembourg","number":"12/2018","publisher":"Publications Office of the European Union","publisher-place":"Luxembourg","title":"The Geography of EU Discontent","URL":"https://ec.europa.eu/regional_policy/sources/docgener/work/2018_02_geog_discontent.pdf","author":[{"family":"Dijkstra","given":"Lewis"},{"family":"Poelman","given":"Hugo"},{"family":"Rodríguez-Pose","given":"Andrés"}],"accessed":{"date-parts":[["2019",6,3]]},"issued":{"date-parts":[["2018"]]}}}],"schema":"https://github.com/citation-style-language/schema/raw/master/csl-citation.json"} </w:instrText>
      </w:r>
      <w:r w:rsidRPr="00086CBD">
        <w:rPr>
          <w:i/>
          <w:iCs/>
        </w:rPr>
        <w:fldChar w:fldCharType="separate"/>
      </w:r>
      <w:r w:rsidR="001C3DA6" w:rsidRPr="001C3DA6">
        <w:rPr>
          <w:rFonts w:ascii="Arial" w:cs="Arial"/>
        </w:rPr>
        <w:t>(Dijkstra et al., 2018)</w:t>
      </w:r>
      <w:r w:rsidRPr="00086CBD">
        <w:rPr>
          <w:i/>
          <w:iCs/>
        </w:rPr>
        <w:fldChar w:fldCharType="end"/>
      </w:r>
      <w:r w:rsidRPr="00086CBD">
        <w:rPr>
          <w:i/>
          <w:iCs/>
        </w:rPr>
        <w:t>. In addition, places investing in ecological enablers</w:t>
      </w:r>
      <w:r>
        <w:rPr>
          <w:i/>
          <w:iCs/>
        </w:rPr>
        <w:t xml:space="preserve"> and</w:t>
      </w:r>
      <w:r w:rsidRPr="00086CBD">
        <w:rPr>
          <w:i/>
          <w:iCs/>
        </w:rPr>
        <w:t xml:space="preserve"> green infrastructure such as most regions of Slovenia and central, west</w:t>
      </w:r>
      <w:r>
        <w:rPr>
          <w:i/>
          <w:iCs/>
        </w:rPr>
        <w:t>ern</w:t>
      </w:r>
      <w:r w:rsidRPr="00086CBD">
        <w:rPr>
          <w:i/>
          <w:iCs/>
        </w:rPr>
        <w:t xml:space="preserve"> and south</w:t>
      </w:r>
      <w:r>
        <w:rPr>
          <w:i/>
          <w:iCs/>
        </w:rPr>
        <w:t>ern</w:t>
      </w:r>
      <w:r w:rsidRPr="00086CBD">
        <w:rPr>
          <w:i/>
          <w:iCs/>
        </w:rPr>
        <w:t xml:space="preserve"> Austria, most parts of Serbia, South East Romania and Burgas in Bulgaria, most regions of Slovakia and central Czech</w:t>
      </w:r>
      <w:r>
        <w:rPr>
          <w:i/>
          <w:iCs/>
        </w:rPr>
        <w:t>ia</w:t>
      </w:r>
      <w:r w:rsidRPr="00086CBD">
        <w:rPr>
          <w:i/>
          <w:iCs/>
        </w:rPr>
        <w:t xml:space="preserve"> will be the first regions getting a better quality of life due to their improved ecological status </w:t>
      </w:r>
      <w:r w:rsidRPr="00086CBD">
        <w:rPr>
          <w:i/>
          <w:iCs/>
        </w:rPr>
        <w:fldChar w:fldCharType="begin"/>
      </w:r>
      <w:r w:rsidR="001C3DA6">
        <w:rPr>
          <w:i/>
          <w:iCs/>
        </w:rPr>
        <w:instrText xml:space="preserve"> ADDIN ZOTERO_ITEM CSL_CITATION {"citationID":"a2ka4dkiu8v","properties":{"formattedCitation":"(ESPON, 2020a)","plainCitation":"(ESPON, 2020a)","noteIndex":0},"citationItems":[{"id":100,"uris":["http://zotero.org/groups/21774/items/IF5E5V83"],"itemData":{"id":100,"type":"report","event-place":"Luxembourg","publisher":"ESPON EGTC","publisher-place":"Luxembourg","title":"ESPON QoL - Quality of Life Measurements and Methodology. Final Report.","author":[{"family":"ESPON","given":""}],"issued":{"date-parts":[["2020"]]}}}],"schema":"https://github.com/citation-style-language/schema/raw/master/csl-citation.json"} </w:instrText>
      </w:r>
      <w:r w:rsidRPr="00086CBD">
        <w:rPr>
          <w:i/>
          <w:iCs/>
        </w:rPr>
        <w:fldChar w:fldCharType="separate"/>
      </w:r>
      <w:r w:rsidR="001C3DA6" w:rsidRPr="001C3DA6">
        <w:rPr>
          <w:rFonts w:ascii="Arial" w:cs="Arial"/>
        </w:rPr>
        <w:t>(ESPON, 2020a)</w:t>
      </w:r>
      <w:r w:rsidRPr="00086CBD">
        <w:rPr>
          <w:i/>
          <w:iCs/>
        </w:rPr>
        <w:fldChar w:fldCharType="end"/>
      </w:r>
      <w:r w:rsidRPr="00086CBD">
        <w:rPr>
          <w:i/>
          <w:iCs/>
        </w:rPr>
        <w:t>.</w:t>
      </w:r>
    </w:p>
    <w:p w14:paraId="4F33050B" w14:textId="308F9ABF" w:rsidR="00E914A6" w:rsidRPr="00702488" w:rsidRDefault="002059D1" w:rsidP="00A75156">
      <w:pPr>
        <w:rPr>
          <w:i/>
          <w:iCs/>
        </w:rPr>
      </w:pPr>
      <w:r w:rsidRPr="00702488">
        <w:rPr>
          <w:i/>
          <w:iCs/>
        </w:rPr>
        <w:t xml:space="preserve"> </w:t>
      </w:r>
    </w:p>
    <w:p w14:paraId="064ECF9C" w14:textId="29E110C8" w:rsidR="00AC0985" w:rsidRDefault="00AC0985" w:rsidP="00AC0985">
      <w:pPr>
        <w:pStyle w:val="Caption"/>
        <w:rPr>
          <w:i/>
          <w:iCs w:val="0"/>
        </w:rPr>
      </w:pPr>
      <w:bookmarkStart w:id="23" w:name="_Toc100584680"/>
      <w:r>
        <w:t xml:space="preserve">Map </w:t>
      </w:r>
      <w:r w:rsidR="00DD378A">
        <w:fldChar w:fldCharType="begin"/>
      </w:r>
      <w:r w:rsidR="00DD378A">
        <w:instrText xml:space="preserve"> STYLEREF 1 \s </w:instrText>
      </w:r>
      <w:r w:rsidR="00DD378A">
        <w:fldChar w:fldCharType="separate"/>
      </w:r>
      <w:r w:rsidR="006839DA">
        <w:rPr>
          <w:noProof/>
        </w:rPr>
        <w:t>5</w:t>
      </w:r>
      <w:r w:rsidR="00DD378A">
        <w:fldChar w:fldCharType="end"/>
      </w:r>
      <w:r w:rsidR="00DD378A">
        <w:noBreakHyphen/>
      </w:r>
      <w:r w:rsidR="00DD378A">
        <w:fldChar w:fldCharType="begin"/>
      </w:r>
      <w:r w:rsidR="00DD378A">
        <w:instrText xml:space="preserve"> SEQ Map \* ARABIC \s 1 </w:instrText>
      </w:r>
      <w:r w:rsidR="00DD378A">
        <w:fldChar w:fldCharType="separate"/>
      </w:r>
      <w:r w:rsidR="006839DA">
        <w:rPr>
          <w:noProof/>
        </w:rPr>
        <w:t>1</w:t>
      </w:r>
      <w:r w:rsidR="00DD378A">
        <w:fldChar w:fldCharType="end"/>
      </w:r>
      <w:r>
        <w:t xml:space="preserve"> Flourishing in green and social wellbeing – Danube Region 2050</w:t>
      </w:r>
      <w:bookmarkEnd w:id="23"/>
    </w:p>
    <w:p w14:paraId="22CF4DFD" w14:textId="11222EC9" w:rsidR="002B3E9A" w:rsidRDefault="00A75156" w:rsidP="006006AC">
      <w:pPr>
        <w:rPr>
          <w:i/>
          <w:iCs/>
        </w:rPr>
      </w:pPr>
      <w:r>
        <w:rPr>
          <w:i/>
          <w:iCs/>
          <w:noProof/>
        </w:rPr>
        <w:drawing>
          <wp:inline distT="0" distB="0" distL="0" distR="0" wp14:anchorId="676985B9" wp14:editId="48858694">
            <wp:extent cx="5400040" cy="38157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6">
                      <a:extLst>
                        <a:ext uri="{28A0092B-C50C-407E-A947-70E740481C1C}">
                          <a14:useLocalDpi xmlns:a14="http://schemas.microsoft.com/office/drawing/2010/main" val="0"/>
                        </a:ext>
                      </a:extLst>
                    </a:blip>
                    <a:stretch>
                      <a:fillRect/>
                    </a:stretch>
                  </pic:blipFill>
                  <pic:spPr>
                    <a:xfrm>
                      <a:off x="0" y="0"/>
                      <a:ext cx="5400040" cy="3815715"/>
                    </a:xfrm>
                    <a:prstGeom prst="rect">
                      <a:avLst/>
                    </a:prstGeom>
                  </pic:spPr>
                </pic:pic>
              </a:graphicData>
            </a:graphic>
          </wp:inline>
        </w:drawing>
      </w:r>
    </w:p>
    <w:p w14:paraId="28D6EB0B" w14:textId="0F6D035D" w:rsidR="00A75156" w:rsidRPr="00A75156" w:rsidRDefault="00A75156" w:rsidP="006006AC">
      <w:pPr>
        <w:rPr>
          <w:sz w:val="16"/>
          <w:szCs w:val="16"/>
        </w:rPr>
      </w:pPr>
      <w:r w:rsidRPr="00A75156">
        <w:rPr>
          <w:sz w:val="16"/>
          <w:szCs w:val="16"/>
        </w:rPr>
        <w:t>Source: ESPON TEVI 2050, 2022</w:t>
      </w:r>
    </w:p>
    <w:p w14:paraId="68CB3E52" w14:textId="77777777" w:rsidR="005D535E" w:rsidRPr="00086CBD" w:rsidRDefault="005D535E" w:rsidP="005D535E">
      <w:r w:rsidRPr="00086CBD">
        <w:rPr>
          <w:b/>
          <w:bCs/>
        </w:rPr>
        <w:t>E-services and e-governance bring people together</w:t>
      </w:r>
      <w:r w:rsidRPr="00086CBD">
        <w:t xml:space="preserve">. The digital transformations across the Danube Region increased the use of digital e-services. This </w:t>
      </w:r>
      <w:r>
        <w:t>is</w:t>
      </w:r>
      <w:r w:rsidRPr="00086CBD">
        <w:t xml:space="preserve"> not only reflected in people’s lives when it comes to the way people work or shop but has also contributed to greater citizen engagement in decision making. Online platforms allow citizens to participate in online assemblies, discussing regulations, important matters</w:t>
      </w:r>
      <w:r>
        <w:t xml:space="preserve"> and</w:t>
      </w:r>
      <w:r w:rsidRPr="00086CBD">
        <w:t xml:space="preserve"> plans for their territories </w:t>
      </w:r>
      <w:r>
        <w:t>among others</w:t>
      </w:r>
      <w:r w:rsidRPr="00086CBD">
        <w:t>. In addition, digital government services have also increased by 2050, facilitating interacti</w:t>
      </w:r>
      <w:r>
        <w:t>o</w:t>
      </w:r>
      <w:r w:rsidRPr="00086CBD">
        <w:t>n with public authorities. With future generations becoming digital nomads, public policies need to keep up and ensure their engagement. Such digital participation has brough</w:t>
      </w:r>
      <w:r>
        <w:t>t</w:t>
      </w:r>
      <w:r w:rsidRPr="00086CBD">
        <w:t xml:space="preserve"> governance close to citizens, involving the co-creation of public services and redesigning them for citizens’ needs. </w:t>
      </w:r>
      <w:r>
        <w:t>G</w:t>
      </w:r>
      <w:r w:rsidRPr="00086CBD">
        <w:t>reater inclusion has also brough</w:t>
      </w:r>
      <w:r>
        <w:t>t</w:t>
      </w:r>
      <w:r w:rsidRPr="00086CBD">
        <w:t xml:space="preserve"> stronger social cohesion, </w:t>
      </w:r>
      <w:r>
        <w:t>ensuring</w:t>
      </w:r>
      <w:r w:rsidRPr="00086CBD">
        <w:t xml:space="preserve"> services for people</w:t>
      </w:r>
      <w:r>
        <w:t>,</w:t>
      </w:r>
      <w:r w:rsidRPr="00086CBD">
        <w:t xml:space="preserve"> designed by </w:t>
      </w:r>
      <w:r>
        <w:t>citizens</w:t>
      </w:r>
      <w:r w:rsidRPr="00086CBD">
        <w:t>.</w:t>
      </w:r>
    </w:p>
    <w:p w14:paraId="6AF6C563" w14:textId="0C969283" w:rsidR="00D1693B" w:rsidRPr="00702488" w:rsidRDefault="005D535E" w:rsidP="00486624">
      <w:pPr>
        <w:rPr>
          <w:i/>
          <w:iCs/>
        </w:rPr>
      </w:pPr>
      <w:r w:rsidRPr="00086CBD">
        <w:rPr>
          <w:i/>
          <w:iCs/>
        </w:rPr>
        <w:t xml:space="preserve">When it comes to online citizen participation, digital connectivity plays an important role. Although this </w:t>
      </w:r>
      <w:r>
        <w:rPr>
          <w:i/>
          <w:iCs/>
        </w:rPr>
        <w:t>has</w:t>
      </w:r>
      <w:r w:rsidRPr="00086CBD">
        <w:rPr>
          <w:i/>
          <w:iCs/>
        </w:rPr>
        <w:t xml:space="preserve"> widely expand</w:t>
      </w:r>
      <w:r>
        <w:rPr>
          <w:i/>
          <w:iCs/>
        </w:rPr>
        <w:t>ed</w:t>
      </w:r>
      <w:r w:rsidRPr="00086CBD">
        <w:rPr>
          <w:i/>
          <w:iCs/>
        </w:rPr>
        <w:t xml:space="preserve"> to</w:t>
      </w:r>
      <w:r>
        <w:rPr>
          <w:i/>
          <w:iCs/>
        </w:rPr>
        <w:t xml:space="preserve"> include </w:t>
      </w:r>
      <w:r w:rsidRPr="00086CBD">
        <w:rPr>
          <w:i/>
          <w:iCs/>
        </w:rPr>
        <w:t xml:space="preserve"> most households, places </w:t>
      </w:r>
      <w:r>
        <w:rPr>
          <w:i/>
          <w:iCs/>
        </w:rPr>
        <w:t>with</w:t>
      </w:r>
      <w:r w:rsidRPr="00086CBD">
        <w:rPr>
          <w:i/>
          <w:iCs/>
        </w:rPr>
        <w:t xml:space="preserve"> high household digital connectivity seem be frontrunners. This transition </w:t>
      </w:r>
      <w:r>
        <w:rPr>
          <w:i/>
          <w:iCs/>
        </w:rPr>
        <w:t>was</w:t>
      </w:r>
      <w:r w:rsidRPr="00086CBD">
        <w:rPr>
          <w:i/>
          <w:iCs/>
        </w:rPr>
        <w:t xml:space="preserve"> first in urban areas, followed by rural areas, which transitioned slowly. In addition, the mobile revolution during the 2030s reshaped connectivity especially in less accessible territories and rural areas, bridging former digital divide</w:t>
      </w:r>
      <w:r>
        <w:rPr>
          <w:i/>
          <w:iCs/>
        </w:rPr>
        <w:t>s</w:t>
      </w:r>
      <w:r w:rsidRPr="00086CBD">
        <w:rPr>
          <w:i/>
          <w:iCs/>
        </w:rPr>
        <w:t>. Early adopters were citizens in capital cities, such as Bucharest, Budapest, Vienna and Prague, as well as the region</w:t>
      </w:r>
      <w:r>
        <w:rPr>
          <w:i/>
          <w:iCs/>
        </w:rPr>
        <w:t>s</w:t>
      </w:r>
      <w:r w:rsidRPr="00086CBD">
        <w:rPr>
          <w:i/>
          <w:iCs/>
        </w:rPr>
        <w:t xml:space="preserve"> of Friuli Venezia and Lombardia</w:t>
      </w:r>
      <w:r>
        <w:rPr>
          <w:i/>
          <w:iCs/>
        </w:rPr>
        <w:t>. N</w:t>
      </w:r>
      <w:r w:rsidRPr="00086CBD">
        <w:rPr>
          <w:i/>
          <w:iCs/>
        </w:rPr>
        <w:t xml:space="preserve">orth west and west Romania, the western part of Hungary and Central Slovakia had to </w:t>
      </w:r>
      <w:r>
        <w:rPr>
          <w:i/>
          <w:iCs/>
        </w:rPr>
        <w:t>m</w:t>
      </w:r>
      <w:r w:rsidRPr="00086CBD">
        <w:rPr>
          <w:i/>
          <w:iCs/>
        </w:rPr>
        <w:t xml:space="preserve">ake greater efforts to eventually take big leaps towards higher digital connectivity and invest more in digital infrastructure, as well as mobile broadband connectivity. </w:t>
      </w:r>
      <w:r w:rsidRPr="00086CBD">
        <w:rPr>
          <w:i/>
          <w:iCs/>
        </w:rPr>
        <w:fldChar w:fldCharType="begin"/>
      </w:r>
      <w:r w:rsidR="001C3DA6">
        <w:rPr>
          <w:i/>
          <w:iCs/>
        </w:rPr>
        <w:instrText xml:space="preserve"> ADDIN ZOTERO_ITEM CSL_CITATION {"citationID":"ahaeouv2i7","properties":{"formattedCitation":"(Eurostat, 2020b)","plainCitation":"(Eurostat, 2020b)","noteIndex":0},"citationItems":[{"id":8468,"uris":["http://zotero.org/groups/4075961/items/3JJW5NI9"],"itemData":{"id":8468,"type":"map","title":"Share of households with broadband use (as % of all households, 2019 data)","author":[{"family":"Eurostat","given":""}],"issued":{"date-parts":[["2020"]]}}}],"schema":"https://github.com/citation-style-language/schema/raw/master/csl-citation.json"} </w:instrText>
      </w:r>
      <w:r w:rsidRPr="00086CBD">
        <w:rPr>
          <w:i/>
          <w:iCs/>
        </w:rPr>
        <w:fldChar w:fldCharType="separate"/>
      </w:r>
      <w:r w:rsidR="001C3DA6" w:rsidRPr="001C3DA6">
        <w:rPr>
          <w:rFonts w:ascii="Arial" w:cs="Arial"/>
        </w:rPr>
        <w:t>(Eurostat, 2020b)</w:t>
      </w:r>
      <w:r w:rsidRPr="00086CBD">
        <w:rPr>
          <w:i/>
          <w:iCs/>
        </w:rPr>
        <w:fldChar w:fldCharType="end"/>
      </w:r>
      <w:r w:rsidR="006127AE">
        <w:rPr>
          <w:i/>
          <w:iCs/>
        </w:rPr>
        <w:t xml:space="preserve"> </w:t>
      </w:r>
      <w:r w:rsidR="006127AE" w:rsidRPr="005327C5">
        <w:rPr>
          <w:i/>
          <w:iCs/>
        </w:rPr>
        <w:t>(Map 5-1)</w:t>
      </w:r>
    </w:p>
    <w:p w14:paraId="6EF4AC1F" w14:textId="5FC0ED1C" w:rsidR="00EF0D72" w:rsidRPr="00086CBD" w:rsidRDefault="00EF0D72" w:rsidP="00EF0D72">
      <w:r w:rsidRPr="00086CBD">
        <w:rPr>
          <w:b/>
          <w:bCs/>
        </w:rPr>
        <w:t>Our work: digitalisation and automation</w:t>
      </w:r>
      <w:r w:rsidRPr="00086CBD">
        <w:t xml:space="preserve">. The digital revolution </w:t>
      </w:r>
      <w:r>
        <w:t>of recent</w:t>
      </w:r>
      <w:r w:rsidRPr="00086CBD">
        <w:t xml:space="preserve"> decades with ‘fit for </w:t>
      </w:r>
      <w:r>
        <w:t xml:space="preserve">the </w:t>
      </w:r>
      <w:r w:rsidRPr="00086CBD">
        <w:t>digital age’ policies and increase</w:t>
      </w:r>
      <w:r>
        <w:t>d</w:t>
      </w:r>
      <w:r w:rsidRPr="00086CBD">
        <w:t xml:space="preserve"> digital connectivity across the Danube Region has also largely transformed the way people work. </w:t>
      </w:r>
      <w:r>
        <w:t>It</w:t>
      </w:r>
      <w:r w:rsidRPr="00086CBD">
        <w:t xml:space="preserve"> has created </w:t>
      </w:r>
      <w:r>
        <w:t xml:space="preserve">many </w:t>
      </w:r>
      <w:r w:rsidRPr="00086CBD">
        <w:t xml:space="preserve">new jobs, as </w:t>
      </w:r>
      <w:r>
        <w:t>in</w:t>
      </w:r>
      <w:r w:rsidRPr="00086CBD">
        <w:t xml:space="preserve"> the 2010s, where in one decade more that 2 million jobs were created in the EU </w:t>
      </w:r>
      <w:r w:rsidRPr="00086CBD">
        <w:fldChar w:fldCharType="begin"/>
      </w:r>
      <w:r w:rsidR="001C3DA6">
        <w:instrText xml:space="preserve"> ADDIN ZOTERO_ITEM CSL_CITATION {"citationID":"ajldp5p94g","properties":{"formattedCitation":"(European Commission, 2019a)","plainCitation":"(European Commission, 2019a)","noteIndex":0},"citationItems":[{"id":635,"uris":["http://zotero.org/groups/21774/items/MHD3I4GR"],"itemData":{"id":635,"type":"report","title":"AI. The future of work? work of the future! On how artificial intelligence, robotics and automation are transforming jobs and the economy in Europe.","author":[{"family":"European Commission","given":""}],"issued":{"date-parts":[["2019",4,30]]}}}],"schema":"https://github.com/citation-style-language/schema/raw/master/csl-citation.json"} </w:instrText>
      </w:r>
      <w:r w:rsidRPr="00086CBD">
        <w:fldChar w:fldCharType="separate"/>
      </w:r>
      <w:r w:rsidR="001C3DA6" w:rsidRPr="001C3DA6">
        <w:rPr>
          <w:rFonts w:ascii="Arial" w:cs="Arial"/>
        </w:rPr>
        <w:t>(European Commission, 2019a)</w:t>
      </w:r>
      <w:r w:rsidRPr="00086CBD">
        <w:fldChar w:fldCharType="end"/>
      </w:r>
      <w:r w:rsidRPr="00086CBD">
        <w:t xml:space="preserve">. Although new technologies may make some jobs obsolete, especially </w:t>
      </w:r>
      <w:r>
        <w:t>artisan</w:t>
      </w:r>
      <w:r w:rsidRPr="00086CBD">
        <w:t xml:space="preserve"> jobs that have been sacrificed in the name of robotisation, it has also </w:t>
      </w:r>
      <w:r>
        <w:t>improved the quality of</w:t>
      </w:r>
      <w:r w:rsidRPr="00086CBD">
        <w:t xml:space="preserve"> existing jobs</w:t>
      </w:r>
      <w:r>
        <w:t xml:space="preserve"> and</w:t>
      </w:r>
      <w:r w:rsidRPr="00086CBD">
        <w:t xml:space="preserve"> created new ones. Particularly very standard and predictable jobs </w:t>
      </w:r>
      <w:r>
        <w:t>can be</w:t>
      </w:r>
      <w:r w:rsidRPr="00086CBD">
        <w:t xml:space="preserve"> automat</w:t>
      </w:r>
      <w:r>
        <w:t>ed</w:t>
      </w:r>
      <w:r w:rsidRPr="00086CBD">
        <w:t xml:space="preserve">. At the same time, digital technologies have changed what and how people work, adapting to new methods </w:t>
      </w:r>
      <w:r w:rsidRPr="00086CBD">
        <w:fldChar w:fldCharType="begin"/>
      </w:r>
      <w:r w:rsidR="00F54737">
        <w:instrText xml:space="preserve"> ADDIN ZOTERO_ITEM CSL_CITATION {"citationID":"apb371ea49","properties":{"formattedCitation":"(Joint Research Centre, 2019)","plainCitation":"(Joint Research Centre, 2019)","noteIndex":0},"citationItems":[{"id":8053,"uris":["http://zotero.org/groups/4075961/items/53RUPNFX"],"itemData":{"id":8053,"type":"report","publisher":"European Commission","title":"The changing nature of work. And skills in the digital age","author":[{"family":"Joint Research Centre","given":""}],"issued":{"date-parts":[["2019",8]]}}}],"schema":"https://github.com/citation-style-language/schema/raw/master/csl-citation.json"} </w:instrText>
      </w:r>
      <w:r w:rsidRPr="00086CBD">
        <w:fldChar w:fldCharType="separate"/>
      </w:r>
      <w:r w:rsidR="00F54737">
        <w:rPr>
          <w:rFonts w:ascii="Arial" w:cs="Arial"/>
        </w:rPr>
        <w:t>(Joint Research Centre, 2019)</w:t>
      </w:r>
      <w:r w:rsidRPr="00086CBD">
        <w:fldChar w:fldCharType="end"/>
      </w:r>
      <w:r w:rsidRPr="00086CBD">
        <w:t xml:space="preserve">. All these bring substantial market changes across the regions. Of course, social support is necessary to manage labour market transitions, </w:t>
      </w:r>
      <w:r>
        <w:t>especially</w:t>
      </w:r>
      <w:r w:rsidRPr="00086CBD">
        <w:t xml:space="preserve"> through education and well-designed policies. </w:t>
      </w:r>
      <w:r w:rsidRPr="00086CBD">
        <w:fldChar w:fldCharType="begin"/>
      </w:r>
      <w:r w:rsidR="001C3DA6">
        <w:instrText xml:space="preserve"> ADDIN ZOTERO_ITEM CSL_CITATION {"citationID":"epHxSGR5","properties":{"formattedCitation":"(European Commission, 2019a)","plainCitation":"(European Commission, 2019a)","noteIndex":0},"citationItems":[{"id":635,"uris":["http://zotero.org/groups/21774/items/MHD3I4GR"],"itemData":{"id":635,"type":"report","title":"AI. The future of work? work of the future! On how artificial intelligence, robotics and automation are transforming jobs and the economy in Europe.","author":[{"family":"European Commission","given":""}],"issued":{"date-parts":[["2019",4,30]]}}}],"schema":"https://github.com/citation-style-language/schema/raw/master/csl-citation.json"} </w:instrText>
      </w:r>
      <w:r w:rsidRPr="00086CBD">
        <w:fldChar w:fldCharType="separate"/>
      </w:r>
      <w:r w:rsidR="001C3DA6" w:rsidRPr="001C3DA6">
        <w:rPr>
          <w:rFonts w:ascii="Arial" w:cs="Arial"/>
        </w:rPr>
        <w:t>(European Commission, 2019a)</w:t>
      </w:r>
      <w:r w:rsidRPr="00086CBD">
        <w:fldChar w:fldCharType="end"/>
      </w:r>
      <w:r w:rsidRPr="00086CBD">
        <w:t xml:space="preserve"> Such developments may also create new types of job, such as ‘explainers’, i.e. workers interpreting Artificial Intelligence system outcomes or ‘ethicists’, i.e. setting guidelines and making sure they are followed so Artificial Intelligence systems are accountable </w:t>
      </w:r>
      <w:r w:rsidRPr="00086CBD">
        <w:fldChar w:fldCharType="begin"/>
      </w:r>
      <w:r w:rsidR="00F54737">
        <w:instrText xml:space="preserve"> ADDIN ZOTERO_ITEM CSL_CITATION {"citationID":"qRrGj9Jm","properties":{"formattedCitation":"(Joint Research Centre, 2019)","plainCitation":"(Joint Research Centre, 2019)","noteIndex":0},"citationItems":[{"id":8053,"uris":["http://zotero.org/groups/4075961/items/53RUPNFX"],"itemData":{"id":8053,"type":"report","publisher":"European Commission","title":"The changing nature of work. And skills in the digital age","author":[{"family":"Joint Research Centre","given":""}],"issued":{"date-parts":[["2019",8]]}}}],"schema":"https://github.com/citation-style-language/schema/raw/master/csl-citation.json"} </w:instrText>
      </w:r>
      <w:r w:rsidRPr="00086CBD">
        <w:fldChar w:fldCharType="separate"/>
      </w:r>
      <w:r w:rsidR="00F54737">
        <w:rPr>
          <w:rFonts w:ascii="Arial" w:cs="Arial"/>
        </w:rPr>
        <w:t>(Joint Research Centre, 2019)</w:t>
      </w:r>
      <w:r w:rsidRPr="00086CBD">
        <w:fldChar w:fldCharType="end"/>
      </w:r>
      <w:r w:rsidRPr="00086CBD">
        <w:t>. These developments have improved peoples’ lives in the long run, as it made people focus on more important and personally gratifying tasks. In an indirect way, digitalis</w:t>
      </w:r>
      <w:r>
        <w:t>ing</w:t>
      </w:r>
      <w:r w:rsidRPr="00086CBD">
        <w:t xml:space="preserve"> work has given people the flexibility to take more control of their lives. </w:t>
      </w:r>
    </w:p>
    <w:p w14:paraId="3B7C0DC2" w14:textId="22ADBC7E" w:rsidR="00EF0D72" w:rsidRPr="00086CBD" w:rsidRDefault="00EF0D72" w:rsidP="00EF0D72">
      <w:pPr>
        <w:rPr>
          <w:i/>
          <w:iCs/>
        </w:rPr>
      </w:pPr>
      <w:r w:rsidRPr="00086CBD">
        <w:rPr>
          <w:i/>
          <w:iCs/>
        </w:rPr>
        <w:t>Regions with high manufacturing employment will have to adjust and change their profiles and ways of work</w:t>
      </w:r>
      <w:r>
        <w:rPr>
          <w:i/>
          <w:iCs/>
        </w:rPr>
        <w:t>ing</w:t>
      </w:r>
      <w:r w:rsidRPr="00086CBD">
        <w:rPr>
          <w:i/>
          <w:iCs/>
        </w:rPr>
        <w:t xml:space="preserve"> by 2050</w:t>
      </w:r>
      <w:r>
        <w:rPr>
          <w:i/>
          <w:iCs/>
        </w:rPr>
        <w:t>. This includes</w:t>
      </w:r>
      <w:r w:rsidRPr="00086CBD">
        <w:rPr>
          <w:i/>
          <w:iCs/>
        </w:rPr>
        <w:t xml:space="preserve"> most regions </w:t>
      </w:r>
      <w:r>
        <w:rPr>
          <w:i/>
          <w:iCs/>
        </w:rPr>
        <w:t>in</w:t>
      </w:r>
      <w:r w:rsidRPr="00086CBD">
        <w:rPr>
          <w:i/>
          <w:iCs/>
        </w:rPr>
        <w:t xml:space="preserve"> Czech</w:t>
      </w:r>
      <w:r>
        <w:rPr>
          <w:i/>
          <w:iCs/>
        </w:rPr>
        <w:t>ia</w:t>
      </w:r>
      <w:r w:rsidRPr="00086CBD">
        <w:rPr>
          <w:i/>
          <w:iCs/>
        </w:rPr>
        <w:t>, Trencin region in Slovakia, Upper Austria, large parts of western and central Romania, parts of western and central Hungary</w:t>
      </w:r>
      <w:r>
        <w:rPr>
          <w:i/>
          <w:iCs/>
        </w:rPr>
        <w:t xml:space="preserve"> and</w:t>
      </w:r>
      <w:r w:rsidRPr="00086CBD">
        <w:rPr>
          <w:i/>
          <w:iCs/>
        </w:rPr>
        <w:t xml:space="preserve"> the South of Bulgaria. </w:t>
      </w:r>
      <w:r w:rsidRPr="00086CBD">
        <w:fldChar w:fldCharType="begin"/>
      </w:r>
      <w:r w:rsidR="001C3DA6">
        <w:instrText xml:space="preserve"> ADDIN ZOTERO_ITEM CSL_CITATION {"citationID":"a10pg7895e2","properties":{"formattedCitation":"(ESPON, 2018b)","plainCitation":"(ESPON, 2018b)","noteIndex":0},"citationItems":[{"id":719,"uris":["http://zotero.org/groups/21774/items/AAJZ5VKS"],"itemData":{"id":719,"type":"report","event-place":"Luxembourg","publisher":"ESPON","publisher-place":"Luxembourg","title":"Possible European Territorial Futures. Volume D – Place Based Circular Economy.","URL":"https://www.espon.eu/territorial-futures","author":[{"family":"ESPON","given":""}],"accessed":{"date-parts":[["2018",10,19]]},"issued":{"date-parts":[["2018"]]}}}],"schema":"https://github.com/citation-style-language/schema/raw/master/csl-citation.json"} </w:instrText>
      </w:r>
      <w:r w:rsidRPr="00086CBD">
        <w:fldChar w:fldCharType="separate"/>
      </w:r>
      <w:r w:rsidR="001C3DA6" w:rsidRPr="001C3DA6">
        <w:rPr>
          <w:rFonts w:ascii="Arial" w:cs="Arial"/>
        </w:rPr>
        <w:t>(ESPON, 2018b)</w:t>
      </w:r>
      <w:r w:rsidRPr="00086CBD">
        <w:fldChar w:fldCharType="end"/>
      </w:r>
    </w:p>
    <w:p w14:paraId="093162B1" w14:textId="7C65FC60" w:rsidR="008E084D" w:rsidRPr="00086CBD" w:rsidRDefault="008E084D" w:rsidP="008E084D">
      <w:pPr>
        <w:rPr>
          <w:i/>
          <w:iCs/>
        </w:rPr>
      </w:pPr>
      <w:r w:rsidRPr="00086CBD">
        <w:rPr>
          <w:i/>
          <w:iCs/>
        </w:rPr>
        <w:t xml:space="preserve">Regions </w:t>
      </w:r>
      <w:r>
        <w:rPr>
          <w:i/>
          <w:iCs/>
        </w:rPr>
        <w:t>with</w:t>
      </w:r>
      <w:r w:rsidRPr="00086CBD">
        <w:rPr>
          <w:i/>
          <w:iCs/>
        </w:rPr>
        <w:t xml:space="preserve"> a high share of employment in industry will be first that nee</w:t>
      </w:r>
      <w:r>
        <w:rPr>
          <w:i/>
          <w:iCs/>
        </w:rPr>
        <w:t>d</w:t>
      </w:r>
      <w:r w:rsidRPr="00086CBD">
        <w:rPr>
          <w:i/>
          <w:iCs/>
        </w:rPr>
        <w:t xml:space="preserve"> to adapt to the new trends and developments. This is particularly relevant for the regions of Plzen, Liberec, Hradec Kralove, Prardubice, Vysocina and Zlin in Czech</w:t>
      </w:r>
      <w:r>
        <w:rPr>
          <w:i/>
          <w:iCs/>
        </w:rPr>
        <w:t>ia</w:t>
      </w:r>
      <w:r w:rsidRPr="00086CBD">
        <w:rPr>
          <w:i/>
          <w:iCs/>
        </w:rPr>
        <w:t xml:space="preserve">, the region of Komarom-Esztergom in Hungary, the Carinthia region in Slovenia, the regions of Timis, Arad, Hunedoara, Sibiu and Arges in Romania, Zagora and Gabrovo in Bulgaria, Zenica Doboj canton in Bosnia-Herzegovina, </w:t>
      </w:r>
      <w:r>
        <w:rPr>
          <w:i/>
          <w:iCs/>
        </w:rPr>
        <w:t>as well as</w:t>
      </w:r>
      <w:r w:rsidRPr="00086CBD">
        <w:rPr>
          <w:i/>
          <w:iCs/>
        </w:rPr>
        <w:t xml:space="preserve"> Moravica, Zlatibor, Jablanica, Pcinj</w:t>
      </w:r>
      <w:r>
        <w:rPr>
          <w:i/>
          <w:iCs/>
        </w:rPr>
        <w:t xml:space="preserve"> and</w:t>
      </w:r>
      <w:r w:rsidRPr="00086CBD">
        <w:rPr>
          <w:i/>
          <w:iCs/>
        </w:rPr>
        <w:t xml:space="preserve">, Pirot, among other regions in Serbia. </w:t>
      </w:r>
      <w:r w:rsidRPr="00086CBD">
        <w:rPr>
          <w:i/>
          <w:iCs/>
        </w:rPr>
        <w:fldChar w:fldCharType="begin"/>
      </w:r>
      <w:r w:rsidR="001C3DA6">
        <w:rPr>
          <w:i/>
          <w:iCs/>
        </w:rPr>
        <w:instrText xml:space="preserve"> ADDIN ZOTERO_ITEM CSL_CITATION {"citationID":"a19stlfg327","properties":{"formattedCitation":"(BBSR &amp; ESPON, 2020)","plainCitation":"(BBSR &amp; ESPON, 2020)","noteIndex":0},"citationItems":[{"id":5019,"uris":["http://zotero.org/groups/21774/items/LH8PIJ6F"],"itemData":{"id":5019,"type":"book","event-place":"Berlin","publisher":"Federal Ministry fo the Interior, Building and Community","publisher-place":"Berlin","title":"Atlas for the Territorial Agenda 2030: Maps on European Territorial Development","author":[{"literal":"BBSR"},{"literal":"ESPON"}],"issued":{"date-parts":[["2020"]]}}}],"schema":"https://github.com/citation-style-language/schema/raw/master/csl-citation.json"} </w:instrText>
      </w:r>
      <w:r w:rsidRPr="00086CBD">
        <w:rPr>
          <w:i/>
          <w:iCs/>
        </w:rPr>
        <w:fldChar w:fldCharType="separate"/>
      </w:r>
      <w:r w:rsidR="001C3DA6" w:rsidRPr="001C3DA6">
        <w:rPr>
          <w:rFonts w:ascii="Arial" w:cs="Arial"/>
        </w:rPr>
        <w:t>(BBSR &amp; ESPON, 2020)</w:t>
      </w:r>
      <w:r w:rsidRPr="00086CBD">
        <w:rPr>
          <w:i/>
          <w:iCs/>
        </w:rPr>
        <w:fldChar w:fldCharType="end"/>
      </w:r>
    </w:p>
    <w:p w14:paraId="2190176D" w14:textId="77777777" w:rsidR="009B4F42" w:rsidRPr="00086CBD" w:rsidRDefault="009B4F42" w:rsidP="009B4F42">
      <w:pPr>
        <w:rPr>
          <w:i/>
          <w:iCs/>
        </w:rPr>
      </w:pPr>
      <w:r w:rsidRPr="00086CBD">
        <w:rPr>
          <w:i/>
          <w:iCs/>
        </w:rPr>
        <w:t>Regions that already during the 2010s were implement</w:t>
      </w:r>
      <w:r>
        <w:rPr>
          <w:i/>
          <w:iCs/>
        </w:rPr>
        <w:t>ing</w:t>
      </w:r>
      <w:r w:rsidRPr="00086CBD">
        <w:rPr>
          <w:i/>
          <w:iCs/>
        </w:rPr>
        <w:t xml:space="preserve"> industry 4.0, such as Niederbayern</w:t>
      </w:r>
      <w:r>
        <w:rPr>
          <w:i/>
          <w:iCs/>
        </w:rPr>
        <w:t xml:space="preserve"> and</w:t>
      </w:r>
      <w:r w:rsidRPr="00086CBD">
        <w:rPr>
          <w:i/>
          <w:iCs/>
        </w:rPr>
        <w:t xml:space="preserve"> Oberpfalz in Germany, Upper Austria and Kärtnen, Western and Central Slovakia, the north west and east</w:t>
      </w:r>
      <w:r>
        <w:rPr>
          <w:i/>
          <w:iCs/>
        </w:rPr>
        <w:t>ern</w:t>
      </w:r>
      <w:r w:rsidRPr="00086CBD">
        <w:rPr>
          <w:i/>
          <w:iCs/>
        </w:rPr>
        <w:t xml:space="preserve"> part of Hungary, as well regions that were robotis</w:t>
      </w:r>
      <w:r>
        <w:rPr>
          <w:i/>
          <w:iCs/>
        </w:rPr>
        <w:t>ing</w:t>
      </w:r>
      <w:r w:rsidRPr="00086CBD">
        <w:rPr>
          <w:i/>
          <w:iCs/>
        </w:rPr>
        <w:t xml:space="preserve"> traditional manufacturing like west and central regions in Romania, Severozapaden, Severentsentralen and Yogoiztovchen in Bulgaria, </w:t>
      </w:r>
      <w:r>
        <w:rPr>
          <w:i/>
          <w:iCs/>
        </w:rPr>
        <w:t>all</w:t>
      </w:r>
      <w:r w:rsidRPr="00086CBD">
        <w:rPr>
          <w:i/>
          <w:iCs/>
        </w:rPr>
        <w:t xml:space="preserve"> of Slovenia and the southern part of Hungary </w:t>
      </w:r>
      <w:r>
        <w:rPr>
          <w:i/>
          <w:iCs/>
        </w:rPr>
        <w:t>were</w:t>
      </w:r>
      <w:r w:rsidRPr="00086CBD">
        <w:rPr>
          <w:i/>
          <w:iCs/>
        </w:rPr>
        <w:t xml:space="preserve"> already a step </w:t>
      </w:r>
      <w:r>
        <w:rPr>
          <w:i/>
          <w:iCs/>
        </w:rPr>
        <w:t>ahead</w:t>
      </w:r>
      <w:r w:rsidRPr="00086CBD">
        <w:rPr>
          <w:i/>
          <w:iCs/>
        </w:rPr>
        <w:t xml:space="preserve"> in adapting </w:t>
      </w:r>
      <w:r>
        <w:rPr>
          <w:i/>
          <w:iCs/>
        </w:rPr>
        <w:t xml:space="preserve">to </w:t>
      </w:r>
      <w:r w:rsidRPr="00086CBD">
        <w:rPr>
          <w:i/>
          <w:iCs/>
        </w:rPr>
        <w:t>the new developments.</w:t>
      </w:r>
    </w:p>
    <w:p w14:paraId="0C7DACA4" w14:textId="0B463835" w:rsidR="00FF2A82" w:rsidRPr="00086CBD" w:rsidRDefault="00FF2A82" w:rsidP="00FF2A82">
      <w:r w:rsidRPr="00086CBD">
        <w:rPr>
          <w:b/>
          <w:bCs/>
        </w:rPr>
        <w:t>Jobs go where skills are</w:t>
      </w:r>
      <w:r w:rsidRPr="00086CBD">
        <w:t xml:space="preserve">. </w:t>
      </w:r>
      <w:r>
        <w:t>D</w:t>
      </w:r>
      <w:r w:rsidRPr="00086CBD">
        <w:t xml:space="preserve">igital and non-cognitive skills are important for digital-related jobs. </w:t>
      </w:r>
      <w:r>
        <w:t>D</w:t>
      </w:r>
      <w:r w:rsidRPr="00086CBD">
        <w:t xml:space="preserve">igital literacy is </w:t>
      </w:r>
      <w:r>
        <w:t>a</w:t>
      </w:r>
      <w:r w:rsidRPr="00086CBD">
        <w:t xml:space="preserve"> prerequisite for employment in highly skilled jobs and positions </w:t>
      </w:r>
      <w:r>
        <w:t>with</w:t>
      </w:r>
      <w:r w:rsidRPr="00086CBD">
        <w:t xml:space="preserve"> </w:t>
      </w:r>
      <w:r>
        <w:t>more</w:t>
      </w:r>
      <w:r w:rsidRPr="00086CBD">
        <w:t xml:space="preserve"> responsibilities and more tasks </w:t>
      </w:r>
      <w:r w:rsidRPr="00086CBD">
        <w:fldChar w:fldCharType="begin"/>
      </w:r>
      <w:r w:rsidR="00F54737">
        <w:instrText xml:space="preserve"> ADDIN ZOTERO_ITEM CSL_CITATION {"citationID":"HBFKsigy","properties":{"formattedCitation":"(Joint Research Centre, 2019)","plainCitation":"(Joint Research Centre, 2019)","noteIndex":0},"citationItems":[{"id":8053,"uris":["http://zotero.org/groups/4075961/items/53RUPNFX"],"itemData":{"id":8053,"type":"report","publisher":"European Commission","title":"The changing nature of work. And skills in the digital age","author":[{"family":"Joint Research Centre","given":""}],"issued":{"date-parts":[["2019",8]]}}}],"schema":"https://github.com/citation-style-language/schema/raw/master/csl-citation.json"} </w:instrText>
      </w:r>
      <w:r w:rsidRPr="00086CBD">
        <w:fldChar w:fldCharType="separate"/>
      </w:r>
      <w:r w:rsidR="00F54737">
        <w:rPr>
          <w:rFonts w:ascii="Arial" w:cs="Arial"/>
        </w:rPr>
        <w:t>(Joint Research Centre, 2019)</w:t>
      </w:r>
      <w:r w:rsidRPr="00086CBD">
        <w:fldChar w:fldCharType="end"/>
      </w:r>
      <w:r w:rsidRPr="00086CBD">
        <w:t>. The skills demand has increased by 2050, transforming the nature of work and making it more specialised.</w:t>
      </w:r>
      <w:r>
        <w:t xml:space="preserve"> N</w:t>
      </w:r>
      <w:r w:rsidRPr="00086CBD">
        <w:t xml:space="preserve">on-cognitive skills, such as people skills, emotional intelligence and social interaction </w:t>
      </w:r>
      <w:r w:rsidRPr="00086CBD">
        <w:fldChar w:fldCharType="begin"/>
      </w:r>
      <w:r w:rsidR="00F54737">
        <w:instrText xml:space="preserve"> ADDIN ZOTERO_ITEM CSL_CITATION {"citationID":"86TXD0qh","properties":{"formattedCitation":"(Joint Research Centre, 2019)","plainCitation":"(Joint Research Centre, 2019)","noteIndex":0},"citationItems":[{"id":8053,"uris":["http://zotero.org/groups/4075961/items/53RUPNFX"],"itemData":{"id":8053,"type":"report","publisher":"European Commission","title":"The changing nature of work. And skills in the digital age","author":[{"family":"Joint Research Centre","given":""}],"issued":{"date-parts":[["2019",8]]}}}],"schema":"https://github.com/citation-style-language/schema/raw/master/csl-citation.json"} </w:instrText>
      </w:r>
      <w:r w:rsidRPr="00086CBD">
        <w:fldChar w:fldCharType="separate"/>
      </w:r>
      <w:r w:rsidR="00F54737">
        <w:rPr>
          <w:rFonts w:ascii="Arial" w:cs="Arial"/>
        </w:rPr>
        <w:t>(Joint Research Centre, 2019)</w:t>
      </w:r>
      <w:r w:rsidRPr="00086CBD">
        <w:fldChar w:fldCharType="end"/>
      </w:r>
      <w:r w:rsidRPr="00086CBD">
        <w:t xml:space="preserve"> have also expanded over the decades, highlight</w:t>
      </w:r>
      <w:r>
        <w:t>ing</w:t>
      </w:r>
      <w:r w:rsidRPr="00086CBD">
        <w:t xml:space="preserve"> their importance for people-to-people work relations. Workers who fail to adjust or lack these skills may risk having less </w:t>
      </w:r>
      <w:r>
        <w:t xml:space="preserve">well-paying </w:t>
      </w:r>
      <w:r w:rsidRPr="00086CBD">
        <w:t xml:space="preserve">employment chances. </w:t>
      </w:r>
    </w:p>
    <w:p w14:paraId="704A42E7" w14:textId="63713B36" w:rsidR="00FF2A82" w:rsidRPr="00702488" w:rsidRDefault="00FF2A82" w:rsidP="006006AC">
      <w:pPr>
        <w:rPr>
          <w:i/>
          <w:iCs/>
        </w:rPr>
      </w:pPr>
      <w:r w:rsidRPr="00086CBD">
        <w:rPr>
          <w:i/>
          <w:iCs/>
        </w:rPr>
        <w:t xml:space="preserve">Although it is difficult to pinpoint places where people have high cognitive skills, places </w:t>
      </w:r>
      <w:r>
        <w:rPr>
          <w:i/>
          <w:iCs/>
        </w:rPr>
        <w:t>where</w:t>
      </w:r>
      <w:r w:rsidRPr="00086CBD">
        <w:rPr>
          <w:i/>
          <w:iCs/>
        </w:rPr>
        <w:t xml:space="preserve"> citizens </w:t>
      </w:r>
      <w:r>
        <w:rPr>
          <w:i/>
          <w:iCs/>
        </w:rPr>
        <w:t>regularly</w:t>
      </w:r>
      <w:r w:rsidRPr="00086CBD">
        <w:rPr>
          <w:i/>
          <w:iCs/>
        </w:rPr>
        <w:t xml:space="preserve"> used the internet earlier than 2030 </w:t>
      </w:r>
      <w:r>
        <w:rPr>
          <w:i/>
          <w:iCs/>
        </w:rPr>
        <w:t>indicate</w:t>
      </w:r>
      <w:r w:rsidRPr="00086CBD">
        <w:rPr>
          <w:i/>
          <w:iCs/>
        </w:rPr>
        <w:t xml:space="preserve"> high digital skills and possible attraction poles for employment in related fields. For instance, the east part of the Danube Region, e.g. regions in Romania, Bulgaria, central and south Serbia, north Croatia and Slovenia used to </w:t>
      </w:r>
      <w:r w:rsidR="00DD0AAF">
        <w:rPr>
          <w:i/>
          <w:iCs/>
        </w:rPr>
        <w:t>seldomly</w:t>
      </w:r>
      <w:r w:rsidR="00E62CB3">
        <w:rPr>
          <w:i/>
          <w:iCs/>
        </w:rPr>
        <w:t xml:space="preserve"> use the internet</w:t>
      </w:r>
      <w:r w:rsidRPr="00086CBD">
        <w:rPr>
          <w:i/>
          <w:iCs/>
        </w:rPr>
        <w:t>, while in the west</w:t>
      </w:r>
      <w:r>
        <w:rPr>
          <w:i/>
          <w:iCs/>
        </w:rPr>
        <w:t>ern</w:t>
      </w:r>
      <w:r w:rsidRPr="00086CBD">
        <w:rPr>
          <w:i/>
          <w:iCs/>
        </w:rPr>
        <w:t xml:space="preserve"> part, such as in Prague, Austria, Germany, Slovakia and Hungary as well as north part of Serbia </w:t>
      </w:r>
      <w:r w:rsidR="00E62CB3">
        <w:rPr>
          <w:i/>
          <w:iCs/>
        </w:rPr>
        <w:t>very low share of population has not used the internet</w:t>
      </w:r>
      <w:r w:rsidR="00730820" w:rsidRPr="005327C5">
        <w:rPr>
          <w:i/>
          <w:iCs/>
        </w:rPr>
        <w:t xml:space="preserve">. </w:t>
      </w:r>
      <w:r w:rsidR="00730820" w:rsidRPr="005327C5">
        <w:rPr>
          <w:i/>
          <w:iCs/>
        </w:rPr>
        <w:fldChar w:fldCharType="begin"/>
      </w:r>
      <w:r w:rsidR="00730820">
        <w:rPr>
          <w:i/>
          <w:iCs/>
        </w:rPr>
        <w:instrText xml:space="preserve"> ADDIN ZOTERO_ITEM CSL_CITATION {"citationID":"Npu9vABq","properties":{"formattedCitation":"(BBSR &amp; ESPON, 2020)","plainCitation":"(BBSR &amp; ESPON, 2020)","noteIndex":0},"citationItems":[{"id":5019,"uris":["http://zotero.org/groups/21774/items/LH8PIJ6F"],"itemData":{"id":5019,"type":"book","event-place":"Berlin","publisher":"Federal Ministry fo the Interior, Building and Community","publisher-place":"Berlin","title":"Atlas for the Territorial Agenda 2030: Maps on European Territorial Development","author":[{"literal":"BBSR"},{"literal":"ESPON"}],"issued":{"date-parts":[["2020"]]}}}],"schema":"https://github.com/citation-style-language/schema/raw/master/csl-citation.json"} </w:instrText>
      </w:r>
      <w:r w:rsidR="00730820" w:rsidRPr="005327C5">
        <w:rPr>
          <w:i/>
          <w:iCs/>
        </w:rPr>
        <w:fldChar w:fldCharType="separate"/>
      </w:r>
      <w:r w:rsidR="00730820" w:rsidRPr="004E1C4D">
        <w:rPr>
          <w:rFonts w:ascii="Arial" w:cs="Arial"/>
        </w:rPr>
        <w:t>(BBSR &amp; ESPON, 2020)</w:t>
      </w:r>
      <w:r w:rsidR="00730820" w:rsidRPr="005327C5">
        <w:rPr>
          <w:i/>
          <w:iCs/>
        </w:rPr>
        <w:fldChar w:fldCharType="end"/>
      </w:r>
      <w:r w:rsidRPr="00086CBD">
        <w:rPr>
          <w:i/>
          <w:iCs/>
        </w:rPr>
        <w:t xml:space="preserve">. </w:t>
      </w:r>
    </w:p>
    <w:p w14:paraId="7F9096A4" w14:textId="4EFC4DB0" w:rsidR="008735FB" w:rsidRPr="00086CBD" w:rsidRDefault="008735FB" w:rsidP="008735FB">
      <w:r w:rsidRPr="00086CBD">
        <w:rPr>
          <w:b/>
          <w:bCs/>
        </w:rPr>
        <w:t>How do we work? New rules to count</w:t>
      </w:r>
      <w:r w:rsidRPr="00086CBD">
        <w:t xml:space="preserve">. The increasing focus on wellbeing and increasing digitalisation has provoked a change in peoples’ </w:t>
      </w:r>
      <w:r>
        <w:t>attitudes</w:t>
      </w:r>
      <w:r w:rsidRPr="00086CBD">
        <w:t xml:space="preserve"> towards work. By 2050, citizens of the Danube Region talk about the ‘end of ambition’, where employees quit their jobs for better or less stressful ones, or for working environments where their efforts </w:t>
      </w:r>
      <w:r>
        <w:t>seem more</w:t>
      </w:r>
      <w:r w:rsidRPr="00086CBD">
        <w:t xml:space="preserve"> appreciated</w:t>
      </w:r>
      <w:r>
        <w:t>. J</w:t>
      </w:r>
      <w:r w:rsidRPr="00086CBD">
        <w:t>ob productivity has been increasing</w:t>
      </w:r>
      <w:r>
        <w:t xml:space="preserve"> for a long time</w:t>
      </w:r>
      <w:r w:rsidRPr="00086CBD">
        <w:t xml:space="preserve">, unlike wages which </w:t>
      </w:r>
      <w:r>
        <w:t xml:space="preserve">have </w:t>
      </w:r>
      <w:r w:rsidRPr="00086CBD">
        <w:t xml:space="preserve">remained stable </w:t>
      </w:r>
      <w:r w:rsidRPr="00086CBD">
        <w:fldChar w:fldCharType="begin"/>
      </w:r>
      <w:r w:rsidR="001C3DA6">
        <w:instrText xml:space="preserve"> ADDIN ZOTERO_ITEM CSL_CITATION {"citationID":"a206ev1tftk","properties":{"formattedCitation":"(Malone, 2022)","plainCitation":"(Malone, 2022)","noteIndex":0},"citationItems":[{"id":8471,"uris":["http://zotero.org/groups/4075961/items/V8PQT4KA"],"itemData":{"id":8471,"type":"webpage","container-title":"The New York Times","title":"The Future of Work Issue. The Age of Anti-Ambition.","URL":"https://www.nytimes.com/2022/02/15/magazine/anti-ambition-age.html?referrer=masthead","author":[{"family":"Malone","given":"Noreen"}],"accessed":{"date-parts":[["2022",3,15]]},"issued":{"date-parts":[["2022",2,15]]}}}],"schema":"https://github.com/citation-style-language/schema/raw/master/csl-citation.json"} </w:instrText>
      </w:r>
      <w:r w:rsidRPr="00086CBD">
        <w:fldChar w:fldCharType="separate"/>
      </w:r>
      <w:r w:rsidR="001C3DA6" w:rsidRPr="001C3DA6">
        <w:rPr>
          <w:rFonts w:ascii="Arial" w:cs="Arial"/>
        </w:rPr>
        <w:t>(Malone, 2022)</w:t>
      </w:r>
      <w:r w:rsidRPr="00086CBD">
        <w:fldChar w:fldCharType="end"/>
      </w:r>
      <w:r w:rsidRPr="00086CBD">
        <w:t>. The previous working culture of ‘Thank</w:t>
      </w:r>
      <w:r w:rsidR="009B4D45">
        <w:t xml:space="preserve"> </w:t>
      </w:r>
      <w:r w:rsidRPr="00086CBD">
        <w:t>God</w:t>
      </w:r>
      <w:r w:rsidR="009B4D45">
        <w:t xml:space="preserve"> </w:t>
      </w:r>
      <w:r w:rsidRPr="00086CBD">
        <w:t>Its</w:t>
      </w:r>
      <w:r w:rsidR="009B4D45">
        <w:t xml:space="preserve"> </w:t>
      </w:r>
      <w:r>
        <w:t>Fri</w:t>
      </w:r>
      <w:r w:rsidRPr="00086CBD">
        <w:t xml:space="preserve">day’ that caused burnouts, extra pressure and depression has </w:t>
      </w:r>
      <w:r>
        <w:t>seen</w:t>
      </w:r>
      <w:r w:rsidRPr="00086CBD">
        <w:t xml:space="preserve"> large scale resignations </w:t>
      </w:r>
      <w:r w:rsidRPr="00086CBD">
        <w:fldChar w:fldCharType="begin"/>
      </w:r>
      <w:r w:rsidR="001C3DA6">
        <w:instrText xml:space="preserve"> ADDIN ZOTERO_ITEM CSL_CITATION {"citationID":"cO6hHMUv","properties":{"formattedCitation":"(Malone, 2022)","plainCitation":"(Malone, 2022)","noteIndex":0},"citationItems":[{"id":8471,"uris":["http://zotero.org/groups/4075961/items/V8PQT4KA"],"itemData":{"id":8471,"type":"webpage","container-title":"The New York Times","title":"The Future of Work Issue. The Age of Anti-Ambition.","URL":"https://www.nytimes.com/2022/02/15/magazine/anti-ambition-age.html?referrer=masthead","author":[{"family":"Malone","given":"Noreen"}],"accessed":{"date-parts":[["2022",3,15]]},"issued":{"date-parts":[["2022",2,15]]}}}],"schema":"https://github.com/citation-style-language/schema/raw/master/csl-citation.json"} </w:instrText>
      </w:r>
      <w:r w:rsidRPr="00086CBD">
        <w:fldChar w:fldCharType="separate"/>
      </w:r>
      <w:r w:rsidR="001C3DA6" w:rsidRPr="001C3DA6">
        <w:rPr>
          <w:rFonts w:ascii="Arial" w:cs="Arial"/>
        </w:rPr>
        <w:t>(Malone, 2022)</w:t>
      </w:r>
      <w:r w:rsidRPr="00086CBD">
        <w:fldChar w:fldCharType="end"/>
      </w:r>
      <w:r w:rsidRPr="00086CBD">
        <w:t xml:space="preserve">. The pandemic of the early 2020s made people realise the importance of free time and changed </w:t>
      </w:r>
      <w:r>
        <w:t>presumptions</w:t>
      </w:r>
      <w:r w:rsidRPr="00086CBD">
        <w:t xml:space="preserve"> that their jobs are the most important things in their lives </w:t>
      </w:r>
      <w:r w:rsidRPr="00086CBD">
        <w:fldChar w:fldCharType="begin"/>
      </w:r>
      <w:r w:rsidR="001C3DA6">
        <w:instrText xml:space="preserve"> ADDIN ZOTERO_ITEM CSL_CITATION {"citationID":"fb4ntUvG","properties":{"formattedCitation":"(Malone, 2022)","plainCitation":"(Malone, 2022)","noteIndex":0},"citationItems":[{"id":8471,"uris":["http://zotero.org/groups/4075961/items/V8PQT4KA"],"itemData":{"id":8471,"type":"webpage","container-title":"The New York Times","title":"The Future of Work Issue. The Age of Anti-Ambition.","URL":"https://www.nytimes.com/2022/02/15/magazine/anti-ambition-age.html?referrer=masthead","author":[{"family":"Malone","given":"Noreen"}],"accessed":{"date-parts":[["2022",3,15]]},"issued":{"date-parts":[["2022",2,15]]}}}],"schema":"https://github.com/citation-style-language/schema/raw/master/csl-citation.json"} </w:instrText>
      </w:r>
      <w:r w:rsidRPr="00086CBD">
        <w:fldChar w:fldCharType="separate"/>
      </w:r>
      <w:r w:rsidR="001C3DA6" w:rsidRPr="001C3DA6">
        <w:rPr>
          <w:rFonts w:ascii="Arial" w:cs="Arial"/>
        </w:rPr>
        <w:t>(Malone, 2022)</w:t>
      </w:r>
      <w:r w:rsidRPr="00086CBD">
        <w:fldChar w:fldCharType="end"/>
      </w:r>
      <w:r w:rsidRPr="00086CBD">
        <w:t>. This not only affect</w:t>
      </w:r>
      <w:r>
        <w:t>ed</w:t>
      </w:r>
      <w:r w:rsidRPr="00086CBD">
        <w:t xml:space="preserve"> workers </w:t>
      </w:r>
      <w:r>
        <w:t>on</w:t>
      </w:r>
      <w:r w:rsidRPr="00086CBD">
        <w:t xml:space="preserve"> the lower </w:t>
      </w:r>
      <w:r>
        <w:t xml:space="preserve">rungs of the </w:t>
      </w:r>
      <w:r w:rsidRPr="00086CBD">
        <w:t xml:space="preserve">ladder, but also elite lawyers, finance CEOs, or high ranking executives </w:t>
      </w:r>
      <w:r>
        <w:t>who</w:t>
      </w:r>
      <w:r w:rsidRPr="00086CBD">
        <w:t xml:space="preserve"> quit their jobs to spend more time with their families or take up new adventures </w:t>
      </w:r>
      <w:r w:rsidRPr="00086CBD">
        <w:fldChar w:fldCharType="begin"/>
      </w:r>
      <w:r w:rsidR="001C3DA6">
        <w:instrText xml:space="preserve"> ADDIN ZOTERO_ITEM CSL_CITATION {"citationID":"a1ostf0f9u0","properties":{"formattedCitation":"(Gelles, 2022)","plainCitation":"(Gelles, 2022)","noteIndex":0},"citationItems":[{"id":8470,"uris":["http://zotero.org/groups/4075961/items/RNHN7JGL"],"itemData":{"id":8470,"type":"webpage","container-title":"The New York Times","title":"Executives are quitting to spend time with family...Really","URL":"https://www.nytimes.com/2022/02/16/business/executives-quitting.html?referrer=masthead","author":[{"family":"Gelles","given":"David"}],"accessed":{"date-parts":[["2022",3,15]]},"issued":{"date-parts":[["2022",2,16]]}}}],"schema":"https://github.com/citation-style-language/schema/raw/master/csl-citation.json"} </w:instrText>
      </w:r>
      <w:r w:rsidRPr="00086CBD">
        <w:fldChar w:fldCharType="separate"/>
      </w:r>
      <w:r w:rsidR="001C3DA6" w:rsidRPr="001C3DA6">
        <w:rPr>
          <w:rFonts w:ascii="Arial" w:cs="Arial"/>
        </w:rPr>
        <w:t>(Gelles, 2022)</w:t>
      </w:r>
      <w:r w:rsidRPr="00086CBD">
        <w:fldChar w:fldCharType="end"/>
      </w:r>
      <w:r w:rsidRPr="00086CBD">
        <w:t xml:space="preserve">. In addition, the COVID-19 pandemic accelerated ‘working from home’, which </w:t>
      </w:r>
      <w:r>
        <w:t>increased</w:t>
      </w:r>
      <w:r w:rsidRPr="00086CBD">
        <w:t xml:space="preserve"> up to 60% in spring 2020, a trend that stayed and increased </w:t>
      </w:r>
      <w:r>
        <w:t>to</w:t>
      </w:r>
      <w:r w:rsidRPr="00086CBD">
        <w:t xml:space="preserve"> 2050, as employees cho</w:t>
      </w:r>
      <w:r>
        <w:t>o</w:t>
      </w:r>
      <w:r w:rsidRPr="00086CBD">
        <w:t xml:space="preserve">se to work nearly half from home as it increases their happiness and productivity </w:t>
      </w:r>
      <w:r w:rsidRPr="00086CBD">
        <w:fldChar w:fldCharType="begin"/>
      </w:r>
      <w:r w:rsidR="001C3DA6">
        <w:instrText xml:space="preserve"> ADDIN ZOTERO_ITEM CSL_CITATION {"citationID":"a2ladca0k0l","properties":{"formattedCitation":"(The Economist, 2021d)","plainCitation":"(The Economist, 2021d)","noteIndex":0},"citationItems":[{"id":8472,"uris":["http://zotero.org/groups/4075961/items/8B964LEY"],"itemData":{"id":8472,"type":"webpage","container-title":"The Economist","title":"The rise of working from home","URL":"https://www.economist.com/special-report/2021/04/08/the-rise-of-working-from-home","author":[{"family":"The Economist","given":""}],"accessed":{"date-parts":[["2022",3,15]]},"issued":{"date-parts":[["2021",4,10]]}}}],"schema":"https://github.com/citation-style-language/schema/raw/master/csl-citation.json"} </w:instrText>
      </w:r>
      <w:r w:rsidRPr="00086CBD">
        <w:fldChar w:fldCharType="separate"/>
      </w:r>
      <w:r w:rsidR="001C3DA6" w:rsidRPr="001C3DA6">
        <w:rPr>
          <w:rFonts w:ascii="Arial" w:cs="Arial"/>
        </w:rPr>
        <w:t>(The Economist, 2021d)</w:t>
      </w:r>
      <w:r w:rsidRPr="00086CBD">
        <w:fldChar w:fldCharType="end"/>
      </w:r>
      <w:r w:rsidRPr="00086CBD">
        <w:t>. Being busy is no longer trendy and employers strive for less working hours and less demanding schedules. Putting workers’ wellbeing first, companies have gradually adjusted to offering meditation and therapy sessions. In addition, making business calls illegal after working hours has only been the beginning of this new shift. This is also supported by the Millennial generation employees who</w:t>
      </w:r>
      <w:r>
        <w:t>,</w:t>
      </w:r>
      <w:r w:rsidRPr="00086CBD">
        <w:t xml:space="preserve"> especially after the pandemic, started valuing their free time and wellbeing more, abandon</w:t>
      </w:r>
      <w:r>
        <w:t>ing</w:t>
      </w:r>
      <w:r w:rsidRPr="00086CBD">
        <w:t xml:space="preserve"> cushy and stable jobs to start new businesses, requesting more flexible timing, or experimenting with new professions </w:t>
      </w:r>
      <w:r w:rsidRPr="00086CBD">
        <w:fldChar w:fldCharType="begin"/>
      </w:r>
      <w:r w:rsidR="001C3DA6">
        <w:instrText xml:space="preserve"> ADDIN ZOTERO_ITEM CSL_CITATION {"citationID":"a1abpql0gip","properties":{"formattedCitation":"(Roose, 2021)","plainCitation":"(Roose, 2021)","noteIndex":0},"citationItems":[{"id":8469,"uris":["http://zotero.org/groups/4075961/items/AHFK7HD9"],"itemData":{"id":8469,"type":"webpage","container-title":"The New York Times","title":"The Shift. Welcome to the YOLO Economy.","URL":"https://www.nytimes.com/2021/04/21/technology/welcome-to-the-yolo-economy.html","author":[{"family":"Roose","given":"Kevin"}],"accessed":{"date-parts":[["2022",3,15]]},"issued":{"date-parts":[["2021",4,21]]}}}],"schema":"https://github.com/citation-style-language/schema/raw/master/csl-citation.json"} </w:instrText>
      </w:r>
      <w:r w:rsidRPr="00086CBD">
        <w:fldChar w:fldCharType="separate"/>
      </w:r>
      <w:r w:rsidR="001C3DA6" w:rsidRPr="001C3DA6">
        <w:rPr>
          <w:rFonts w:ascii="Arial" w:cs="Arial"/>
        </w:rPr>
        <w:t>(Roose, 2021)</w:t>
      </w:r>
      <w:r w:rsidRPr="00086CBD">
        <w:fldChar w:fldCharType="end"/>
      </w:r>
      <w:r w:rsidRPr="00086CBD">
        <w:t xml:space="preserve">. </w:t>
      </w:r>
    </w:p>
    <w:p w14:paraId="68F005A4" w14:textId="626EEF3D" w:rsidR="008735FB" w:rsidRPr="00086CBD" w:rsidRDefault="008735FB" w:rsidP="008735FB">
      <w:pPr>
        <w:rPr>
          <w:i/>
          <w:iCs/>
        </w:rPr>
      </w:pPr>
      <w:r w:rsidRPr="00086CBD">
        <w:rPr>
          <w:i/>
          <w:iCs/>
        </w:rPr>
        <w:t xml:space="preserve">These developments have particularly affected regions </w:t>
      </w:r>
      <w:r>
        <w:rPr>
          <w:i/>
          <w:iCs/>
        </w:rPr>
        <w:t>with</w:t>
      </w:r>
      <w:r w:rsidRPr="00086CBD">
        <w:rPr>
          <w:i/>
          <w:iCs/>
        </w:rPr>
        <w:t xml:space="preserve"> a large share </w:t>
      </w:r>
      <w:r>
        <w:rPr>
          <w:i/>
          <w:iCs/>
        </w:rPr>
        <w:t>of</w:t>
      </w:r>
      <w:r w:rsidRPr="00086CBD">
        <w:rPr>
          <w:i/>
          <w:iCs/>
        </w:rPr>
        <w:t xml:space="preserve"> employment in services already in </w:t>
      </w:r>
      <w:r>
        <w:rPr>
          <w:i/>
          <w:iCs/>
        </w:rPr>
        <w:t xml:space="preserve">the </w:t>
      </w:r>
      <w:r w:rsidRPr="00086CBD">
        <w:rPr>
          <w:i/>
          <w:iCs/>
        </w:rPr>
        <w:t>2020s which gradually moved towards adjust</w:t>
      </w:r>
      <w:r>
        <w:rPr>
          <w:i/>
          <w:iCs/>
        </w:rPr>
        <w:t>ed</w:t>
      </w:r>
      <w:r w:rsidRPr="00086CBD">
        <w:rPr>
          <w:i/>
          <w:iCs/>
        </w:rPr>
        <w:t xml:space="preserve"> working styles. These are mainly urban areas across the Danube Region, such as Beograd, Ljubljana, Vienna</w:t>
      </w:r>
      <w:r>
        <w:rPr>
          <w:i/>
          <w:iCs/>
        </w:rPr>
        <w:t>,</w:t>
      </w:r>
      <w:r w:rsidRPr="00086CBD">
        <w:rPr>
          <w:i/>
          <w:iCs/>
        </w:rPr>
        <w:t xml:space="preserve"> Salzburg, Bratislava, Zagreb, Sarajevo, Sofia, Cluj and </w:t>
      </w:r>
      <w:r w:rsidR="00730820" w:rsidRPr="00086CBD">
        <w:rPr>
          <w:i/>
          <w:iCs/>
        </w:rPr>
        <w:t>Bucharest</w:t>
      </w:r>
      <w:r w:rsidRPr="00086CBD">
        <w:rPr>
          <w:i/>
          <w:iCs/>
        </w:rPr>
        <w:t xml:space="preserve">. </w:t>
      </w:r>
      <w:r w:rsidRPr="00086CBD">
        <w:rPr>
          <w:i/>
          <w:iCs/>
        </w:rPr>
        <w:fldChar w:fldCharType="begin"/>
      </w:r>
      <w:r w:rsidR="001C3DA6">
        <w:rPr>
          <w:i/>
          <w:iCs/>
        </w:rPr>
        <w:instrText xml:space="preserve"> ADDIN ZOTERO_ITEM CSL_CITATION {"citationID":"a27n60q2r81","properties":{"formattedCitation":"(BBSR &amp; ESPON, 2020)","plainCitation":"(BBSR &amp; ESPON, 2020)","noteIndex":0},"citationItems":[{"id":5019,"uris":["http://zotero.org/groups/21774/items/LH8PIJ6F"],"itemData":{"id":5019,"type":"book","event-place":"Berlin","publisher":"Federal Ministry fo the Interior, Building and Community","publisher-place":"Berlin","title":"Atlas for the Territorial Agenda 2030: Maps on European Territorial Development","author":[{"literal":"BBSR"},{"literal":"ESPON"}],"issued":{"date-parts":[["2020"]]}}}],"schema":"https://github.com/citation-style-language/schema/raw/master/csl-citation.json"} </w:instrText>
      </w:r>
      <w:r w:rsidRPr="00086CBD">
        <w:rPr>
          <w:i/>
          <w:iCs/>
        </w:rPr>
        <w:fldChar w:fldCharType="separate"/>
      </w:r>
      <w:r w:rsidR="001C3DA6" w:rsidRPr="001C3DA6">
        <w:rPr>
          <w:rFonts w:ascii="Arial" w:cs="Arial"/>
        </w:rPr>
        <w:t>(BBSR &amp; ESPON, 2020)</w:t>
      </w:r>
      <w:r w:rsidRPr="00086CBD">
        <w:rPr>
          <w:i/>
          <w:iCs/>
        </w:rPr>
        <w:fldChar w:fldCharType="end"/>
      </w:r>
    </w:p>
    <w:p w14:paraId="156D565D" w14:textId="5B154C5A" w:rsidR="008B5C5F" w:rsidRPr="00702488" w:rsidRDefault="008735FB" w:rsidP="008735FB">
      <w:pPr>
        <w:rPr>
          <w:i/>
          <w:iCs/>
        </w:rPr>
      </w:pPr>
      <w:r w:rsidRPr="00086CBD">
        <w:rPr>
          <w:i/>
          <w:iCs/>
        </w:rPr>
        <w:t>In addition, by 2050, citizens moved from urban areas to nearby small and medium-sized cities or rural areas to benefit from a better quality of life</w:t>
      </w:r>
      <w:r>
        <w:rPr>
          <w:i/>
          <w:iCs/>
        </w:rPr>
        <w:t>. T</w:t>
      </w:r>
      <w:r w:rsidRPr="00086CBD">
        <w:rPr>
          <w:i/>
          <w:iCs/>
        </w:rPr>
        <w:t xml:space="preserve">his has </w:t>
      </w:r>
      <w:r>
        <w:rPr>
          <w:i/>
          <w:iCs/>
        </w:rPr>
        <w:t>affected</w:t>
      </w:r>
      <w:r w:rsidRPr="00086CBD">
        <w:rPr>
          <w:i/>
          <w:iCs/>
        </w:rPr>
        <w:t xml:space="preserve"> urban</w:t>
      </w:r>
      <w:r w:rsidRPr="00973DD9">
        <w:rPr>
          <w:i/>
          <w:iCs/>
        </w:rPr>
        <w:t xml:space="preserve"> </w:t>
      </w:r>
      <w:r w:rsidRPr="00086CBD">
        <w:rPr>
          <w:i/>
          <w:iCs/>
        </w:rPr>
        <w:t>settlements, small and medium-sized cities and rural areas all over the Danube Region.</w:t>
      </w:r>
      <w:r w:rsidR="008B5C5F" w:rsidRPr="00702488">
        <w:rPr>
          <w:i/>
          <w:iCs/>
        </w:rPr>
        <w:t xml:space="preserve"> </w:t>
      </w:r>
    </w:p>
    <w:p w14:paraId="4E6392A9" w14:textId="7370A0D0" w:rsidR="00F276A7" w:rsidRPr="00086CBD" w:rsidRDefault="00F276A7" w:rsidP="00F276A7">
      <w:r w:rsidRPr="00086CBD">
        <w:rPr>
          <w:b/>
          <w:bCs/>
        </w:rPr>
        <w:t>Greening and digitalising industry</w:t>
      </w:r>
      <w:r w:rsidRPr="00086CBD">
        <w:t>. With the increase in automation</w:t>
      </w:r>
      <w:r>
        <w:t xml:space="preserve"> and</w:t>
      </w:r>
      <w:r w:rsidRPr="00086CBD">
        <w:t xml:space="preserve"> in the importance of peoples’ free time industry could not remain unaffected. Digitalisation has sparked a boom of e-commerce and online warehouses, which </w:t>
      </w:r>
      <w:r>
        <w:t>increased</w:t>
      </w:r>
      <w:r w:rsidRPr="00086CBD">
        <w:t xml:space="preserve"> even more after the COVID-19 pandemic. Online shopping has become more tailored and personalised, while online </w:t>
      </w:r>
      <w:r>
        <w:t xml:space="preserve">retailer </w:t>
      </w:r>
      <w:r w:rsidRPr="00086CBD">
        <w:t xml:space="preserve">warehouses </w:t>
      </w:r>
      <w:r>
        <w:t>quickly</w:t>
      </w:r>
      <w:r w:rsidRPr="00086CBD">
        <w:t xml:space="preserve"> and efficiently accommodate any shopping need </w:t>
      </w:r>
      <w:r w:rsidRPr="00086CBD">
        <w:fldChar w:fldCharType="begin"/>
      </w:r>
      <w:r w:rsidR="001C3DA6">
        <w:instrText xml:space="preserve"> ADDIN ZOTERO_ITEM CSL_CITATION {"citationID":"Xihe9nWx","properties":{"formattedCitation":"(European Commission, 2019a)","plainCitation":"(European Commission, 2019a)","noteIndex":0},"citationItems":[{"id":635,"uris":["http://zotero.org/groups/21774/items/MHD3I4GR"],"itemData":{"id":635,"type":"report","title":"AI. The future of work? work of the future! On how artificial intelligence, robotics and automation are transforming jobs and the economy in Europe.","author":[{"family":"European Commission","given":""}],"issued":{"date-parts":[["2019",4,30]]}}}],"schema":"https://github.com/citation-style-language/schema/raw/master/csl-citation.json"} </w:instrText>
      </w:r>
      <w:r w:rsidRPr="00086CBD">
        <w:fldChar w:fldCharType="separate"/>
      </w:r>
      <w:r w:rsidR="001C3DA6" w:rsidRPr="001C3DA6">
        <w:rPr>
          <w:rFonts w:ascii="Arial" w:cs="Arial"/>
        </w:rPr>
        <w:t>(European Commission, 2019a)</w:t>
      </w:r>
      <w:r w:rsidRPr="00086CBD">
        <w:fldChar w:fldCharType="end"/>
      </w:r>
      <w:r w:rsidRPr="00086CBD">
        <w:t xml:space="preserve">. This has had direct implications </w:t>
      </w:r>
      <w:r>
        <w:t>on</w:t>
      </w:r>
      <w:r w:rsidRPr="00086CBD">
        <w:t xml:space="preserve"> smaller brick</w:t>
      </w:r>
      <w:r>
        <w:t>s</w:t>
      </w:r>
      <w:r w:rsidRPr="00086CBD">
        <w:t xml:space="preserve">-and-mortar retailers and local shops, as they had to adjust to these new developments or </w:t>
      </w:r>
      <w:r>
        <w:t>close</w:t>
      </w:r>
      <w:r w:rsidRPr="00086CBD">
        <w:t xml:space="preserve">. </w:t>
      </w:r>
      <w:r>
        <w:t>D</w:t>
      </w:r>
      <w:r w:rsidRPr="00086CBD">
        <w:t xml:space="preserve">igital platforms have allowed consumers to buy </w:t>
      </w:r>
      <w:r>
        <w:t xml:space="preserve">things </w:t>
      </w:r>
      <w:r w:rsidRPr="00086CBD">
        <w:t xml:space="preserve">faster and easier and have </w:t>
      </w:r>
      <w:r>
        <w:t>them</w:t>
      </w:r>
      <w:r w:rsidRPr="00086CBD">
        <w:t xml:space="preserve"> delivered. At the same time</w:t>
      </w:r>
      <w:r w:rsidRPr="00D21D10">
        <w:t xml:space="preserve"> </w:t>
      </w:r>
      <w:r w:rsidRPr="00086CBD">
        <w:t xml:space="preserve">by 2050, technology serves the sustainability values of people in the Danube Region. Greening production through circular economy practices and improved better waste management have become </w:t>
      </w:r>
      <w:r>
        <w:t>the</w:t>
      </w:r>
      <w:r w:rsidRPr="00086CBD">
        <w:t xml:space="preserve"> norm. Certainly green-washing </w:t>
      </w:r>
      <w:r>
        <w:t>is</w:t>
      </w:r>
      <w:r w:rsidRPr="00086CBD">
        <w:t xml:space="preserve"> unavoidable, putting at risk all the environmental efforts that have been taken place so far. For this, Pigouvian taxes</w:t>
      </w:r>
      <w:r w:rsidR="009B4D45" w:rsidRPr="00F54737">
        <w:rPr>
          <w:rStyle w:val="FootnoteReference"/>
        </w:rPr>
        <w:footnoteReference w:id="4"/>
      </w:r>
      <w:r w:rsidRPr="00086CBD">
        <w:t xml:space="preserve"> have been applied to avoid tricking the system.</w:t>
      </w:r>
    </w:p>
    <w:p w14:paraId="5FDC6A8D" w14:textId="4296200C" w:rsidR="008670C0" w:rsidRPr="00702488" w:rsidRDefault="00F276A7" w:rsidP="006006AC">
      <w:pPr>
        <w:rPr>
          <w:i/>
          <w:iCs/>
        </w:rPr>
      </w:pPr>
      <w:r>
        <w:rPr>
          <w:i/>
          <w:iCs/>
        </w:rPr>
        <w:t>Internet</w:t>
      </w:r>
      <w:r w:rsidRPr="00086CBD">
        <w:rPr>
          <w:i/>
          <w:iCs/>
        </w:rPr>
        <w:t xml:space="preserve"> use for purchases is a good indication </w:t>
      </w:r>
      <w:r>
        <w:rPr>
          <w:i/>
          <w:iCs/>
        </w:rPr>
        <w:t>of</w:t>
      </w:r>
      <w:r w:rsidRPr="00086CBD">
        <w:rPr>
          <w:i/>
          <w:iCs/>
        </w:rPr>
        <w:t xml:space="preserve"> places that lead </w:t>
      </w:r>
      <w:r>
        <w:rPr>
          <w:i/>
          <w:iCs/>
        </w:rPr>
        <w:t>the</w:t>
      </w:r>
      <w:r w:rsidRPr="00086CBD">
        <w:rPr>
          <w:i/>
          <w:iCs/>
        </w:rPr>
        <w:t xml:space="preserve"> shift towards e-commerce and online shopping. This can relate to both purchasing </w:t>
      </w:r>
      <w:r>
        <w:rPr>
          <w:i/>
          <w:iCs/>
        </w:rPr>
        <w:t>and</w:t>
      </w:r>
      <w:r w:rsidRPr="00086CBD">
        <w:rPr>
          <w:i/>
          <w:iCs/>
        </w:rPr>
        <w:t xml:space="preserve"> selling goods or services. For regions already </w:t>
      </w:r>
      <w:r>
        <w:rPr>
          <w:i/>
          <w:iCs/>
        </w:rPr>
        <w:t>used to</w:t>
      </w:r>
      <w:r w:rsidRPr="00086CBD">
        <w:rPr>
          <w:i/>
          <w:iCs/>
        </w:rPr>
        <w:t xml:space="preserve"> purchasing online from </w:t>
      </w:r>
      <w:r>
        <w:rPr>
          <w:i/>
          <w:iCs/>
        </w:rPr>
        <w:t xml:space="preserve">the </w:t>
      </w:r>
      <w:r w:rsidRPr="00086CBD">
        <w:rPr>
          <w:i/>
          <w:iCs/>
        </w:rPr>
        <w:t xml:space="preserve">2010s, the shift has been easy by 2050, e.g. most regions in Austria, south Germany, east Hungary and the Budapest area, </w:t>
      </w:r>
      <w:r>
        <w:rPr>
          <w:i/>
          <w:iCs/>
        </w:rPr>
        <w:t xml:space="preserve">as well as </w:t>
      </w:r>
      <w:r w:rsidRPr="00086CBD">
        <w:rPr>
          <w:i/>
          <w:iCs/>
        </w:rPr>
        <w:t xml:space="preserve">regions in Slovenia. At the same time, regions </w:t>
      </w:r>
      <w:r>
        <w:rPr>
          <w:i/>
          <w:iCs/>
        </w:rPr>
        <w:t>with</w:t>
      </w:r>
      <w:r w:rsidRPr="00086CBD">
        <w:rPr>
          <w:i/>
          <w:iCs/>
        </w:rPr>
        <w:t xml:space="preserve"> low </w:t>
      </w:r>
      <w:r>
        <w:rPr>
          <w:i/>
          <w:iCs/>
        </w:rPr>
        <w:t>internet sales were</w:t>
      </w:r>
      <w:r w:rsidRPr="00086CBD">
        <w:rPr>
          <w:i/>
          <w:iCs/>
        </w:rPr>
        <w:t xml:space="preserve"> mainly in the east part of the Danube Region, in Romania and Bulgaria, </w:t>
      </w:r>
      <w:r>
        <w:rPr>
          <w:i/>
          <w:iCs/>
        </w:rPr>
        <w:t xml:space="preserve">while </w:t>
      </w:r>
      <w:r w:rsidRPr="00086CBD">
        <w:rPr>
          <w:i/>
          <w:iCs/>
        </w:rPr>
        <w:t>parts of Serbia could leapfrog by 2050</w:t>
      </w:r>
      <w:r>
        <w:rPr>
          <w:i/>
          <w:iCs/>
        </w:rPr>
        <w:t xml:space="preserve"> </w:t>
      </w:r>
      <w:r w:rsidRPr="00086CBD">
        <w:rPr>
          <w:i/>
          <w:iCs/>
        </w:rPr>
        <w:t xml:space="preserve">with adequate policies. </w:t>
      </w:r>
      <w:r w:rsidRPr="00086CBD">
        <w:rPr>
          <w:i/>
          <w:iCs/>
        </w:rPr>
        <w:fldChar w:fldCharType="begin"/>
      </w:r>
      <w:r w:rsidR="001C3DA6">
        <w:rPr>
          <w:i/>
          <w:iCs/>
        </w:rPr>
        <w:instrText xml:space="preserve"> ADDIN ZOTERO_ITEM CSL_CITATION {"citationID":"VZ33nPy7","properties":{"formattedCitation":"(BBSR &amp; ESPON, 2020)","plainCitation":"(BBSR &amp; ESPON, 2020)","noteIndex":0},"citationItems":[{"id":5019,"uris":["http://zotero.org/groups/21774/items/LH8PIJ6F"],"itemData":{"id":5019,"type":"book","event-place":"Berlin","publisher":"Federal Ministry fo the Interior, Building and Community","publisher-place":"Berlin","title":"Atlas for the Territorial Agenda 2030: Maps on European Territorial Development","author":[{"literal":"BBSR"},{"literal":"ESPON"}],"issued":{"date-parts":[["2020"]]}}}],"schema":"https://github.com/citation-style-language/schema/raw/master/csl-citation.json"} </w:instrText>
      </w:r>
      <w:r w:rsidRPr="00086CBD">
        <w:rPr>
          <w:i/>
          <w:iCs/>
        </w:rPr>
        <w:fldChar w:fldCharType="separate"/>
      </w:r>
      <w:r w:rsidR="001C3DA6" w:rsidRPr="001C3DA6">
        <w:rPr>
          <w:rFonts w:ascii="Arial" w:cs="Arial"/>
        </w:rPr>
        <w:t>(BBSR &amp; ESPON, 2020)</w:t>
      </w:r>
      <w:r w:rsidRPr="00086CBD">
        <w:rPr>
          <w:i/>
          <w:iCs/>
        </w:rPr>
        <w:fldChar w:fldCharType="end"/>
      </w:r>
    </w:p>
    <w:p w14:paraId="4AB5B4D5" w14:textId="77777777" w:rsidR="00ED5517" w:rsidRDefault="00ED5517" w:rsidP="00ED5517">
      <w:pPr>
        <w:shd w:val="clear" w:color="auto" w:fill="D9D9D9" w:themeFill="background1" w:themeFillShade="D9"/>
        <w:rPr>
          <w:b/>
          <w:bCs/>
        </w:rPr>
      </w:pPr>
      <w:r>
        <w:rPr>
          <w:b/>
          <w:bCs/>
        </w:rPr>
        <w:t>Terristory: Upskilling for a European industry – Vojvodina 2050</w:t>
      </w:r>
    </w:p>
    <w:p w14:paraId="76F0690A" w14:textId="37E72985" w:rsidR="009E2DFE" w:rsidRPr="002E3436" w:rsidRDefault="00ED5517" w:rsidP="00ED5517">
      <w:pPr>
        <w:shd w:val="clear" w:color="auto" w:fill="D9D9D9" w:themeFill="background1" w:themeFillShade="D9"/>
      </w:pPr>
      <w:r w:rsidRPr="002E3436">
        <w:t xml:space="preserve">Vojvodina had reached its limits in work-intensive growth. Policymakers have realised the need for a shift </w:t>
      </w:r>
      <w:r>
        <w:t>--</w:t>
      </w:r>
      <w:r w:rsidRPr="002E3436">
        <w:t>from quantitative growth and economic figures to smart, inclusive and sustainable growth and social fabric. More attention is now paid on the new engines of industrial growth: the people and the improvement of their skills and well-being. In order to gain a new impetus middle-sized towns have been developed in a comprehensive way. A more polycentric network of industry has been formulating involving cities such as Subotica or Sombor. These urban centres now have the potentials and the economic will to shift to a knowledge-intensive industry. Gradual shift has occurred: instead of just waiting for FDI for assembly plants complex actions are taken to support upskilling to reach a European-level smarter industry.</w:t>
      </w:r>
    </w:p>
    <w:p w14:paraId="26985A89" w14:textId="77777777" w:rsidR="00DD1998" w:rsidRPr="00086CBD" w:rsidRDefault="00DD1998" w:rsidP="00DD1998">
      <w:r w:rsidRPr="00086CBD">
        <w:rPr>
          <w:b/>
          <w:bCs/>
        </w:rPr>
        <w:t>Share, repair and care</w:t>
      </w:r>
      <w:r w:rsidRPr="00086CBD">
        <w:t>. This shift towards more sustainability is not only reflected in the way businesses operate, but also in the way people behave. People’s mindset in the Danube Region has gradually shifted towards abandoning the linear economic system of ‘take-make-waste’ towards a more circular approach of reuse-recycle-repair. This has been supported by stronger policies but also by citizens themselves, wh</w:t>
      </w:r>
      <w:r>
        <w:t>o</w:t>
      </w:r>
      <w:r w:rsidRPr="00086CBD">
        <w:t xml:space="preserve"> have seen the benefits of </w:t>
      </w:r>
      <w:r>
        <w:t xml:space="preserve">the </w:t>
      </w:r>
      <w:r w:rsidRPr="00086CBD">
        <w:t xml:space="preserve">circular economy over time. In addition, increased digitalisation has allowed people to organise themselves in online platforms for car, tool </w:t>
      </w:r>
      <w:r>
        <w:t>and</w:t>
      </w:r>
      <w:r w:rsidRPr="00086CBD">
        <w:t xml:space="preserve"> expertise sharing. Exchanging, particular</w:t>
      </w:r>
      <w:r>
        <w:t>ly</w:t>
      </w:r>
      <w:r w:rsidRPr="00086CBD">
        <w:t xml:space="preserve"> at neighbourhood and local level has le</w:t>
      </w:r>
      <w:r>
        <w:t>d</w:t>
      </w:r>
      <w:r w:rsidRPr="00086CBD">
        <w:t xml:space="preserve"> to a more mindful use of resources and a stronger community feeling </w:t>
      </w:r>
      <w:r>
        <w:t>among</w:t>
      </w:r>
      <w:r w:rsidRPr="00086CBD">
        <w:t xml:space="preserve"> citizens. </w:t>
      </w:r>
    </w:p>
    <w:p w14:paraId="5491098D" w14:textId="60B3F8BB" w:rsidR="0078086C" w:rsidRPr="00702488" w:rsidRDefault="00DD1998" w:rsidP="00DD1998">
      <w:pPr>
        <w:rPr>
          <w:i/>
          <w:iCs/>
        </w:rPr>
      </w:pPr>
      <w:r w:rsidRPr="00086CBD">
        <w:rPr>
          <w:i/>
          <w:iCs/>
        </w:rPr>
        <w:t xml:space="preserve">The use of collaborative economy platforms where people can organise themselves is an indication of a sharing economy. </w:t>
      </w:r>
      <w:r>
        <w:rPr>
          <w:i/>
          <w:iCs/>
        </w:rPr>
        <w:t>R</w:t>
      </w:r>
      <w:r w:rsidRPr="00086CBD">
        <w:rPr>
          <w:i/>
          <w:iCs/>
        </w:rPr>
        <w:t xml:space="preserve">egions already aware of such platforms in the 2010s </w:t>
      </w:r>
      <w:r>
        <w:rPr>
          <w:i/>
          <w:iCs/>
        </w:rPr>
        <w:t>could already</w:t>
      </w:r>
      <w:r w:rsidRPr="00086CBD">
        <w:rPr>
          <w:i/>
          <w:iCs/>
        </w:rPr>
        <w:t xml:space="preserve"> mov</w:t>
      </w:r>
      <w:r>
        <w:rPr>
          <w:i/>
          <w:iCs/>
        </w:rPr>
        <w:t>e</w:t>
      </w:r>
      <w:r w:rsidRPr="00086CBD">
        <w:rPr>
          <w:i/>
          <w:iCs/>
        </w:rPr>
        <w:t xml:space="preserve"> to a more sharing economy. In the Danube Region, </w:t>
      </w:r>
      <w:r>
        <w:rPr>
          <w:i/>
          <w:iCs/>
        </w:rPr>
        <w:t>these included regions in</w:t>
      </w:r>
      <w:r w:rsidRPr="00086CBD">
        <w:rPr>
          <w:i/>
          <w:iCs/>
        </w:rPr>
        <w:t xml:space="preserve"> Austria, Czech</w:t>
      </w:r>
      <w:r>
        <w:rPr>
          <w:i/>
          <w:iCs/>
        </w:rPr>
        <w:t>ia and</w:t>
      </w:r>
      <w:r w:rsidRPr="00086CBD">
        <w:rPr>
          <w:i/>
          <w:iCs/>
        </w:rPr>
        <w:t xml:space="preserve"> Hungary. </w:t>
      </w:r>
      <w:r w:rsidRPr="00086CBD">
        <w:rPr>
          <w:i/>
          <w:iCs/>
        </w:rPr>
        <w:fldChar w:fldCharType="begin"/>
      </w:r>
      <w:r w:rsidR="001C3DA6">
        <w:rPr>
          <w:i/>
          <w:iCs/>
        </w:rPr>
        <w:instrText xml:space="preserve"> ADDIN ZOTERO_ITEM CSL_CITATION {"citationID":"a1r6oke3t23","properties":{"formattedCitation":"(European Commission DG COMM, 2016)","plainCitation":"(European Commission DG COMM, 2016)","noteIndex":0},"citationItems":[{"id":3154,"uris":["http://zotero.org/groups/21774/items/4XRHZ6EH"],"itemData":{"id":3154,"type":"report","collection-title":"Flash Eurobarometer","event-place":"Brussels","number":"438 - March 2016","publisher-place":"Brussels","title":"The use of collaborative platforms","author":[{"literal":"European Commission DG COMM"}],"issued":{"date-parts":[["2016"]]}}}],"schema":"https://github.com/citation-style-language/schema/raw/master/csl-citation.json"} </w:instrText>
      </w:r>
      <w:r w:rsidRPr="00086CBD">
        <w:rPr>
          <w:i/>
          <w:iCs/>
        </w:rPr>
        <w:fldChar w:fldCharType="separate"/>
      </w:r>
      <w:r w:rsidR="001C3DA6" w:rsidRPr="001C3DA6">
        <w:rPr>
          <w:rFonts w:ascii="Arial" w:cs="Arial"/>
        </w:rPr>
        <w:t>(European Commission DG COMM, 2016)</w:t>
      </w:r>
      <w:r w:rsidRPr="00086CBD">
        <w:rPr>
          <w:i/>
          <w:iCs/>
        </w:rPr>
        <w:fldChar w:fldCharType="end"/>
      </w:r>
    </w:p>
    <w:p w14:paraId="377FD373" w14:textId="6ECEABE1" w:rsidR="0071689D" w:rsidRPr="00086CBD" w:rsidRDefault="0071689D" w:rsidP="0071689D">
      <w:r w:rsidRPr="00086CBD">
        <w:rPr>
          <w:b/>
          <w:bCs/>
        </w:rPr>
        <w:t>Carbon neutrality: zero emission</w:t>
      </w:r>
      <w:r>
        <w:rPr>
          <w:b/>
          <w:bCs/>
        </w:rPr>
        <w:t>s</w:t>
      </w:r>
      <w:r w:rsidRPr="00086CBD">
        <w:rPr>
          <w:b/>
          <w:bCs/>
        </w:rPr>
        <w:t xml:space="preserve"> possible</w:t>
      </w:r>
      <w:r w:rsidRPr="00086CBD">
        <w:t xml:space="preserve">. External factors, such as increased tensions in the neighbourhood of the Danube Region in 2022 has rung the alarm bell for the need </w:t>
      </w:r>
      <w:r>
        <w:t>for a</w:t>
      </w:r>
      <w:r w:rsidRPr="00086CBD">
        <w:t xml:space="preserve"> new, more efficient and less dependent energy system. Having the Green Deal as </w:t>
      </w:r>
      <w:r>
        <w:t xml:space="preserve">an </w:t>
      </w:r>
      <w:r w:rsidRPr="00086CBD">
        <w:t xml:space="preserve">overall policy compass and building </w:t>
      </w:r>
      <w:r>
        <w:t>on the</w:t>
      </w:r>
      <w:r w:rsidRPr="00086CBD">
        <w:t xml:space="preserve"> EU’s strategic economy, resulted in </w:t>
      </w:r>
      <w:r>
        <w:t xml:space="preserve">the </w:t>
      </w:r>
      <w:r w:rsidRPr="00086CBD">
        <w:t>EU leading the way towards carbon neutrality, the new ‘REPowe</w:t>
      </w:r>
      <w:r>
        <w:t>r</w:t>
      </w:r>
      <w:r w:rsidRPr="00086CBD">
        <w:t>EU’ plan of the 2020s has born</w:t>
      </w:r>
      <w:r>
        <w:t>e</w:t>
      </w:r>
      <w:r w:rsidRPr="00086CBD">
        <w:t xml:space="preserve"> fruit </w:t>
      </w:r>
      <w:r w:rsidRPr="00086CBD">
        <w:fldChar w:fldCharType="begin"/>
      </w:r>
      <w:r w:rsidR="001C3DA6">
        <w:instrText xml:space="preserve"> ADDIN ZOTERO_ITEM CSL_CITATION {"citationID":"al9natsvf0","properties":{"formattedCitation":"(European Commission, 2022)","plainCitation":"(European Commission, 2022)","noteIndex":0},"citationItems":[{"id":8473,"uris":["http://zotero.org/groups/4075961/items/5494SJP8"],"itemData":{"id":8473,"type":"document","title":"Communication from the Commission to the European Parliament, the European Council, the Council, the European Economic and Social Committee and the Committee of the Regions. REPowerEU: Joint European Action for more affordable, secure and sustainable energy. COM(2022) 108 final","author":[{"family":"European Commission","given":""}],"issued":{"date-parts":[["2022",3,8]]}}}],"schema":"https://github.com/citation-style-language/schema/raw/master/csl-citation.json"} </w:instrText>
      </w:r>
      <w:r w:rsidRPr="00086CBD">
        <w:fldChar w:fldCharType="separate"/>
      </w:r>
      <w:r w:rsidR="001C3DA6" w:rsidRPr="001C3DA6">
        <w:rPr>
          <w:rFonts w:ascii="Arial" w:cs="Arial"/>
        </w:rPr>
        <w:t>(European Commission, 2022)</w:t>
      </w:r>
      <w:r w:rsidRPr="00086CBD">
        <w:fldChar w:fldCharType="end"/>
      </w:r>
      <w:r w:rsidRPr="00086CBD">
        <w:t>. The long-lasting dependency of the EU on Russian oil and gas has been replaced with a rapid transition towards clean energy and less coal dependency. Uncertainties posed by fluctuating</w:t>
      </w:r>
      <w:r>
        <w:t xml:space="preserve"> and</w:t>
      </w:r>
      <w:r w:rsidRPr="00086CBD">
        <w:t xml:space="preserve"> high energy prices during the 2020s </w:t>
      </w:r>
      <w:r>
        <w:t>spurred</w:t>
      </w:r>
      <w:r w:rsidRPr="00086CBD">
        <w:t xml:space="preserve"> </w:t>
      </w:r>
      <w:r>
        <w:t xml:space="preserve">the </w:t>
      </w:r>
      <w:r w:rsidRPr="00086CBD">
        <w:t>green transition. The EU has revived its gas storage policy through infrastructure</w:t>
      </w:r>
      <w:r>
        <w:t xml:space="preserve"> and</w:t>
      </w:r>
      <w:r w:rsidRPr="00086CBD">
        <w:t xml:space="preserve"> phased out </w:t>
      </w:r>
      <w:r>
        <w:t>its</w:t>
      </w:r>
      <w:r w:rsidRPr="00086CBD">
        <w:t xml:space="preserve"> dependence on fossil fuels, in most cases before 2030 </w:t>
      </w:r>
      <w:r w:rsidRPr="00086CBD">
        <w:fldChar w:fldCharType="begin"/>
      </w:r>
      <w:r w:rsidR="001C3DA6">
        <w:instrText xml:space="preserve"> ADDIN ZOTERO_ITEM CSL_CITATION {"citationID":"8O4gRD2L","properties":{"formattedCitation":"(European Commission, 2022)","plainCitation":"(European Commission, 2022)","noteIndex":0},"citationItems":[{"id":8473,"uris":["http://zotero.org/groups/4075961/items/5494SJP8"],"itemData":{"id":8473,"type":"document","title":"Communication from the Commission to the European Parliament, the European Council, the Council, the European Economic and Social Committee and the Committee of the Regions. REPowerEU: Joint European Action for more affordable, secure and sustainable energy. COM(2022) 108 final","author":[{"family":"European Commission","given":""}],"issued":{"date-parts":[["2022",3,8]]}}}],"schema":"https://github.com/citation-style-language/schema/raw/master/csl-citation.json"} </w:instrText>
      </w:r>
      <w:r w:rsidRPr="00086CBD">
        <w:fldChar w:fldCharType="separate"/>
      </w:r>
      <w:r w:rsidR="001C3DA6" w:rsidRPr="001C3DA6">
        <w:rPr>
          <w:rFonts w:ascii="Arial" w:cs="Arial"/>
        </w:rPr>
        <w:t>(European Commission, 2022)</w:t>
      </w:r>
      <w:r w:rsidRPr="00086CBD">
        <w:fldChar w:fldCharType="end"/>
      </w:r>
      <w:r w:rsidRPr="00086CBD">
        <w:t xml:space="preserve">. By diversifying gas supplies and reducing this dependence it </w:t>
      </w:r>
      <w:r>
        <w:t>was</w:t>
      </w:r>
      <w:r w:rsidRPr="00086CBD">
        <w:t xml:space="preserve"> possible to realise the Green Deal goals</w:t>
      </w:r>
      <w:r w:rsidRPr="00500995">
        <w:t xml:space="preserve"> </w:t>
      </w:r>
      <w:r w:rsidRPr="00086CBD">
        <w:t xml:space="preserve">faster. At the same time, strategic autonomy allowed </w:t>
      </w:r>
      <w:r>
        <w:t xml:space="preserve">the EU </w:t>
      </w:r>
      <w:r w:rsidRPr="00086CBD">
        <w:t>to easily diversify its gas supplies</w:t>
      </w:r>
      <w:r>
        <w:t xml:space="preserve"> and</w:t>
      </w:r>
      <w:r w:rsidRPr="00086CBD">
        <w:t xml:space="preserve"> accelerate hydrogen power. Increased investments in renewable energies </w:t>
      </w:r>
      <w:r>
        <w:t>were</w:t>
      </w:r>
      <w:r w:rsidRPr="00086CBD">
        <w:t xml:space="preserve"> also put in place during the 2030s, further diversifying energy </w:t>
      </w:r>
      <w:r>
        <w:t>sources</w:t>
      </w:r>
      <w:r w:rsidRPr="00086CBD">
        <w:t xml:space="preserve">. </w:t>
      </w:r>
      <w:r w:rsidRPr="00086CBD">
        <w:fldChar w:fldCharType="begin"/>
      </w:r>
      <w:r w:rsidR="001C3DA6">
        <w:instrText xml:space="preserve"> ADDIN ZOTERO_ITEM CSL_CITATION {"citationID":"r5G8Fqta","properties":{"formattedCitation":"(European Commission, 2022)","plainCitation":"(European Commission, 2022)","noteIndex":0},"citationItems":[{"id":8473,"uris":["http://zotero.org/groups/4075961/items/5494SJP8"],"itemData":{"id":8473,"type":"document","title":"Communication from the Commission to the European Parliament, the European Council, the Council, the European Economic and Social Committee and the Committee of the Regions. REPowerEU: Joint European Action for more affordable, secure and sustainable energy. COM(2022) 108 final","author":[{"family":"European Commission","given":""}],"issued":{"date-parts":[["2022",3,8]]}}}],"schema":"https://github.com/citation-style-language/schema/raw/master/csl-citation.json"} </w:instrText>
      </w:r>
      <w:r w:rsidRPr="00086CBD">
        <w:fldChar w:fldCharType="separate"/>
      </w:r>
      <w:r w:rsidR="001C3DA6" w:rsidRPr="001C3DA6">
        <w:rPr>
          <w:rFonts w:ascii="Arial" w:cs="Arial"/>
        </w:rPr>
        <w:t>(European Commission, 2022)</w:t>
      </w:r>
      <w:r w:rsidRPr="00086CBD">
        <w:fldChar w:fldCharType="end"/>
      </w:r>
    </w:p>
    <w:p w14:paraId="3DDFAE4E" w14:textId="6CEDCA11" w:rsidR="0071689D" w:rsidRPr="00086CBD" w:rsidRDefault="0071689D" w:rsidP="0071689D">
      <w:r w:rsidRPr="00086CBD">
        <w:t xml:space="preserve">In addition, until around the 2030s, energy production in the Danube Region </w:t>
      </w:r>
      <w:r>
        <w:t>w</w:t>
      </w:r>
      <w:r w:rsidRPr="00086CBD">
        <w:t>as largely based on hydropower. In the 2020s</w:t>
      </w:r>
      <w:r>
        <w:t>,</w:t>
      </w:r>
      <w:r w:rsidRPr="00086CBD">
        <w:t xml:space="preserve"> 59 dams used to produce about 60% of the</w:t>
      </w:r>
      <w:r>
        <w:t xml:space="preserve"> region’s</w:t>
      </w:r>
      <w:r w:rsidRPr="00086CBD">
        <w:t xml:space="preserve"> electricity </w:t>
      </w:r>
      <w:r w:rsidRPr="00086CBD">
        <w:fldChar w:fldCharType="begin"/>
      </w:r>
      <w:r w:rsidR="001C3DA6">
        <w:instrText xml:space="preserve"> ADDIN ZOTERO_ITEM CSL_CITATION {"citationID":"a70sdgjceb","properties":{"formattedCitation":"(Bachmann, 2010)","plainCitation":"(Bachmann, 2010)","noteIndex":0},"citationItems":[{"id":8480,"uris":["http://zotero.org/groups/4075961/items/4CYH64VD"],"itemData":{"id":8480,"type":"webpage","container-title":"ICPDR","title":"Power from the Danube - can it be sustainable?","URL":"https://www.icpdr.org/main/publications/power-danube-can-it-be-sustainable","author":[{"family":"Bachmann","given":"Jasmine"}],"issued":{"date-parts":[["2010"]]}}}],"schema":"https://github.com/citation-style-language/schema/raw/master/csl-citation.json"} </w:instrText>
      </w:r>
      <w:r w:rsidRPr="00086CBD">
        <w:fldChar w:fldCharType="separate"/>
      </w:r>
      <w:r w:rsidR="001C3DA6" w:rsidRPr="001C3DA6">
        <w:rPr>
          <w:rFonts w:ascii="Arial" w:cs="Arial"/>
        </w:rPr>
        <w:t>(Bachmann, 2010)</w:t>
      </w:r>
      <w:r w:rsidRPr="00086CBD">
        <w:fldChar w:fldCharType="end"/>
      </w:r>
      <w:r w:rsidRPr="00086CBD">
        <w:t>. Although hydropower has long been considered a climate friendly energy source, as it produces limited CO2 emissions, discussions during the 2020s were raised about its sustainability. The dams interrupt the river, while new hydropower plants may cause hydromorphological alterations with negative consequences to river habitats, disconnecti</w:t>
      </w:r>
      <w:r>
        <w:t>ng</w:t>
      </w:r>
      <w:r w:rsidRPr="00086CBD">
        <w:t xml:space="preserve"> wetlands and floodplains or even alter</w:t>
      </w:r>
      <w:r>
        <w:t>ing</w:t>
      </w:r>
      <w:r w:rsidRPr="00086CBD">
        <w:t xml:space="preserve"> the river’s characteristics </w:t>
      </w:r>
      <w:r>
        <w:t xml:space="preserve">and </w:t>
      </w:r>
      <w:r w:rsidRPr="00086CBD">
        <w:t xml:space="preserve">influencing fish migration routes </w:t>
      </w:r>
      <w:r w:rsidRPr="00086CBD">
        <w:fldChar w:fldCharType="begin"/>
      </w:r>
      <w:r w:rsidR="001C3DA6">
        <w:instrText xml:space="preserve"> ADDIN ZOTERO_ITEM CSL_CITATION {"citationID":"PjGQUKcX","properties":{"formattedCitation":"(Bachmann, 2010)","plainCitation":"(Bachmann, 2010)","noteIndex":0},"citationItems":[{"id":8480,"uris":["http://zotero.org/groups/4075961/items/4CYH64VD"],"itemData":{"id":8480,"type":"webpage","container-title":"ICPDR","title":"Power from the Danube - can it be sustainable?","URL":"https://www.icpdr.org/main/publications/power-danube-can-it-be-sustainable","author":[{"family":"Bachmann","given":"Jasmine"}],"issued":{"date-parts":[["2010"]]}}}],"schema":"https://github.com/citation-style-language/schema/raw/master/csl-citation.json"} </w:instrText>
      </w:r>
      <w:r w:rsidRPr="00086CBD">
        <w:fldChar w:fldCharType="separate"/>
      </w:r>
      <w:r w:rsidR="001C3DA6" w:rsidRPr="001C3DA6">
        <w:rPr>
          <w:rFonts w:ascii="Arial" w:cs="Arial"/>
        </w:rPr>
        <w:t>(Bachmann, 2010)</w:t>
      </w:r>
      <w:r w:rsidRPr="00086CBD">
        <w:fldChar w:fldCharType="end"/>
      </w:r>
      <w:r w:rsidRPr="00086CBD">
        <w:t xml:space="preserve">. </w:t>
      </w:r>
      <w:r>
        <w:t>In addition to</w:t>
      </w:r>
      <w:r w:rsidRPr="00086CBD">
        <w:t xml:space="preserve"> EU </w:t>
      </w:r>
      <w:r>
        <w:t xml:space="preserve">level </w:t>
      </w:r>
      <w:r w:rsidRPr="00086CBD">
        <w:t xml:space="preserve">initiatives, Danube Region initiatives </w:t>
      </w:r>
      <w:r>
        <w:t>included</w:t>
      </w:r>
      <w:r w:rsidRPr="00086CBD">
        <w:t xml:space="preserve"> constructing green energy and logistic belts across the </w:t>
      </w:r>
      <w:r>
        <w:t>region</w:t>
      </w:r>
      <w:r w:rsidRPr="00086CBD">
        <w:t xml:space="preserve"> </w:t>
      </w:r>
      <w:r w:rsidRPr="00086CBD">
        <w:fldChar w:fldCharType="begin"/>
      </w:r>
      <w:r w:rsidR="001C3DA6">
        <w:instrText xml:space="preserve"> ADDIN ZOTERO_ITEM CSL_CITATION {"citationID":"am7utmpn6i","properties":{"formattedCitation":"(Interreg Danube, 2017)","plainCitation":"(Interreg Danube, 2017)","noteIndex":0},"citationItems":[{"id":8481,"uris":["http://zotero.org/groups/4075961/items/UQEHUNM9"],"itemData":{"id":8481,"type":"webpage","title":"Energy Barge. Building a Green Energy and Logistics Belt","URL":"https://www.interreg-danube.eu/approved-projects/energy-barge","author":[{"family":"Interreg Danube","given":""}],"issued":{"date-parts":[["2017"]],"season":"2019"}}}],"schema":"https://github.com/citation-style-language/schema/raw/master/csl-citation.json"} </w:instrText>
      </w:r>
      <w:r w:rsidRPr="00086CBD">
        <w:fldChar w:fldCharType="separate"/>
      </w:r>
      <w:r w:rsidR="001C3DA6" w:rsidRPr="001C3DA6">
        <w:rPr>
          <w:rFonts w:ascii="Arial" w:cs="Arial"/>
        </w:rPr>
        <w:t>(Interreg Danube, 2017)</w:t>
      </w:r>
      <w:r w:rsidRPr="00086CBD">
        <w:fldChar w:fldCharType="end"/>
      </w:r>
      <w:r w:rsidRPr="00086CBD">
        <w:t>, focusing on bioenergy, which has been a major renewable energy</w:t>
      </w:r>
      <w:r>
        <w:t xml:space="preserve"> source</w:t>
      </w:r>
      <w:r w:rsidRPr="00086CBD">
        <w:t xml:space="preserve">. </w:t>
      </w:r>
    </w:p>
    <w:p w14:paraId="492EC3C5" w14:textId="61D406A4" w:rsidR="0071689D" w:rsidRPr="00086CBD" w:rsidRDefault="0071689D" w:rsidP="0071689D">
      <w:pPr>
        <w:rPr>
          <w:i/>
          <w:iCs/>
        </w:rPr>
      </w:pPr>
      <w:r w:rsidRPr="00086CBD">
        <w:rPr>
          <w:i/>
          <w:iCs/>
        </w:rPr>
        <w:t xml:space="preserve">Regions </w:t>
      </w:r>
      <w:r>
        <w:rPr>
          <w:i/>
          <w:iCs/>
        </w:rPr>
        <w:t>with many</w:t>
      </w:r>
      <w:r w:rsidRPr="00086CBD">
        <w:rPr>
          <w:i/>
          <w:iCs/>
        </w:rPr>
        <w:t xml:space="preserve"> hydropower plants have been most challenged as they have been in transition to greening and reducing their environmental consequences, or shift</w:t>
      </w:r>
      <w:r>
        <w:rPr>
          <w:i/>
          <w:iCs/>
        </w:rPr>
        <w:t>ing</w:t>
      </w:r>
      <w:r w:rsidRPr="00086CBD">
        <w:rPr>
          <w:i/>
          <w:iCs/>
        </w:rPr>
        <w:t xml:space="preserve"> to more renewable energy resources. Such examples are the Djerdap Gorge (Iron Gate I and II) which is the largest in the Region, operat</w:t>
      </w:r>
      <w:r>
        <w:rPr>
          <w:i/>
          <w:iCs/>
        </w:rPr>
        <w:t>ed</w:t>
      </w:r>
      <w:r w:rsidRPr="00086CBD">
        <w:rPr>
          <w:i/>
          <w:iCs/>
        </w:rPr>
        <w:t xml:space="preserve"> jointly by Serbia and Romania, the Gabcikovo close to Bratislava, as well as several </w:t>
      </w:r>
      <w:r>
        <w:rPr>
          <w:i/>
          <w:iCs/>
        </w:rPr>
        <w:t>dams</w:t>
      </w:r>
      <w:r w:rsidRPr="00086CBD">
        <w:rPr>
          <w:i/>
          <w:iCs/>
        </w:rPr>
        <w:t xml:space="preserve"> in Upper Austria and Lower Bavaria</w:t>
      </w:r>
      <w:r>
        <w:rPr>
          <w:i/>
          <w:iCs/>
        </w:rPr>
        <w:t xml:space="preserve">, </w:t>
      </w:r>
      <w:r w:rsidRPr="00086CBD">
        <w:rPr>
          <w:i/>
          <w:iCs/>
        </w:rPr>
        <w:t>Croatia</w:t>
      </w:r>
      <w:r>
        <w:rPr>
          <w:i/>
          <w:iCs/>
        </w:rPr>
        <w:t>,</w:t>
      </w:r>
      <w:r w:rsidRPr="00086CBD">
        <w:rPr>
          <w:i/>
          <w:iCs/>
        </w:rPr>
        <w:t xml:space="preserve"> Hungar</w:t>
      </w:r>
      <w:r>
        <w:rPr>
          <w:i/>
          <w:iCs/>
        </w:rPr>
        <w:t>y</w:t>
      </w:r>
      <w:r w:rsidRPr="00086CBD">
        <w:rPr>
          <w:i/>
          <w:iCs/>
        </w:rPr>
        <w:t xml:space="preserve">, Bosnia and Herzegovina, Serbia </w:t>
      </w:r>
      <w:r w:rsidRPr="00086CBD">
        <w:rPr>
          <w:i/>
          <w:iCs/>
        </w:rPr>
        <w:fldChar w:fldCharType="begin"/>
      </w:r>
      <w:r w:rsidR="001C3DA6">
        <w:rPr>
          <w:i/>
          <w:iCs/>
        </w:rPr>
        <w:instrText xml:space="preserve"> ADDIN ZOTERO_ITEM CSL_CITATION {"citationID":"ag4egvojro","properties":{"formattedCitation":"(UNDP GEF Danube Regional Project, n.d.)","plainCitation":"(UNDP GEF Danube Regional Project, n.d.)","noteIndex":0},"citationItems":[{"id":8482,"uris":["http://zotero.org/groups/4075961/items/HAJ5BED7"],"itemData":{"id":8482,"type":"webpage","title":"Dams and Reservoirs","URL":"http://www.undp-drp.org/drp/danube_dams_and_reservoirs.html","author":[{"family":"UNDP GEF Danube Regional Project","given":""}]}}],"schema":"https://github.com/citation-style-language/schema/raw/master/csl-citation.json"} </w:instrText>
      </w:r>
      <w:r w:rsidRPr="00086CBD">
        <w:rPr>
          <w:i/>
          <w:iCs/>
        </w:rPr>
        <w:fldChar w:fldCharType="separate"/>
      </w:r>
      <w:r w:rsidR="001C3DA6" w:rsidRPr="001C3DA6">
        <w:rPr>
          <w:rFonts w:ascii="Arial" w:cs="Arial"/>
        </w:rPr>
        <w:t>(UNDP GEF Danube Regional Project, n.d.)</w:t>
      </w:r>
      <w:r w:rsidRPr="00086CBD">
        <w:rPr>
          <w:i/>
          <w:iCs/>
        </w:rPr>
        <w:fldChar w:fldCharType="end"/>
      </w:r>
      <w:r w:rsidRPr="00086CBD">
        <w:rPr>
          <w:i/>
          <w:iCs/>
        </w:rPr>
        <w:t xml:space="preserve"> and Albania</w:t>
      </w:r>
      <w:r>
        <w:rPr>
          <w:i/>
          <w:iCs/>
        </w:rPr>
        <w:t>,</w:t>
      </w:r>
      <w:r w:rsidRPr="00086CBD">
        <w:rPr>
          <w:i/>
          <w:iCs/>
        </w:rPr>
        <w:t xml:space="preserve"> which is totally dependent on hydropower. Hydropower plants that were in the pipeline in the 2020s, such as in Montenegro, Croatia, Slovenia, all had to shift towards smaller infrastructure to avoid </w:t>
      </w:r>
      <w:r>
        <w:rPr>
          <w:i/>
          <w:iCs/>
        </w:rPr>
        <w:t>major</w:t>
      </w:r>
      <w:r w:rsidRPr="00086CBD">
        <w:rPr>
          <w:i/>
          <w:iCs/>
        </w:rPr>
        <w:t xml:space="preserve"> consequences. </w:t>
      </w:r>
      <w:r w:rsidRPr="00086CBD">
        <w:rPr>
          <w:i/>
          <w:iCs/>
        </w:rPr>
        <w:fldChar w:fldCharType="begin"/>
      </w:r>
      <w:r w:rsidR="001C3DA6">
        <w:rPr>
          <w:i/>
          <w:iCs/>
        </w:rPr>
        <w:instrText xml:space="preserve"> ADDIN ZOTERO_ITEM CSL_CITATION {"citationID":"a1pkvmcnivt","properties":{"formattedCitation":"(Schwartz, 2015)","plainCitation":"(Schwartz, 2015)","noteIndex":0},"citationItems":[{"id":8483,"uris":["http://zotero.org/groups/4075961/items/F3M4B7PI"],"itemData":{"id":8483,"type":"report","collection-title":"RiverWatch &amp;EuroNatur","title":"Hydropower Projects on the Balkan Rivers - Update","author":[{"family":"Schwartz","given":"U"}],"issued":{"date-parts":[["2015",9]]}}}],"schema":"https://github.com/citation-style-language/schema/raw/master/csl-citation.json"} </w:instrText>
      </w:r>
      <w:r w:rsidRPr="00086CBD">
        <w:rPr>
          <w:i/>
          <w:iCs/>
        </w:rPr>
        <w:fldChar w:fldCharType="separate"/>
      </w:r>
      <w:r w:rsidR="001C3DA6" w:rsidRPr="001C3DA6">
        <w:rPr>
          <w:rFonts w:ascii="Arial" w:cs="Arial"/>
        </w:rPr>
        <w:t>(Schwartz, 2015)</w:t>
      </w:r>
      <w:r w:rsidRPr="00086CBD">
        <w:rPr>
          <w:i/>
          <w:iCs/>
        </w:rPr>
        <w:fldChar w:fldCharType="end"/>
      </w:r>
    </w:p>
    <w:p w14:paraId="4C6350D9" w14:textId="7036B8F0" w:rsidR="0078086C" w:rsidRPr="00702488" w:rsidRDefault="0071689D" w:rsidP="006006AC">
      <w:pPr>
        <w:rPr>
          <w:i/>
          <w:iCs/>
        </w:rPr>
      </w:pPr>
      <w:r w:rsidRPr="00086CBD">
        <w:rPr>
          <w:i/>
          <w:iCs/>
        </w:rPr>
        <w:t>On the other hand, regions that invested in renewable energ</w:t>
      </w:r>
      <w:r>
        <w:rPr>
          <w:i/>
          <w:iCs/>
        </w:rPr>
        <w:t>y</w:t>
      </w:r>
      <w:r w:rsidRPr="00086CBD">
        <w:rPr>
          <w:i/>
          <w:iCs/>
        </w:rPr>
        <w:t>, and especially biomass b</w:t>
      </w:r>
      <w:r>
        <w:rPr>
          <w:i/>
          <w:iCs/>
        </w:rPr>
        <w:t>in</w:t>
      </w:r>
      <w:r w:rsidRPr="00086CBD">
        <w:rPr>
          <w:i/>
          <w:iCs/>
        </w:rPr>
        <w:t xml:space="preserve">y the forestry sector, </w:t>
      </w:r>
      <w:r>
        <w:rPr>
          <w:i/>
          <w:iCs/>
        </w:rPr>
        <w:t xml:space="preserve">the </w:t>
      </w:r>
      <w:r w:rsidRPr="00086CBD">
        <w:rPr>
          <w:i/>
          <w:iCs/>
        </w:rPr>
        <w:t xml:space="preserve">Danube Region’s biggest potential, could take bigger steps by 2050 </w:t>
      </w:r>
      <w:r>
        <w:rPr>
          <w:i/>
          <w:iCs/>
        </w:rPr>
        <w:t>to</w:t>
      </w:r>
      <w:r w:rsidRPr="00086CBD">
        <w:rPr>
          <w:i/>
          <w:iCs/>
        </w:rPr>
        <w:t xml:space="preserve"> a green transition. A potential threat </w:t>
      </w:r>
      <w:r>
        <w:rPr>
          <w:i/>
          <w:iCs/>
        </w:rPr>
        <w:t>has been</w:t>
      </w:r>
      <w:r w:rsidRPr="00086CBD">
        <w:rPr>
          <w:i/>
          <w:iCs/>
        </w:rPr>
        <w:t xml:space="preserve"> deforestation due to the biomass production in many places in Bosnia and Herzegovina, Moldova and Ukraine, where additional measures need to be put in place. </w:t>
      </w:r>
      <w:r w:rsidRPr="00086CBD">
        <w:rPr>
          <w:i/>
          <w:iCs/>
        </w:rPr>
        <w:fldChar w:fldCharType="begin"/>
      </w:r>
      <w:r w:rsidR="001C3DA6">
        <w:rPr>
          <w:i/>
          <w:iCs/>
        </w:rPr>
        <w:instrText xml:space="preserve"> ADDIN ZOTERO_ITEM CSL_CITATION {"citationID":"at6r7judu6","properties":{"formattedCitation":"(REKK, 2020)","plainCitation":"(REKK, 2020)","noteIndex":0},"citationItems":[{"id":8479,"uris":["http://zotero.org/groups/4075961/items/3P2WB89V"],"itemData":{"id":8479,"type":"report","title":"National Energy and Climate Plans in the Danube Region","author":[{"family":"REKK","given":""}],"issued":{"date-parts":[["2020",12]]}}}],"schema":"https://github.com/citation-style-language/schema/raw/master/csl-citation.json"} </w:instrText>
      </w:r>
      <w:r w:rsidRPr="00086CBD">
        <w:rPr>
          <w:i/>
          <w:iCs/>
        </w:rPr>
        <w:fldChar w:fldCharType="separate"/>
      </w:r>
      <w:r w:rsidR="001C3DA6" w:rsidRPr="001C3DA6">
        <w:rPr>
          <w:rFonts w:ascii="Arial" w:cs="Arial"/>
        </w:rPr>
        <w:t>(REKK, 2020)</w:t>
      </w:r>
      <w:r w:rsidRPr="00086CBD">
        <w:rPr>
          <w:i/>
          <w:iCs/>
        </w:rPr>
        <w:fldChar w:fldCharType="end"/>
      </w:r>
    </w:p>
    <w:p w14:paraId="7233639B" w14:textId="77777777" w:rsidR="00275AC2" w:rsidRPr="00086CBD" w:rsidRDefault="00275AC2" w:rsidP="00275AC2">
      <w:r w:rsidRPr="00086CBD">
        <w:rPr>
          <w:b/>
          <w:bCs/>
        </w:rPr>
        <w:t>Logistics: it’s a long way</w:t>
      </w:r>
      <w:r w:rsidRPr="00086CBD">
        <w:t xml:space="preserve">. The new shopping habits of people linked </w:t>
      </w:r>
      <w:r>
        <w:t>mainly</w:t>
      </w:r>
      <w:r w:rsidRPr="00086CBD">
        <w:t xml:space="preserve"> to online shopping and on demand services has resulted in a need for more and better-connected logistics services. However, the scarcity of resources and increase in energy prices, accompanied by </w:t>
      </w:r>
      <w:r>
        <w:t>a</w:t>
      </w:r>
      <w:r w:rsidRPr="00086CBD">
        <w:t xml:space="preserve"> higher environmental consciousness has made logistics services even more expensive by 2050. Production remains global and with the strategic role of </w:t>
      </w:r>
      <w:r>
        <w:t xml:space="preserve">the </w:t>
      </w:r>
      <w:r w:rsidRPr="00086CBD">
        <w:t xml:space="preserve">EU expanding, such globalisation increases. Although </w:t>
      </w:r>
      <w:r>
        <w:t xml:space="preserve">there are </w:t>
      </w:r>
      <w:r w:rsidRPr="00086CBD">
        <w:t xml:space="preserve">sharing and repairing elements in small urban and rural areas, larger metropolitan areas are substantially dependent </w:t>
      </w:r>
      <w:r>
        <w:t>on</w:t>
      </w:r>
      <w:r w:rsidRPr="00086CBD">
        <w:t xml:space="preserve"> online shopping. Interregional freight transport connections and key transport hubs remain important for logistics. </w:t>
      </w:r>
      <w:r>
        <w:t>T</w:t>
      </w:r>
      <w:r w:rsidRPr="00086CBD">
        <w:t>echnological advancements</w:t>
      </w:r>
      <w:r>
        <w:t xml:space="preserve"> have increased the use of</w:t>
      </w:r>
      <w:r w:rsidRPr="00086CBD">
        <w:t xml:space="preserve"> cleaner energy in transport</w:t>
      </w:r>
      <w:r>
        <w:t>,</w:t>
      </w:r>
      <w:r w:rsidRPr="00086CBD">
        <w:t xml:space="preserve"> reduc</w:t>
      </w:r>
      <w:r>
        <w:t>ing</w:t>
      </w:r>
      <w:r w:rsidRPr="00086CBD">
        <w:t xml:space="preserve"> costs and environmental footprint.   </w:t>
      </w:r>
    </w:p>
    <w:p w14:paraId="388125E6" w14:textId="1FE4AEE5" w:rsidR="00275AC2" w:rsidRPr="00086CBD" w:rsidRDefault="00275AC2" w:rsidP="00275AC2">
      <w:r w:rsidRPr="00086CBD">
        <w:rPr>
          <w:b/>
          <w:bCs/>
        </w:rPr>
        <w:t>Rail is back on track</w:t>
      </w:r>
      <w:r w:rsidRPr="00086CBD">
        <w:t xml:space="preserve">. </w:t>
      </w:r>
      <w:r>
        <w:t>A</w:t>
      </w:r>
      <w:r w:rsidRPr="00086CBD">
        <w:t xml:space="preserve"> key characteristic for mobility in the Danube Region by 2050 has been the shift towards more sustainable transport and less carbon emissions. </w:t>
      </w:r>
      <w:r>
        <w:t>T</w:t>
      </w:r>
      <w:r w:rsidRPr="00086CBD">
        <w:t xml:space="preserve">he Green Deal </w:t>
      </w:r>
      <w:r>
        <w:t>has encouraged</w:t>
      </w:r>
      <w:r w:rsidRPr="00086CBD">
        <w:t xml:space="preserve"> green mobility. An efficient and interconnected multimodal transport system has been gradually </w:t>
      </w:r>
      <w:r>
        <w:t>implemented</w:t>
      </w:r>
      <w:r w:rsidRPr="00086CBD">
        <w:t xml:space="preserve">, while affordable and high-speed rail networks are on track </w:t>
      </w:r>
      <w:r w:rsidR="00A115F8" w:rsidRPr="00086CBD">
        <w:fldChar w:fldCharType="begin"/>
      </w:r>
      <w:r w:rsidR="001C3DA6">
        <w:instrText xml:space="preserve"> ADDIN ZOTERO_ITEM CSL_CITATION {"citationID":"a1i2it07qnk","properties":{"formattedCitation":"(European Commission, 2020a)","plainCitation":"(European Commission, 2020a)","noteIndex":0},"citationItems":[{"id":8331,"uris":["http://zotero.org/groups/4075961/items/8H7HPP52"],"itemData":{"id":8331,"type":"document","title":"Communication from the Commission to the European Parliament, the Council, the European Economic and Social Committee and the Committee of the Regions. Sustainable and Smart Mobility Strategy - putting European transport on track for the future. COM(2020) 789 final","author":[{"family":"European Commission","given":""}],"issued":{"date-parts":[["2020",12,9]]}}}],"schema":"https://github.com/citation-style-language/schema/raw/master/csl-citation.json"} </w:instrText>
      </w:r>
      <w:r w:rsidR="00A115F8" w:rsidRPr="00086CBD">
        <w:fldChar w:fldCharType="separate"/>
      </w:r>
      <w:r w:rsidR="001C3DA6" w:rsidRPr="001C3DA6">
        <w:rPr>
          <w:rFonts w:ascii="Arial" w:cs="Arial"/>
        </w:rPr>
        <w:t>(European Commission, 2020a)</w:t>
      </w:r>
      <w:r w:rsidR="00A115F8" w:rsidRPr="00086CBD">
        <w:fldChar w:fldCharType="end"/>
      </w:r>
      <w:r w:rsidRPr="00086CBD">
        <w:t>. Further to that, night trains have been in fashion again, reducing unproductive travel time and flights which have the highest share of carbon emissions. Rail freight traffic has also doubled, while high speed rail traffic has tripled and the TEN-T has been large</w:t>
      </w:r>
      <w:r>
        <w:t>ly</w:t>
      </w:r>
      <w:r w:rsidRPr="00086CBD">
        <w:t xml:space="preserve"> electrified and expanded towards the Western Balkans</w:t>
      </w:r>
      <w:r>
        <w:t xml:space="preserve"> </w:t>
      </w:r>
      <w:r w:rsidR="00A115F8" w:rsidRPr="00086CBD">
        <w:fldChar w:fldCharType="begin"/>
      </w:r>
      <w:r w:rsidR="001C3DA6">
        <w:instrText xml:space="preserve"> ADDIN ZOTERO_ITEM CSL_CITATION {"citationID":"fBGZTD58","properties":{"formattedCitation":"(European Commission, 2020a)","plainCitation":"(European Commission, 2020a)","noteIndex":0},"citationItems":[{"id":8331,"uris":["http://zotero.org/groups/4075961/items/8H7HPP52"],"itemData":{"id":8331,"type":"document","title":"Communication from the Commission to the European Parliament, the Council, the European Economic and Social Committee and the Committee of the Regions. Sustainable and Smart Mobility Strategy - putting European transport on track for the future. COM(2020) 789 final","author":[{"family":"European Commission","given":""}],"issued":{"date-parts":[["2020",12,9]]}}}],"schema":"https://github.com/citation-style-language/schema/raw/master/csl-citation.json"} </w:instrText>
      </w:r>
      <w:r w:rsidR="00A115F8" w:rsidRPr="00086CBD">
        <w:fldChar w:fldCharType="separate"/>
      </w:r>
      <w:r w:rsidR="001C3DA6" w:rsidRPr="001C3DA6">
        <w:rPr>
          <w:rFonts w:ascii="Arial" w:cs="Arial"/>
        </w:rPr>
        <w:t>(European Commission, 2020a)</w:t>
      </w:r>
      <w:r w:rsidR="00A115F8" w:rsidRPr="00086CBD">
        <w:fldChar w:fldCharType="end"/>
      </w:r>
      <w:r w:rsidRPr="00086CBD">
        <w:t xml:space="preserve">. Stricter pollution standards and stronger regulations defend sustainability. </w:t>
      </w:r>
    </w:p>
    <w:p w14:paraId="4D97B44F" w14:textId="256C6B62" w:rsidR="00275AC2" w:rsidRPr="00086CBD" w:rsidRDefault="00275AC2" w:rsidP="00275AC2">
      <w:r w:rsidRPr="00086CBD">
        <w:rPr>
          <w:b/>
          <w:bCs/>
        </w:rPr>
        <w:t>Bespoke multimodality</w:t>
      </w:r>
      <w:r w:rsidRPr="00086CBD">
        <w:t xml:space="preserve">. Transport in the different regions of the Danube Region has gradually turned into ‘mobility as a service’, </w:t>
      </w:r>
      <w:r>
        <w:t>with</w:t>
      </w:r>
      <w:r w:rsidRPr="00086CBD">
        <w:t xml:space="preserve"> bespoke and tailored mobility designed for citizens. This is particularly relevant in urban areas, where the demand for innovative mobility solutions is high. Here, digitalisation facilitat</w:t>
      </w:r>
      <w:r>
        <w:t>es</w:t>
      </w:r>
      <w:r w:rsidRPr="00086CBD">
        <w:t xml:space="preserve"> these services. Increasing multi-modality in urban centres </w:t>
      </w:r>
      <w:r>
        <w:t>as well as</w:t>
      </w:r>
      <w:r w:rsidRPr="00086CBD">
        <w:t xml:space="preserve"> good quality and green public transport, increases </w:t>
      </w:r>
      <w:r>
        <w:t>its</w:t>
      </w:r>
      <w:r w:rsidRPr="00086CBD">
        <w:t xml:space="preserve"> use. Furthermore, collective transport, walking and cycling infrastructure, as well as car-sharing and other micro-mobility forms </w:t>
      </w:r>
      <w:r w:rsidRPr="00086CBD">
        <w:fldChar w:fldCharType="begin"/>
      </w:r>
      <w:r w:rsidR="001C3DA6">
        <w:instrText xml:space="preserve"> ADDIN ZOTERO_ITEM CSL_CITATION {"citationID":"lQIDXvHn","properties":{"formattedCitation":"(European Commission, 2020a)","plainCitation":"(European Commission, 2020a)","noteIndex":0},"citationItems":[{"id":8331,"uris":["http://zotero.org/groups/4075961/items/8H7HPP52"],"itemData":{"id":8331,"type":"document","title":"Communication from the Commission to the European Parliament, the Council, the European Economic and Social Committee and the Committee of the Regions. Sustainable and Smart Mobility Strategy - putting European transport on track for the future. COM(2020) 789 final","author":[{"family":"European Commission","given":""}],"issued":{"date-parts":[["2020",12,9]]}}}],"schema":"https://github.com/citation-style-language/schema/raw/master/csl-citation.json"} </w:instrText>
      </w:r>
      <w:r w:rsidRPr="00086CBD">
        <w:fldChar w:fldCharType="separate"/>
      </w:r>
      <w:r w:rsidR="001C3DA6" w:rsidRPr="001C3DA6">
        <w:rPr>
          <w:rFonts w:ascii="Arial" w:cs="Arial"/>
        </w:rPr>
        <w:t>(European Commission, 2020a)</w:t>
      </w:r>
      <w:r w:rsidRPr="00086CBD">
        <w:fldChar w:fldCharType="end"/>
      </w:r>
      <w:r w:rsidRPr="00086CBD">
        <w:t>, reduce the need for car use</w:t>
      </w:r>
      <w:r>
        <w:t xml:space="preserve"> with the attendant</w:t>
      </w:r>
      <w:r w:rsidRPr="00086CBD">
        <w:t xml:space="preserve"> congestion, air pollution and noise which hamper people</w:t>
      </w:r>
      <w:r>
        <w:t>’</w:t>
      </w:r>
      <w:r w:rsidRPr="00086CBD">
        <w:t xml:space="preserve">s wellbeing. </w:t>
      </w:r>
    </w:p>
    <w:p w14:paraId="4FED06AD" w14:textId="77777777" w:rsidR="00275AC2" w:rsidRPr="00086CBD" w:rsidRDefault="00275AC2" w:rsidP="00275AC2">
      <w:pPr>
        <w:rPr>
          <w:i/>
          <w:iCs/>
        </w:rPr>
      </w:pPr>
      <w:r w:rsidRPr="00086CBD">
        <w:rPr>
          <w:i/>
          <w:iCs/>
        </w:rPr>
        <w:t>Connectivity infrastructure plays a key role in logistics and travel. EU infrastructure projects such as the TEN-T network</w:t>
      </w:r>
      <w:r>
        <w:rPr>
          <w:i/>
          <w:iCs/>
        </w:rPr>
        <w:t>. Also,</w:t>
      </w:r>
      <w:r w:rsidRPr="00086CBD">
        <w:rPr>
          <w:i/>
          <w:iCs/>
        </w:rPr>
        <w:t xml:space="preserve"> projects funded by external powers, such as the One Belt One Road initiative already</w:t>
      </w:r>
      <w:r>
        <w:rPr>
          <w:i/>
          <w:iCs/>
        </w:rPr>
        <w:t xml:space="preserve"> completed</w:t>
      </w:r>
      <w:r w:rsidRPr="00086CBD">
        <w:rPr>
          <w:i/>
          <w:iCs/>
        </w:rPr>
        <w:t xml:space="preserve"> by 2030 have played a key role in improve</w:t>
      </w:r>
      <w:r>
        <w:rPr>
          <w:i/>
          <w:iCs/>
        </w:rPr>
        <w:t>d</w:t>
      </w:r>
      <w:r w:rsidRPr="00086CBD">
        <w:rPr>
          <w:i/>
          <w:iCs/>
        </w:rPr>
        <w:t xml:space="preserve"> connectivity in the area. Nevertheless, with the stronger autonomous role of the EU over the years, the influence of other powers has reduced</w:t>
      </w:r>
      <w:r>
        <w:rPr>
          <w:i/>
          <w:iCs/>
        </w:rPr>
        <w:t>,</w:t>
      </w:r>
      <w:r w:rsidRPr="00086CBD">
        <w:rPr>
          <w:i/>
          <w:iCs/>
        </w:rPr>
        <w:t xml:space="preserve"> with the EU taking a more leading role in its territory and neighbourhood. </w:t>
      </w:r>
    </w:p>
    <w:p w14:paraId="5325FBBB" w14:textId="2056F1D1" w:rsidR="00275AC2" w:rsidRPr="00086CBD" w:rsidRDefault="00275AC2" w:rsidP="00275AC2">
      <w:pPr>
        <w:rPr>
          <w:i/>
          <w:iCs/>
        </w:rPr>
      </w:pPr>
      <w:r w:rsidRPr="00086CBD">
        <w:rPr>
          <w:i/>
          <w:iCs/>
        </w:rPr>
        <w:t>The transport gaps between the Upper Danube and the Middle and Lower Danube have over the years been reduced</w:t>
      </w:r>
      <w:r>
        <w:rPr>
          <w:i/>
          <w:iCs/>
        </w:rPr>
        <w:t xml:space="preserve"> by m</w:t>
      </w:r>
      <w:r w:rsidRPr="00086CBD">
        <w:rPr>
          <w:i/>
          <w:iCs/>
        </w:rPr>
        <w:t xml:space="preserve">ore rail connections and infrastructure. The TEN-T Core Network has been completed while the TEN-T Comprehensive Network has to a large extent also materialised by 2050. Key rail </w:t>
      </w:r>
      <w:r>
        <w:rPr>
          <w:i/>
          <w:iCs/>
        </w:rPr>
        <w:t>n</w:t>
      </w:r>
      <w:r w:rsidRPr="00086CBD">
        <w:rPr>
          <w:i/>
          <w:iCs/>
        </w:rPr>
        <w:t>odes such as Vienna, Innsbruck, Salzburg, Sarajevo, Doboj, Novi Grad, Sofia, Plovdiv, Karnobat, Zagreb, Vinkivci, Prague, Brno, Ostrava, Munich, Nuremberg, Chisinau, Balti, Bucharest, Belgrade, Bratislava, Divaca, Koper</w:t>
      </w:r>
      <w:r>
        <w:rPr>
          <w:i/>
          <w:iCs/>
        </w:rPr>
        <w:t xml:space="preserve"> and</w:t>
      </w:r>
      <w:r w:rsidRPr="00086CBD">
        <w:rPr>
          <w:i/>
          <w:iCs/>
        </w:rPr>
        <w:t xml:space="preserve"> Odessa, are key connecting points in the region </w:t>
      </w:r>
      <w:r w:rsidRPr="00086CBD">
        <w:rPr>
          <w:i/>
          <w:iCs/>
        </w:rPr>
        <w:fldChar w:fldCharType="begin"/>
      </w:r>
      <w:r w:rsidR="001C3DA6">
        <w:rPr>
          <w:i/>
          <w:iCs/>
        </w:rPr>
        <w:instrText xml:space="preserve"> ADDIN ZOTERO_ITEM CSL_CITATION {"citationID":"aga0c7ef23","properties":{"formattedCitation":"(Interreg Danube Transnational Programme &amp; Danube Region Strategy Mobility, 2021)","plainCitation":"(Interreg Danube Transnational Programme &amp; Danube Region Strategy Mobility, 2021)","noteIndex":0},"citationItems":[{"id":8488,"uris":["http://zotero.org/groups/4075961/items/ZMQWLP38"],"itemData":{"id":8488,"type":"report","title":"Transport infrastructure in the Danube region - Rail links. Project Report","author":[{"family":"Interreg Danube Transnational Programme","given":""},{"family":"Danube Region Strategy Mobility","given":""}],"issued":{"date-parts":[["2021",11]]}}}],"schema":"https://github.com/citation-style-language/schema/raw/master/csl-citation.json"} </w:instrText>
      </w:r>
      <w:r w:rsidRPr="00086CBD">
        <w:rPr>
          <w:i/>
          <w:iCs/>
        </w:rPr>
        <w:fldChar w:fldCharType="separate"/>
      </w:r>
      <w:r w:rsidR="001C3DA6" w:rsidRPr="001C3DA6">
        <w:rPr>
          <w:rFonts w:ascii="Arial" w:cs="Arial"/>
        </w:rPr>
        <w:t>(Interreg Danube Transnational Programme &amp; Danube Region Strategy Mobility, 2021)</w:t>
      </w:r>
      <w:r w:rsidRPr="00086CBD">
        <w:rPr>
          <w:i/>
          <w:iCs/>
        </w:rPr>
        <w:fldChar w:fldCharType="end"/>
      </w:r>
      <w:r w:rsidRPr="00086CBD">
        <w:rPr>
          <w:i/>
          <w:iCs/>
        </w:rPr>
        <w:t xml:space="preserve">. Last but not least, night trains connect key urban areas across the EU, bringing cities and citizens closer. </w:t>
      </w:r>
      <w:r w:rsidR="005D747E" w:rsidRPr="005327C5">
        <w:rPr>
          <w:i/>
          <w:iCs/>
        </w:rPr>
        <w:t>(Map 5-1)</w:t>
      </w:r>
    </w:p>
    <w:p w14:paraId="3DC02508" w14:textId="73370973" w:rsidR="00B53702" w:rsidRPr="00702488" w:rsidRDefault="00275AC2" w:rsidP="00275AC2">
      <w:pPr>
        <w:rPr>
          <w:i/>
          <w:iCs/>
        </w:rPr>
      </w:pPr>
      <w:r w:rsidRPr="00086CBD">
        <w:rPr>
          <w:i/>
          <w:iCs/>
        </w:rPr>
        <w:t>Large intermodal rail</w:t>
      </w:r>
      <w:r>
        <w:rPr>
          <w:i/>
          <w:iCs/>
        </w:rPr>
        <w:t>,</w:t>
      </w:r>
      <w:r w:rsidRPr="00086CBD">
        <w:rPr>
          <w:i/>
          <w:iCs/>
        </w:rPr>
        <w:t xml:space="preserve"> road </w:t>
      </w:r>
      <w:r>
        <w:rPr>
          <w:i/>
          <w:iCs/>
        </w:rPr>
        <w:t>and</w:t>
      </w:r>
      <w:r w:rsidRPr="00086CBD">
        <w:rPr>
          <w:i/>
          <w:iCs/>
        </w:rPr>
        <w:t xml:space="preserve"> river terminals across the Danube region </w:t>
      </w:r>
      <w:r>
        <w:rPr>
          <w:i/>
          <w:iCs/>
        </w:rPr>
        <w:t xml:space="preserve">are </w:t>
      </w:r>
      <w:r w:rsidRPr="00086CBD">
        <w:rPr>
          <w:i/>
          <w:iCs/>
        </w:rPr>
        <w:t>increas</w:t>
      </w:r>
      <w:r>
        <w:rPr>
          <w:i/>
          <w:iCs/>
        </w:rPr>
        <w:t>ingly</w:t>
      </w:r>
      <w:r w:rsidRPr="00086CBD">
        <w:rPr>
          <w:i/>
          <w:iCs/>
        </w:rPr>
        <w:t xml:space="preserve"> importan</w:t>
      </w:r>
      <w:r>
        <w:rPr>
          <w:i/>
          <w:iCs/>
        </w:rPr>
        <w:t>t</w:t>
      </w:r>
      <w:r w:rsidRPr="00086CBD">
        <w:rPr>
          <w:i/>
          <w:iCs/>
        </w:rPr>
        <w:t xml:space="preserve"> for logistics services. </w:t>
      </w:r>
      <w:r>
        <w:rPr>
          <w:i/>
          <w:iCs/>
        </w:rPr>
        <w:t>These include</w:t>
      </w:r>
      <w:r w:rsidRPr="00086CBD">
        <w:rPr>
          <w:i/>
          <w:iCs/>
        </w:rPr>
        <w:t xml:space="preserve"> Budapest</w:t>
      </w:r>
      <w:r>
        <w:rPr>
          <w:i/>
          <w:iCs/>
        </w:rPr>
        <w:t xml:space="preserve"> and</w:t>
      </w:r>
      <w:r w:rsidRPr="00086CBD">
        <w:rPr>
          <w:i/>
          <w:iCs/>
        </w:rPr>
        <w:t xml:space="preserve"> Torokbalint</w:t>
      </w:r>
      <w:r>
        <w:rPr>
          <w:i/>
          <w:iCs/>
        </w:rPr>
        <w:t xml:space="preserve"> (Hungary)</w:t>
      </w:r>
      <w:r w:rsidRPr="00086CBD">
        <w:rPr>
          <w:i/>
          <w:iCs/>
        </w:rPr>
        <w:t xml:space="preserve">, Bratislava and Sladkovicovo </w:t>
      </w:r>
      <w:r>
        <w:rPr>
          <w:i/>
          <w:iCs/>
        </w:rPr>
        <w:t>(</w:t>
      </w:r>
      <w:r w:rsidRPr="00086CBD">
        <w:rPr>
          <w:i/>
          <w:iCs/>
        </w:rPr>
        <w:t>Slovakia</w:t>
      </w:r>
      <w:r>
        <w:rPr>
          <w:i/>
          <w:iCs/>
        </w:rPr>
        <w:t>)</w:t>
      </w:r>
      <w:r w:rsidRPr="00086CBD">
        <w:rPr>
          <w:i/>
          <w:iCs/>
        </w:rPr>
        <w:t>, Vienna, Graz, Lambach</w:t>
      </w:r>
      <w:r>
        <w:rPr>
          <w:i/>
          <w:iCs/>
        </w:rPr>
        <w:t xml:space="preserve"> and</w:t>
      </w:r>
      <w:r w:rsidRPr="00086CBD">
        <w:rPr>
          <w:i/>
          <w:iCs/>
        </w:rPr>
        <w:t xml:space="preserve"> Enns </w:t>
      </w:r>
      <w:r>
        <w:rPr>
          <w:i/>
          <w:iCs/>
        </w:rPr>
        <w:t>(</w:t>
      </w:r>
      <w:r w:rsidRPr="00086CBD">
        <w:rPr>
          <w:i/>
          <w:iCs/>
        </w:rPr>
        <w:t>Austria</w:t>
      </w:r>
      <w:r>
        <w:rPr>
          <w:i/>
          <w:iCs/>
        </w:rPr>
        <w:t>)</w:t>
      </w:r>
      <w:r w:rsidRPr="00086CBD">
        <w:rPr>
          <w:i/>
          <w:iCs/>
        </w:rPr>
        <w:t xml:space="preserve">, Munich and Burghausen </w:t>
      </w:r>
      <w:r>
        <w:rPr>
          <w:i/>
          <w:iCs/>
        </w:rPr>
        <w:t>(</w:t>
      </w:r>
      <w:r w:rsidRPr="00086CBD">
        <w:rPr>
          <w:i/>
          <w:iCs/>
        </w:rPr>
        <w:t>Germany</w:t>
      </w:r>
      <w:r>
        <w:rPr>
          <w:i/>
          <w:iCs/>
        </w:rPr>
        <w:t>)</w:t>
      </w:r>
      <w:r w:rsidRPr="00086CBD">
        <w:rPr>
          <w:i/>
          <w:iCs/>
        </w:rPr>
        <w:t xml:space="preserve">, Beograd, Pancevo and Novi Sad </w:t>
      </w:r>
      <w:r>
        <w:rPr>
          <w:i/>
          <w:iCs/>
        </w:rPr>
        <w:t>(</w:t>
      </w:r>
      <w:r w:rsidRPr="00086CBD">
        <w:rPr>
          <w:i/>
          <w:iCs/>
        </w:rPr>
        <w:t>Serbia</w:t>
      </w:r>
      <w:r>
        <w:rPr>
          <w:i/>
          <w:iCs/>
        </w:rPr>
        <w:t>)</w:t>
      </w:r>
      <w:r w:rsidRPr="00086CBD">
        <w:rPr>
          <w:i/>
          <w:iCs/>
        </w:rPr>
        <w:t xml:space="preserve">, Bar </w:t>
      </w:r>
      <w:r>
        <w:rPr>
          <w:i/>
          <w:iCs/>
        </w:rPr>
        <w:t>(</w:t>
      </w:r>
      <w:r w:rsidRPr="00086CBD">
        <w:rPr>
          <w:i/>
          <w:iCs/>
        </w:rPr>
        <w:t>Montenegro</w:t>
      </w:r>
      <w:r>
        <w:rPr>
          <w:i/>
          <w:iCs/>
        </w:rPr>
        <w:t>)</w:t>
      </w:r>
      <w:r w:rsidRPr="00086CBD">
        <w:rPr>
          <w:i/>
          <w:iCs/>
        </w:rPr>
        <w:t>, Banja Luka</w:t>
      </w:r>
      <w:r>
        <w:rPr>
          <w:i/>
          <w:iCs/>
        </w:rPr>
        <w:t>,</w:t>
      </w:r>
      <w:r w:rsidRPr="00086CBD">
        <w:rPr>
          <w:i/>
          <w:iCs/>
        </w:rPr>
        <w:t xml:space="preserve"> Sarajev</w:t>
      </w:r>
      <w:r>
        <w:rPr>
          <w:i/>
          <w:iCs/>
        </w:rPr>
        <w:t xml:space="preserve"> and</w:t>
      </w:r>
      <w:r w:rsidRPr="00086CBD">
        <w:rPr>
          <w:i/>
          <w:iCs/>
        </w:rPr>
        <w:t xml:space="preserve">, Tuzla </w:t>
      </w:r>
      <w:r>
        <w:rPr>
          <w:i/>
          <w:iCs/>
        </w:rPr>
        <w:t>(B</w:t>
      </w:r>
      <w:r w:rsidRPr="00086CBD">
        <w:rPr>
          <w:i/>
          <w:iCs/>
        </w:rPr>
        <w:t>osnia Herzegovina</w:t>
      </w:r>
      <w:r>
        <w:rPr>
          <w:i/>
          <w:iCs/>
        </w:rPr>
        <w:t>)</w:t>
      </w:r>
      <w:r w:rsidRPr="00086CBD">
        <w:rPr>
          <w:i/>
          <w:iCs/>
        </w:rPr>
        <w:t xml:space="preserve">, Ljubljana and Celje </w:t>
      </w:r>
      <w:r>
        <w:rPr>
          <w:i/>
          <w:iCs/>
        </w:rPr>
        <w:t>(</w:t>
      </w:r>
      <w:r w:rsidRPr="00086CBD">
        <w:rPr>
          <w:i/>
          <w:iCs/>
        </w:rPr>
        <w:t>Slovenia</w:t>
      </w:r>
      <w:r>
        <w:rPr>
          <w:i/>
          <w:iCs/>
        </w:rPr>
        <w:t>)</w:t>
      </w:r>
      <w:r w:rsidRPr="00086CBD">
        <w:rPr>
          <w:i/>
          <w:iCs/>
        </w:rPr>
        <w:t xml:space="preserve">, Odessa </w:t>
      </w:r>
      <w:r>
        <w:rPr>
          <w:i/>
          <w:iCs/>
        </w:rPr>
        <w:t>(</w:t>
      </w:r>
      <w:r w:rsidRPr="00086CBD">
        <w:rPr>
          <w:i/>
          <w:iCs/>
        </w:rPr>
        <w:t>Ukraine</w:t>
      </w:r>
      <w:r>
        <w:rPr>
          <w:i/>
          <w:iCs/>
        </w:rPr>
        <w:t>)</w:t>
      </w:r>
      <w:r w:rsidRPr="00086CBD">
        <w:rPr>
          <w:i/>
          <w:iCs/>
        </w:rPr>
        <w:t xml:space="preserve">, Oknica and Kisinjev </w:t>
      </w:r>
      <w:r>
        <w:rPr>
          <w:i/>
          <w:iCs/>
        </w:rPr>
        <w:t>(</w:t>
      </w:r>
      <w:r w:rsidRPr="00086CBD">
        <w:rPr>
          <w:i/>
          <w:iCs/>
        </w:rPr>
        <w:t>Moldavia</w:t>
      </w:r>
      <w:r>
        <w:rPr>
          <w:i/>
          <w:iCs/>
        </w:rPr>
        <w:t>)</w:t>
      </w:r>
      <w:r w:rsidRPr="00086CBD">
        <w:rPr>
          <w:i/>
          <w:iCs/>
        </w:rPr>
        <w:t xml:space="preserve">, Bucarest and Arad Curtici </w:t>
      </w:r>
      <w:r>
        <w:rPr>
          <w:i/>
          <w:iCs/>
        </w:rPr>
        <w:t>(</w:t>
      </w:r>
      <w:r w:rsidRPr="00086CBD">
        <w:rPr>
          <w:i/>
          <w:iCs/>
        </w:rPr>
        <w:t>Romania</w:t>
      </w:r>
      <w:r>
        <w:rPr>
          <w:i/>
          <w:iCs/>
        </w:rPr>
        <w:t>)</w:t>
      </w:r>
      <w:r w:rsidRPr="00086CBD">
        <w:rPr>
          <w:i/>
          <w:iCs/>
        </w:rPr>
        <w:t xml:space="preserve"> and Stara Zagora </w:t>
      </w:r>
      <w:r>
        <w:rPr>
          <w:i/>
          <w:iCs/>
        </w:rPr>
        <w:t>(</w:t>
      </w:r>
      <w:r w:rsidRPr="00086CBD">
        <w:rPr>
          <w:i/>
          <w:iCs/>
        </w:rPr>
        <w:t>Bulgaria</w:t>
      </w:r>
      <w:r>
        <w:rPr>
          <w:i/>
          <w:iCs/>
        </w:rPr>
        <w:t>)</w:t>
      </w:r>
      <w:r w:rsidRPr="00086CBD">
        <w:rPr>
          <w:i/>
          <w:iCs/>
        </w:rPr>
        <w:t xml:space="preserve">. </w:t>
      </w:r>
      <w:r w:rsidR="00F5173C" w:rsidRPr="00702488">
        <w:rPr>
          <w:i/>
          <w:iCs/>
        </w:rPr>
        <w:t xml:space="preserve"> </w:t>
      </w:r>
    </w:p>
    <w:p w14:paraId="6941DBBF" w14:textId="77777777" w:rsidR="00891C0F" w:rsidRPr="009F34D1" w:rsidRDefault="00891C0F" w:rsidP="00891C0F">
      <w:pPr>
        <w:shd w:val="clear" w:color="auto" w:fill="D9D9D9" w:themeFill="background1" w:themeFillShade="D9"/>
        <w:rPr>
          <w:b/>
          <w:bCs/>
        </w:rPr>
      </w:pPr>
      <w:r w:rsidRPr="009F34D1">
        <w:rPr>
          <w:b/>
          <w:bCs/>
        </w:rPr>
        <w:t>Terristory: The 5-minute city: Ljubljana 2050</w:t>
      </w:r>
    </w:p>
    <w:p w14:paraId="33DDADED" w14:textId="1E982659" w:rsidR="009F34D1" w:rsidRPr="00C3104B" w:rsidRDefault="00891C0F" w:rsidP="00891C0F">
      <w:pPr>
        <w:shd w:val="clear" w:color="auto" w:fill="D9D9D9" w:themeFill="background1" w:themeFillShade="D9"/>
      </w:pPr>
      <w:r w:rsidRPr="009F34D1">
        <w:t>While the COVID-19 pandemic brought the transition to digital and the final blending between work and leisure it simultaneously also incited the resurrection of the personal contacts. From the growing awareness about the dangers of excessive screen time and socially damaging effects of ever more pervasive digital social networks the ‘back to people’ movement was born. It has been compared to the environment movement and dubbed also ‘The New Humanism’. In Ljubljana, like in most cities and smaller towns, the movement offered an umbrella term for a variety of civil society organization from the fields such as culture, elderly and immigrant care, youth and homeless organizations, but also local businesses and the creative sector, working to bring people together. Focusing on the role and functions of public space by 2040 it facilitated the transformation of the city into a network of 5-minute neighbourhoods, in which all basic and social needs could be fulfilled within a 5-minute walk. It turned out that more frequent personal contacts contributed not only to better quality of life, but also to more effective tackling the effects of climate change.</w:t>
      </w:r>
    </w:p>
    <w:p w14:paraId="5AD779EA" w14:textId="2EF85DB9" w:rsidR="001C2364" w:rsidRPr="00086CBD" w:rsidRDefault="001C2364" w:rsidP="001C2364">
      <w:r w:rsidRPr="00086CBD">
        <w:rPr>
          <w:b/>
          <w:bCs/>
        </w:rPr>
        <w:t>Tourism – travel responsibly</w:t>
      </w:r>
      <w:r w:rsidRPr="00086CBD">
        <w:t>. The steady green and digital transitions have also affected the tourism industry in the region. The quality of life is closely tied with leisure activities and holidays. In addition, being closer to nature increases wellbeing. Hence, by 2050, less crowded rural destinations, national par</w:t>
      </w:r>
      <w:r>
        <w:t>k</w:t>
      </w:r>
      <w:r w:rsidRPr="00086CBD">
        <w:t xml:space="preserve">s and nature-related places, even close to cities have been key destinations for people in the Danube Region </w:t>
      </w:r>
      <w:r w:rsidRPr="00086CBD">
        <w:fldChar w:fldCharType="begin"/>
      </w:r>
      <w:r w:rsidR="001C3DA6">
        <w:instrText xml:space="preserve"> ADDIN ZOTERO_ITEM CSL_CITATION {"citationID":"a24iofoqcvj","properties":{"formattedCitation":"(European Commission, 2021d)","plainCitation":"(European Commission, 2021d)","noteIndex":0},"citationItems":[{"id":8474,"uris":["http://zotero.org/groups/4075961/items/3FMLRCTC"],"itemData":{"id":8474,"type":"report","title":"Regional impacts of the COVID-19 crisis on the tourist sector. Final Report.","author":[{"family":"European Commission","given":""}],"issued":{"date-parts":[["2021"]]}}}],"schema":"https://github.com/citation-style-language/schema/raw/master/csl-citation.json"} </w:instrText>
      </w:r>
      <w:r w:rsidRPr="00086CBD">
        <w:fldChar w:fldCharType="separate"/>
      </w:r>
      <w:r w:rsidR="001C3DA6" w:rsidRPr="001C3DA6">
        <w:rPr>
          <w:rFonts w:ascii="Arial" w:cs="Arial"/>
        </w:rPr>
        <w:t>(European Commission, 2021d)</w:t>
      </w:r>
      <w:r w:rsidRPr="00086CBD">
        <w:fldChar w:fldCharType="end"/>
      </w:r>
      <w:r w:rsidRPr="00086CBD">
        <w:t xml:space="preserve">. The COVID-19 pandemic </w:t>
      </w:r>
      <w:r>
        <w:t>raised</w:t>
      </w:r>
      <w:r w:rsidRPr="00086CBD">
        <w:t xml:space="preserve"> the importance of domestic tourism</w:t>
      </w:r>
      <w:r>
        <w:t xml:space="preserve"> and</w:t>
      </w:r>
      <w:r w:rsidRPr="00086CBD">
        <w:t xml:space="preserve"> closer destinations do not require flights or long drives. This has increased the bonding people </w:t>
      </w:r>
      <w:r>
        <w:t>feel</w:t>
      </w:r>
      <w:r w:rsidRPr="00086CBD">
        <w:t xml:space="preserve"> with their touris</w:t>
      </w:r>
      <w:r>
        <w:t>m</w:t>
      </w:r>
      <w:r w:rsidRPr="00086CBD">
        <w:t xml:space="preserve"> </w:t>
      </w:r>
      <w:r>
        <w:t>destinations</w:t>
      </w:r>
      <w:r w:rsidRPr="00086CBD">
        <w:t xml:space="preserve">, exploring their natural and cultural heritage without being part of harmful mass tourism </w:t>
      </w:r>
      <w:r w:rsidRPr="00086CBD">
        <w:fldChar w:fldCharType="begin"/>
      </w:r>
      <w:r w:rsidR="001C3DA6">
        <w:instrText xml:space="preserve"> ADDIN ZOTERO_ITEM CSL_CITATION {"citationID":"l2uD0B6x","properties":{"formattedCitation":"(European Commission, 2021d)","plainCitation":"(European Commission, 2021d)","noteIndex":0},"citationItems":[{"id":8474,"uris":["http://zotero.org/groups/4075961/items/3FMLRCTC"],"itemData":{"id":8474,"type":"report","title":"Regional impacts of the COVID-19 crisis on the tourist sector. Final Report.","author":[{"family":"European Commission","given":""}],"issued":{"date-parts":[["2021"]]}}}],"schema":"https://github.com/citation-style-language/schema/raw/master/csl-citation.json"} </w:instrText>
      </w:r>
      <w:r w:rsidRPr="00086CBD">
        <w:fldChar w:fldCharType="separate"/>
      </w:r>
      <w:r w:rsidR="001C3DA6" w:rsidRPr="001C3DA6">
        <w:rPr>
          <w:rFonts w:ascii="Arial" w:cs="Arial"/>
        </w:rPr>
        <w:t>(European Commission, 2021d)</w:t>
      </w:r>
      <w:r w:rsidRPr="00086CBD">
        <w:fldChar w:fldCharType="end"/>
      </w:r>
      <w:r w:rsidRPr="00086CBD">
        <w:t>. Sustainability has also affected tourism services, namely accommodation</w:t>
      </w:r>
      <w:r>
        <w:t xml:space="preserve"> and</w:t>
      </w:r>
      <w:r w:rsidRPr="00086CBD">
        <w:t xml:space="preserve"> catering with eco-hotels, less use of plastics, recycling and vegan meals in many tourism hotspots. This </w:t>
      </w:r>
      <w:r>
        <w:t>increases</w:t>
      </w:r>
      <w:r w:rsidRPr="00086CBD">
        <w:t xml:space="preserve"> respect towards the territories and local communities. </w:t>
      </w:r>
      <w:r w:rsidRPr="00086CBD">
        <w:fldChar w:fldCharType="begin"/>
      </w:r>
      <w:r w:rsidR="001C3DA6">
        <w:instrText xml:space="preserve"> ADDIN ZOTERO_ITEM CSL_CITATION {"citationID":"Y6TT32bU","properties":{"formattedCitation":"(European Commission, 2021d)","plainCitation":"(European Commission, 2021d)","noteIndex":0},"citationItems":[{"id":8474,"uris":["http://zotero.org/groups/4075961/items/3FMLRCTC"],"itemData":{"id":8474,"type":"report","title":"Regional impacts of the COVID-19 crisis on the tourist sector. Final Report.","author":[{"family":"European Commission","given":""}],"issued":{"date-parts":[["2021"]]}}}],"schema":"https://github.com/citation-style-language/schema/raw/master/csl-citation.json"} </w:instrText>
      </w:r>
      <w:r w:rsidRPr="00086CBD">
        <w:fldChar w:fldCharType="separate"/>
      </w:r>
      <w:r w:rsidR="001C3DA6" w:rsidRPr="001C3DA6">
        <w:rPr>
          <w:rFonts w:ascii="Arial" w:cs="Arial"/>
        </w:rPr>
        <w:t>(European Commission, 2021d)</w:t>
      </w:r>
      <w:r w:rsidRPr="00086CBD">
        <w:fldChar w:fldCharType="end"/>
      </w:r>
      <w:r w:rsidRPr="00086CBD">
        <w:t xml:space="preserve"> Digitalisation has also </w:t>
      </w:r>
      <w:r>
        <w:t>improved</w:t>
      </w:r>
      <w:r w:rsidRPr="00086CBD">
        <w:t xml:space="preserve"> services.  </w:t>
      </w:r>
    </w:p>
    <w:p w14:paraId="176CE23F" w14:textId="76CB180B" w:rsidR="001C2364" w:rsidRPr="00086CBD" w:rsidRDefault="001C2364" w:rsidP="001C2364">
      <w:pPr>
        <w:rPr>
          <w:i/>
          <w:iCs/>
        </w:rPr>
      </w:pPr>
      <w:r w:rsidRPr="00086CBD">
        <w:rPr>
          <w:i/>
          <w:iCs/>
        </w:rPr>
        <w:t xml:space="preserve">Regions </w:t>
      </w:r>
      <w:r>
        <w:rPr>
          <w:i/>
          <w:iCs/>
        </w:rPr>
        <w:t>where</w:t>
      </w:r>
      <w:r w:rsidRPr="00086CBD">
        <w:rPr>
          <w:i/>
          <w:iCs/>
        </w:rPr>
        <w:t xml:space="preserve"> employment largely depends on tourism </w:t>
      </w:r>
      <w:r>
        <w:rPr>
          <w:i/>
          <w:iCs/>
        </w:rPr>
        <w:t>that</w:t>
      </w:r>
      <w:r w:rsidRPr="00086CBD">
        <w:rPr>
          <w:i/>
          <w:iCs/>
        </w:rPr>
        <w:t xml:space="preserve"> have been resilient after the COVID-19 pandemic implemented dedicated policies or focused their Regional Innovations </w:t>
      </w:r>
      <w:r>
        <w:rPr>
          <w:i/>
          <w:iCs/>
        </w:rPr>
        <w:t>S</w:t>
      </w:r>
      <w:r w:rsidRPr="00086CBD">
        <w:rPr>
          <w:i/>
          <w:iCs/>
        </w:rPr>
        <w:t>trategies on tourism</w:t>
      </w:r>
      <w:r>
        <w:rPr>
          <w:i/>
          <w:iCs/>
        </w:rPr>
        <w:t>. These</w:t>
      </w:r>
      <w:r w:rsidRPr="00086CBD">
        <w:rPr>
          <w:i/>
          <w:iCs/>
        </w:rPr>
        <w:t xml:space="preserve"> were pioneer</w:t>
      </w:r>
      <w:r>
        <w:rPr>
          <w:i/>
          <w:iCs/>
        </w:rPr>
        <w:t>s of</w:t>
      </w:r>
      <w:r w:rsidRPr="00086CBD">
        <w:rPr>
          <w:i/>
          <w:iCs/>
        </w:rPr>
        <w:t xml:space="preserve"> ‘getting back to normal’ and also invest</w:t>
      </w:r>
      <w:r>
        <w:rPr>
          <w:i/>
          <w:iCs/>
        </w:rPr>
        <w:t>ed</w:t>
      </w:r>
      <w:r w:rsidRPr="00086CBD">
        <w:rPr>
          <w:i/>
          <w:iCs/>
        </w:rPr>
        <w:t xml:space="preserve"> in sustainable tourism. Such regions</w:t>
      </w:r>
      <w:r>
        <w:rPr>
          <w:i/>
          <w:iCs/>
        </w:rPr>
        <w:t xml:space="preserve"> include</w:t>
      </w:r>
      <w:r w:rsidRPr="00086CBD">
        <w:rPr>
          <w:i/>
          <w:iCs/>
        </w:rPr>
        <w:t xml:space="preserve"> south and west Austria, Slovenia and </w:t>
      </w:r>
      <w:r>
        <w:rPr>
          <w:i/>
          <w:iCs/>
        </w:rPr>
        <w:t xml:space="preserve">the </w:t>
      </w:r>
      <w:r w:rsidRPr="00086CBD">
        <w:rPr>
          <w:i/>
          <w:iCs/>
        </w:rPr>
        <w:t xml:space="preserve">north of Italy, unlike regions in Slovakia, Hungary, west of Romania, and most of Bulgaria. </w:t>
      </w:r>
      <w:r>
        <w:rPr>
          <w:i/>
          <w:iCs/>
        </w:rPr>
        <w:t>There are c</w:t>
      </w:r>
      <w:r w:rsidRPr="00086CBD">
        <w:rPr>
          <w:i/>
          <w:iCs/>
        </w:rPr>
        <w:t xml:space="preserve">hallenges for Severoitztochen in Bulgaria where tourism is key to employment, but no Regional Innovation Strategy provides any support. </w:t>
      </w:r>
      <w:r w:rsidRPr="00086CBD">
        <w:rPr>
          <w:i/>
          <w:iCs/>
        </w:rPr>
        <w:fldChar w:fldCharType="begin"/>
      </w:r>
      <w:r w:rsidR="001C3DA6">
        <w:rPr>
          <w:i/>
          <w:iCs/>
        </w:rPr>
        <w:instrText xml:space="preserve"> ADDIN ZOTERO_ITEM CSL_CITATION {"citationID":"a1dihjoccvj","properties":{"formattedCitation":"(European Commission, 2021d)","plainCitation":"(European Commission, 2021d)","noteIndex":0},"citationItems":[{"id":8474,"uris":["http://zotero.org/groups/4075961/items/3FMLRCTC"],"itemData":{"id":8474,"type":"report","title":"Regional impacts of the COVID-19 crisis on the tourist sector. Final Report.","author":[{"family":"European Commission","given":""}],"issued":{"date-parts":[["2021"]]}}}],"schema":"https://github.com/citation-style-language/schema/raw/master/csl-citation.json"} </w:instrText>
      </w:r>
      <w:r w:rsidRPr="00086CBD">
        <w:rPr>
          <w:i/>
          <w:iCs/>
        </w:rPr>
        <w:fldChar w:fldCharType="separate"/>
      </w:r>
      <w:r w:rsidR="001C3DA6" w:rsidRPr="001C3DA6">
        <w:rPr>
          <w:rFonts w:ascii="Arial" w:cs="Arial"/>
        </w:rPr>
        <w:t>(European Commission, 2021d)</w:t>
      </w:r>
      <w:r w:rsidRPr="00086CBD">
        <w:rPr>
          <w:i/>
          <w:iCs/>
        </w:rPr>
        <w:fldChar w:fldCharType="end"/>
      </w:r>
    </w:p>
    <w:p w14:paraId="5FC81B9C" w14:textId="7A95CEFF" w:rsidR="00F37689" w:rsidRPr="00086CBD" w:rsidRDefault="00F37689" w:rsidP="00F37689">
      <w:r w:rsidRPr="00086CBD">
        <w:rPr>
          <w:b/>
          <w:bCs/>
        </w:rPr>
        <w:t>From Farm to Fork</w:t>
      </w:r>
      <w:r w:rsidRPr="00086CBD">
        <w:t>. Good quality food, sustainable production, reduced loss and waste prevention, all contribute indirectly to people</w:t>
      </w:r>
      <w:r>
        <w:t>’</w:t>
      </w:r>
      <w:r w:rsidRPr="00086CBD">
        <w:t xml:space="preserve">s wellbeing in the Danube Region. In this case, the strong focus on sustainability and Green Deal implementation has supported sustainable food systems and their links to healthy people and </w:t>
      </w:r>
      <w:r>
        <w:t xml:space="preserve">the </w:t>
      </w:r>
      <w:r w:rsidRPr="00086CBD">
        <w:t xml:space="preserve">planet </w:t>
      </w:r>
      <w:r w:rsidRPr="00086CBD">
        <w:fldChar w:fldCharType="begin"/>
      </w:r>
      <w:r w:rsidR="001C3DA6">
        <w:instrText xml:space="preserve"> ADDIN ZOTERO_ITEM CSL_CITATION {"citationID":"abdu5vq82i","properties":{"formattedCitation":"(European Commission, 2020f)","plainCitation":"(European Commission, 2020f)","noteIndex":0},"citationItems":[{"id":4915,"uris":["http://zotero.org/groups/21774/items/4YQBPE4F"],"itemData":{"id":4915,"type":"document","title":"Communication from the Commission to the European Parliament, the Council, the European Economic and Social Committee and the Committee of the Regions. A Farm to Fork Strategy for a fair, healthy and environmentally-friendly food system","URL":"https://ec.europa.eu/food/farm2fork_en","author":[{"family":"European Commission","given":""}],"accessed":{"date-parts":[["2020",10,12]]},"issued":{"date-parts":[["2020"]]}}}],"schema":"https://github.com/citation-style-language/schema/raw/master/csl-citation.json"} </w:instrText>
      </w:r>
      <w:r w:rsidRPr="00086CBD">
        <w:fldChar w:fldCharType="separate"/>
      </w:r>
      <w:r w:rsidR="001C3DA6" w:rsidRPr="001C3DA6">
        <w:rPr>
          <w:rFonts w:ascii="Arial" w:cs="Arial"/>
        </w:rPr>
        <w:t>(European Commission, 2020f)</w:t>
      </w:r>
      <w:r w:rsidRPr="00086CBD">
        <w:fldChar w:fldCharType="end"/>
      </w:r>
      <w:r w:rsidRPr="00086CBD">
        <w:t xml:space="preserve">. The stronger autonomous role of the EU has </w:t>
      </w:r>
      <w:r>
        <w:t>enabled</w:t>
      </w:r>
      <w:r w:rsidRPr="00086CBD">
        <w:t xml:space="preserve"> more resilient food systems within the EU and also </w:t>
      </w:r>
      <w:r>
        <w:t>reduced</w:t>
      </w:r>
      <w:r w:rsidRPr="00086CBD">
        <w:t xml:space="preserve"> global dependencies. The Danube Region, </w:t>
      </w:r>
      <w:r>
        <w:t>with</w:t>
      </w:r>
      <w:r w:rsidRPr="00086CBD">
        <w:t xml:space="preserve"> large agricultural areas ha</w:t>
      </w:r>
      <w:r>
        <w:t>s</w:t>
      </w:r>
      <w:r w:rsidRPr="00086CBD">
        <w:t xml:space="preserve"> pioneered the field. Following the Farm to Fork policy, by 2050 food chains have zero environmental footprint, there is high food security and food is affordable and fair </w:t>
      </w:r>
      <w:r w:rsidRPr="00086CBD">
        <w:fldChar w:fldCharType="begin"/>
      </w:r>
      <w:r w:rsidR="001C3DA6">
        <w:instrText xml:space="preserve"> ADDIN ZOTERO_ITEM CSL_CITATION {"citationID":"vxUGO2OX","properties":{"formattedCitation":"(European Commission, 2020f)","plainCitation":"(European Commission, 2020f)","noteIndex":0},"citationItems":[{"id":4915,"uris":["http://zotero.org/groups/21774/items/4YQBPE4F"],"itemData":{"id":4915,"type":"document","title":"Communication from the Commission to the European Parliament, the Council, the European Economic and Social Committee and the Committee of the Regions. A Farm to Fork Strategy for a fair, healthy and environmentally-friendly food system","URL":"https://ec.europa.eu/food/farm2fork_en","author":[{"family":"European Commission","given":""}],"accessed":{"date-parts":[["2020",10,12]]},"issued":{"date-parts":[["2020"]]}}}],"schema":"https://github.com/citation-style-language/schema/raw/master/csl-citation.json"} </w:instrText>
      </w:r>
      <w:r w:rsidRPr="00086CBD">
        <w:fldChar w:fldCharType="separate"/>
      </w:r>
      <w:r w:rsidR="001C3DA6" w:rsidRPr="001C3DA6">
        <w:rPr>
          <w:rFonts w:ascii="Arial" w:cs="Arial"/>
        </w:rPr>
        <w:t>(European Commission, 2020f)</w:t>
      </w:r>
      <w:r w:rsidRPr="00086CBD">
        <w:fldChar w:fldCharType="end"/>
      </w:r>
      <w:r w:rsidRPr="00086CBD">
        <w:t xml:space="preserve">. Certainly, technological developments in agriculture have further supported these goals, making the Danube Region </w:t>
      </w:r>
      <w:r>
        <w:t>a</w:t>
      </w:r>
      <w:r w:rsidRPr="00086CBD">
        <w:t xml:space="preserve"> frontrunner in their application. Smart farming, using special sensors, cloud computing, precision agriculture, automation, new breeding technologies, </w:t>
      </w:r>
      <w:r>
        <w:t>and</w:t>
      </w:r>
      <w:r w:rsidRPr="00086CBD">
        <w:t xml:space="preserve"> crops resistant to climate change are all part of agriculture practices by 2050. </w:t>
      </w:r>
    </w:p>
    <w:p w14:paraId="1AD80B9D" w14:textId="74872C74" w:rsidR="00F37689" w:rsidRPr="00086CBD" w:rsidRDefault="00F37689" w:rsidP="00F37689">
      <w:r w:rsidRPr="00086CBD">
        <w:t xml:space="preserve">Technology has </w:t>
      </w:r>
      <w:r>
        <w:t>led to</w:t>
      </w:r>
      <w:r w:rsidRPr="00086CBD">
        <w:t xml:space="preserve"> more controlled environment ‘indoor’ farms </w:t>
      </w:r>
      <w:r>
        <w:t>by 2050. These</w:t>
      </w:r>
      <w:r w:rsidRPr="00086CBD">
        <w:t xml:space="preserve"> contribute to food security, are locally sourced, independent from weather conditions and able to produce all year long. Farmers are more technology developers, using automation and artificial intelligence to run farms </w:t>
      </w:r>
      <w:r w:rsidRPr="00086CBD">
        <w:fldChar w:fldCharType="begin"/>
      </w:r>
      <w:r w:rsidR="001C3DA6">
        <w:instrText xml:space="preserve"> ADDIN ZOTERO_ITEM CSL_CITATION {"citationID":"a7fa1vt0q3","properties":{"formattedCitation":"(Joint Research Centre, 2021a)","plainCitation":"(Joint Research Centre, 2021a)","noteIndex":0},"citationItems":[{"id":8476,"uris":["http://zotero.org/groups/4075961/items/4RNF2Y84"],"itemData":{"id":8476,"type":"report","title":"Farmers of the Future","author":[{"family":"Joint Research Centre","given":""}],"issued":{"date-parts":[["2021"]]}}}],"schema":"https://github.com/citation-style-language/schema/raw/master/csl-citation.json"} </w:instrText>
      </w:r>
      <w:r w:rsidRPr="00086CBD">
        <w:fldChar w:fldCharType="separate"/>
      </w:r>
      <w:r w:rsidR="001C3DA6" w:rsidRPr="001C3DA6">
        <w:rPr>
          <w:rFonts w:ascii="Arial" w:cs="Arial"/>
        </w:rPr>
        <w:t>(Joint Research Centre, 2021a)</w:t>
      </w:r>
      <w:r w:rsidRPr="00086CBD">
        <w:fldChar w:fldCharType="end"/>
      </w:r>
      <w:r w:rsidRPr="00086CBD">
        <w:t>. Urban farming has also gained importance over the decades, as small-scale farming ha</w:t>
      </w:r>
      <w:r>
        <w:t>s</w:t>
      </w:r>
      <w:r w:rsidRPr="00086CBD">
        <w:t xml:space="preserve"> proven to reduce stress and increase</w:t>
      </w:r>
      <w:r>
        <w:t xml:space="preserve"> a</w:t>
      </w:r>
      <w:r w:rsidRPr="00086CBD">
        <w:t xml:space="preserve"> community feeling. Urban farming combines social care with the urban environment. More specifically, social care </w:t>
      </w:r>
      <w:r>
        <w:t>farming</w:t>
      </w:r>
      <w:r w:rsidRPr="00086CBD">
        <w:t xml:space="preserve"> </w:t>
      </w:r>
      <w:r>
        <w:t>involves</w:t>
      </w:r>
      <w:r w:rsidRPr="00086CBD">
        <w:t xml:space="preserve"> sustainable approaches to farming </w:t>
      </w:r>
      <w:r>
        <w:t>and</w:t>
      </w:r>
      <w:r w:rsidRPr="00086CBD">
        <w:t xml:space="preserve"> eco-services </w:t>
      </w:r>
      <w:r>
        <w:t>with</w:t>
      </w:r>
      <w:r w:rsidRPr="00086CBD">
        <w:t xml:space="preserve"> meaningful manual labour as therapy </w:t>
      </w:r>
      <w:r w:rsidRPr="00086CBD">
        <w:fldChar w:fldCharType="begin"/>
      </w:r>
      <w:r w:rsidR="001C3DA6">
        <w:instrText xml:space="preserve"> ADDIN ZOTERO_ITEM CSL_CITATION {"citationID":"iGt0A6Gz","properties":{"formattedCitation":"(Joint Research Centre, 2021a)","plainCitation":"(Joint Research Centre, 2021a)","noteIndex":0},"citationItems":[{"id":8476,"uris":["http://zotero.org/groups/4075961/items/4RNF2Y84"],"itemData":{"id":8476,"type":"report","title":"Farmers of the Future","author":[{"family":"Joint Research Centre","given":""}],"issued":{"date-parts":[["2021"]]}}}],"schema":"https://github.com/citation-style-language/schema/raw/master/csl-citation.json"} </w:instrText>
      </w:r>
      <w:r w:rsidRPr="00086CBD">
        <w:fldChar w:fldCharType="separate"/>
      </w:r>
      <w:r w:rsidR="001C3DA6" w:rsidRPr="001C3DA6">
        <w:rPr>
          <w:rFonts w:ascii="Arial" w:cs="Arial"/>
        </w:rPr>
        <w:t>(Joint Research Centre, 2021a)</w:t>
      </w:r>
      <w:r w:rsidRPr="00086CBD">
        <w:fldChar w:fldCharType="end"/>
      </w:r>
      <w:r w:rsidRPr="00086CBD">
        <w:t>. The approach increases group work, empathy and communication skills, while the combination of being in nature and increas</w:t>
      </w:r>
      <w:r>
        <w:t>ed</w:t>
      </w:r>
      <w:r w:rsidRPr="00086CBD">
        <w:t xml:space="preserve"> social responsibility contributes to peoples’ wellbeing. For people in urban areas, urban farming combines </w:t>
      </w:r>
      <w:r>
        <w:t>an</w:t>
      </w:r>
      <w:r w:rsidRPr="00086CBD">
        <w:t xml:space="preserve"> urban lifestyle with their agricultural interests. In accordance with the Green Deal and a focus </w:t>
      </w:r>
      <w:r>
        <w:t xml:space="preserve">on </w:t>
      </w:r>
      <w:r w:rsidRPr="00086CBD">
        <w:t xml:space="preserve">wellbeing, more and more people in urban areas </w:t>
      </w:r>
      <w:r>
        <w:t>have</w:t>
      </w:r>
      <w:r w:rsidRPr="00086CBD">
        <w:t xml:space="preserve"> increase</w:t>
      </w:r>
      <w:r>
        <w:t>d</w:t>
      </w:r>
      <w:r w:rsidRPr="00086CBD">
        <w:t xml:space="preserve"> the sustainability of cities and </w:t>
      </w:r>
      <w:r>
        <w:t xml:space="preserve">now </w:t>
      </w:r>
      <w:r w:rsidRPr="00086CBD">
        <w:t xml:space="preserve">contribute to food production </w:t>
      </w:r>
      <w:r w:rsidRPr="00086CBD">
        <w:fldChar w:fldCharType="begin"/>
      </w:r>
      <w:r w:rsidR="001C3DA6">
        <w:instrText xml:space="preserve"> ADDIN ZOTERO_ITEM CSL_CITATION {"citationID":"CbJnKaI2","properties":{"formattedCitation":"(Joint Research Centre, 2021a)","plainCitation":"(Joint Research Centre, 2021a)","noteIndex":0},"citationItems":[{"id":8476,"uris":["http://zotero.org/groups/4075961/items/4RNF2Y84"],"itemData":{"id":8476,"type":"report","title":"Farmers of the Future","author":[{"family":"Joint Research Centre","given":""}],"issued":{"date-parts":[["2021"]]}}}],"schema":"https://github.com/citation-style-language/schema/raw/master/csl-citation.json"} </w:instrText>
      </w:r>
      <w:r w:rsidRPr="00086CBD">
        <w:fldChar w:fldCharType="separate"/>
      </w:r>
      <w:r w:rsidR="001C3DA6" w:rsidRPr="001C3DA6">
        <w:rPr>
          <w:rFonts w:ascii="Arial" w:cs="Arial"/>
        </w:rPr>
        <w:t>(Joint Research Centre, 2021a)</w:t>
      </w:r>
      <w:r w:rsidRPr="00086CBD">
        <w:fldChar w:fldCharType="end"/>
      </w:r>
      <w:r w:rsidRPr="00086CBD">
        <w:t xml:space="preserve">. This makes places and people even more self-sustained, while bio-production is promoted </w:t>
      </w:r>
      <w:r>
        <w:t>as much as</w:t>
      </w:r>
      <w:r w:rsidRPr="00086CBD">
        <w:t xml:space="preserve"> possible.</w:t>
      </w:r>
    </w:p>
    <w:p w14:paraId="6D4234A3" w14:textId="75570E72" w:rsidR="00F37689" w:rsidRPr="00086CBD" w:rsidRDefault="00F37689" w:rsidP="00F37689">
      <w:pPr>
        <w:rPr>
          <w:i/>
          <w:iCs/>
        </w:rPr>
      </w:pPr>
      <w:r w:rsidRPr="00086CBD">
        <w:rPr>
          <w:i/>
          <w:iCs/>
        </w:rPr>
        <w:t xml:space="preserve">Although all territories are affected by the transition in agricultural practices by 2050, they mainly </w:t>
      </w:r>
      <w:r>
        <w:rPr>
          <w:i/>
          <w:iCs/>
        </w:rPr>
        <w:t>affect</w:t>
      </w:r>
      <w:r w:rsidRPr="00086CBD">
        <w:rPr>
          <w:i/>
          <w:iCs/>
        </w:rPr>
        <w:t xml:space="preserve"> places with agricultural land and rural areas. Areas </w:t>
      </w:r>
      <w:r>
        <w:rPr>
          <w:i/>
          <w:iCs/>
        </w:rPr>
        <w:t>with</w:t>
      </w:r>
      <w:r w:rsidRPr="00086CBD">
        <w:rPr>
          <w:i/>
          <w:iCs/>
        </w:rPr>
        <w:t xml:space="preserve"> extensive and intensive use of arable land have </w:t>
      </w:r>
      <w:r>
        <w:rPr>
          <w:i/>
          <w:iCs/>
        </w:rPr>
        <w:t xml:space="preserve">been </w:t>
      </w:r>
      <w:r w:rsidRPr="00086CBD">
        <w:rPr>
          <w:i/>
          <w:iCs/>
        </w:rPr>
        <w:t>primarily affected by the changes in agricultural practices</w:t>
      </w:r>
      <w:r>
        <w:rPr>
          <w:i/>
          <w:iCs/>
        </w:rPr>
        <w:t>. These include</w:t>
      </w:r>
      <w:r w:rsidRPr="00086CBD">
        <w:rPr>
          <w:i/>
          <w:iCs/>
        </w:rPr>
        <w:t xml:space="preserve"> most regions in Hungary, </w:t>
      </w:r>
      <w:r>
        <w:rPr>
          <w:i/>
          <w:iCs/>
        </w:rPr>
        <w:t>such as</w:t>
      </w:r>
      <w:r w:rsidRPr="00086CBD">
        <w:rPr>
          <w:i/>
          <w:iCs/>
        </w:rPr>
        <w:t xml:space="preserve"> Del-Dunantul, Del-Alfold, Eszak-Alfold</w:t>
      </w:r>
      <w:r>
        <w:rPr>
          <w:i/>
          <w:iCs/>
        </w:rPr>
        <w:t xml:space="preserve"> and</w:t>
      </w:r>
      <w:r w:rsidRPr="00086CBD">
        <w:rPr>
          <w:i/>
          <w:iCs/>
        </w:rPr>
        <w:t xml:space="preserve"> Nyugat-Dunantul, </w:t>
      </w:r>
      <w:r>
        <w:rPr>
          <w:i/>
          <w:iCs/>
        </w:rPr>
        <w:t>as well as</w:t>
      </w:r>
      <w:r w:rsidRPr="00086CBD">
        <w:rPr>
          <w:i/>
          <w:iCs/>
        </w:rPr>
        <w:t xml:space="preserve"> Zlapadne Slovensko in Slovakia, south west Oltenia, Sud-Muntenia Sud-Est, Nord-Est, Nord-Vest and Vest in Romania, most regions in central Czech</w:t>
      </w:r>
      <w:r>
        <w:rPr>
          <w:i/>
          <w:iCs/>
        </w:rPr>
        <w:t>ia and the</w:t>
      </w:r>
      <w:r w:rsidRPr="00086CBD">
        <w:rPr>
          <w:i/>
          <w:iCs/>
        </w:rPr>
        <w:t xml:space="preserve"> east of Slovenia. </w:t>
      </w:r>
      <w:r w:rsidRPr="00086CBD">
        <w:rPr>
          <w:rFonts w:ascii="Arial" w:hAnsi="Arial" w:cs="Arial"/>
          <w:i/>
          <w:iCs/>
          <w:color w:val="000000" w:themeColor="text1"/>
          <w:szCs w:val="20"/>
        </w:rPr>
        <w:t>Places with high innovation and R&amp;D are also important to develop</w:t>
      </w:r>
      <w:r>
        <w:rPr>
          <w:rFonts w:ascii="Arial" w:hAnsi="Arial" w:cs="Arial"/>
          <w:i/>
          <w:iCs/>
          <w:color w:val="000000" w:themeColor="text1"/>
          <w:szCs w:val="20"/>
        </w:rPr>
        <w:t>ing</w:t>
      </w:r>
      <w:r w:rsidRPr="00086CBD">
        <w:rPr>
          <w:rFonts w:ascii="Arial" w:hAnsi="Arial" w:cs="Arial"/>
          <w:i/>
          <w:iCs/>
          <w:color w:val="000000" w:themeColor="text1"/>
          <w:szCs w:val="20"/>
        </w:rPr>
        <w:t xml:space="preserve"> relevant technolog</w:t>
      </w:r>
      <w:r>
        <w:rPr>
          <w:rFonts w:ascii="Arial" w:hAnsi="Arial" w:cs="Arial"/>
          <w:i/>
          <w:iCs/>
          <w:color w:val="000000" w:themeColor="text1"/>
          <w:szCs w:val="20"/>
        </w:rPr>
        <w:t>y</w:t>
      </w:r>
      <w:r w:rsidRPr="00086CBD">
        <w:rPr>
          <w:rFonts w:ascii="Arial" w:hAnsi="Arial" w:cs="Arial"/>
          <w:i/>
          <w:iCs/>
          <w:color w:val="000000" w:themeColor="text1"/>
          <w:szCs w:val="20"/>
        </w:rPr>
        <w:t xml:space="preserve"> and those </w:t>
      </w:r>
      <w:r>
        <w:rPr>
          <w:rFonts w:ascii="Arial" w:hAnsi="Arial" w:cs="Arial"/>
          <w:i/>
          <w:iCs/>
          <w:color w:val="000000" w:themeColor="text1"/>
          <w:szCs w:val="20"/>
        </w:rPr>
        <w:t>with</w:t>
      </w:r>
      <w:r w:rsidRPr="00086CBD">
        <w:rPr>
          <w:rFonts w:ascii="Arial" w:hAnsi="Arial" w:cs="Arial"/>
          <w:i/>
          <w:iCs/>
          <w:color w:val="000000" w:themeColor="text1"/>
          <w:szCs w:val="20"/>
        </w:rPr>
        <w:t xml:space="preserve"> know-how </w:t>
      </w:r>
      <w:r>
        <w:rPr>
          <w:rFonts w:ascii="Arial" w:hAnsi="Arial" w:cs="Arial"/>
          <w:i/>
          <w:iCs/>
          <w:color w:val="000000" w:themeColor="text1"/>
          <w:szCs w:val="20"/>
        </w:rPr>
        <w:t>can</w:t>
      </w:r>
      <w:r w:rsidRPr="00086CBD">
        <w:rPr>
          <w:rFonts w:ascii="Arial" w:hAnsi="Arial" w:cs="Arial"/>
          <w:i/>
          <w:iCs/>
          <w:color w:val="000000" w:themeColor="text1"/>
          <w:szCs w:val="20"/>
        </w:rPr>
        <w:t xml:space="preserve"> transmit smart farming </w:t>
      </w:r>
      <w:r>
        <w:rPr>
          <w:rFonts w:ascii="Arial" w:hAnsi="Arial" w:cs="Arial"/>
          <w:i/>
          <w:iCs/>
          <w:color w:val="000000" w:themeColor="text1"/>
          <w:szCs w:val="20"/>
        </w:rPr>
        <w:t xml:space="preserve">ideas </w:t>
      </w:r>
      <w:r w:rsidRPr="00086CBD">
        <w:rPr>
          <w:rFonts w:ascii="Arial" w:hAnsi="Arial" w:cs="Arial"/>
          <w:i/>
          <w:iCs/>
          <w:color w:val="000000" w:themeColor="text1"/>
          <w:szCs w:val="20"/>
        </w:rPr>
        <w:t xml:space="preserve">to rural areas. </w:t>
      </w:r>
      <w:r w:rsidRPr="00086CBD">
        <w:rPr>
          <w:rFonts w:ascii="Arial" w:hAnsi="Arial" w:cs="Arial"/>
          <w:i/>
          <w:iCs/>
          <w:color w:val="000000" w:themeColor="text1"/>
          <w:szCs w:val="20"/>
        </w:rPr>
        <w:fldChar w:fldCharType="begin"/>
      </w:r>
      <w:r w:rsidR="001C3DA6">
        <w:rPr>
          <w:rFonts w:ascii="Arial" w:hAnsi="Arial" w:cs="Arial"/>
          <w:i/>
          <w:iCs/>
          <w:color w:val="000000" w:themeColor="text1"/>
          <w:szCs w:val="20"/>
        </w:rPr>
        <w:instrText xml:space="preserve"> ADDIN ZOTERO_ITEM CSL_CITATION {"citationID":"ap1co2trki","properties":{"formattedCitation":"(EEA, 2017)","plainCitation":"(EEA, 2017)","noteIndex":0},"citationItems":[{"id":8490,"uris":["http://zotero.org/groups/4075961/items/K6ZDCE6R"],"itemData":{"id":8490,"type":"map","title":"Agricultural land use intensity","author":[{"family":"EEA","given":""}],"issued":{"date-parts":[["2017"]]}}}],"schema":"https://github.com/citation-style-language/schema/raw/master/csl-citation.json"} </w:instrText>
      </w:r>
      <w:r w:rsidRPr="00086CBD">
        <w:rPr>
          <w:rFonts w:ascii="Arial" w:hAnsi="Arial" w:cs="Arial"/>
          <w:i/>
          <w:iCs/>
          <w:color w:val="000000" w:themeColor="text1"/>
          <w:szCs w:val="20"/>
        </w:rPr>
        <w:fldChar w:fldCharType="separate"/>
      </w:r>
      <w:r w:rsidR="001C3DA6" w:rsidRPr="001C3DA6">
        <w:rPr>
          <w:rFonts w:ascii="Arial" w:hAnsi="Arial" w:cs="Arial"/>
          <w:color w:val="000000"/>
        </w:rPr>
        <w:t>(EEA, 2017)</w:t>
      </w:r>
      <w:r w:rsidRPr="00086CBD">
        <w:rPr>
          <w:rFonts w:ascii="Arial" w:hAnsi="Arial" w:cs="Arial"/>
          <w:i/>
          <w:iCs/>
          <w:color w:val="000000" w:themeColor="text1"/>
          <w:szCs w:val="20"/>
        </w:rPr>
        <w:fldChar w:fldCharType="end"/>
      </w:r>
    </w:p>
    <w:p w14:paraId="1ACDADFA" w14:textId="77777777" w:rsidR="00000AE5" w:rsidRPr="00086CBD" w:rsidRDefault="00000AE5" w:rsidP="00000AE5">
      <w:r w:rsidRPr="00086CBD">
        <w:rPr>
          <w:b/>
          <w:bCs/>
        </w:rPr>
        <w:t>Living the good life</w:t>
      </w:r>
      <w:r w:rsidRPr="00086CBD">
        <w:t xml:space="preserve">. The challenges that Europe faced during the 2020s made people in the Danube Region realise that their wellbeing and happiness is of outmost importance. Hence, the focus on environmental and social quality of life by implementing policies such as the Green Deal </w:t>
      </w:r>
      <w:r>
        <w:t>along with</w:t>
      </w:r>
      <w:r w:rsidRPr="00086CBD">
        <w:t xml:space="preserve"> strong trust </w:t>
      </w:r>
      <w:r>
        <w:t xml:space="preserve">in </w:t>
      </w:r>
      <w:r w:rsidRPr="00086CBD">
        <w:t>governance and EU institutions has been pivotal. This approach follows the Aristotelian ‘</w:t>
      </w:r>
      <w:r w:rsidRPr="00086CBD">
        <w:rPr>
          <w:i/>
          <w:iCs/>
        </w:rPr>
        <w:t>eudaimonia’</w:t>
      </w:r>
      <w:r w:rsidRPr="00086CBD">
        <w:t>, ‘good spirit’, where people</w:t>
      </w:r>
      <w:r>
        <w:t>’</w:t>
      </w:r>
      <w:r w:rsidRPr="00086CBD">
        <w:t xml:space="preserve">s happiness is the highest good and achieved only after </w:t>
      </w:r>
      <w:r>
        <w:t>major</w:t>
      </w:r>
      <w:r w:rsidRPr="00086CBD">
        <w:t xml:space="preserve"> effort. In the Danube Region, people</w:t>
      </w:r>
      <w:r>
        <w:t xml:space="preserve"> are</w:t>
      </w:r>
      <w:r w:rsidRPr="00086CBD">
        <w:t xml:space="preserve"> finding </w:t>
      </w:r>
      <w:r>
        <w:t xml:space="preserve">good life </w:t>
      </w:r>
      <w:r w:rsidRPr="00086CBD">
        <w:t>purpose</w:t>
      </w:r>
      <w:r>
        <w:t>s</w:t>
      </w:r>
      <w:r w:rsidRPr="00086CBD">
        <w:t xml:space="preserve"> in good environmental </w:t>
      </w:r>
      <w:r>
        <w:t xml:space="preserve">and social </w:t>
      </w:r>
      <w:r w:rsidRPr="00086CBD">
        <w:t>conditions.</w:t>
      </w:r>
    </w:p>
    <w:p w14:paraId="62ED5481" w14:textId="7F9FD422" w:rsidR="006250AC" w:rsidRPr="00702488" w:rsidRDefault="00000AE5" w:rsidP="006006AC">
      <w:r w:rsidRPr="00086CBD">
        <w:rPr>
          <w:b/>
          <w:bCs/>
        </w:rPr>
        <w:t>Living well with our neighbours: Together we stand, divided we fall</w:t>
      </w:r>
      <w:r w:rsidRPr="00086CBD">
        <w:t xml:space="preserve">. The </w:t>
      </w:r>
      <w:r>
        <w:t>third decade</w:t>
      </w:r>
      <w:r w:rsidRPr="00086CBD">
        <w:t xml:space="preserve"> of the 20</w:t>
      </w:r>
      <w:r w:rsidRPr="00086CBD">
        <w:rPr>
          <w:vertAlign w:val="superscript"/>
        </w:rPr>
        <w:t>th</w:t>
      </w:r>
      <w:r w:rsidRPr="00086CBD">
        <w:t xml:space="preserve"> century </w:t>
      </w:r>
      <w:r>
        <w:t>saw not</w:t>
      </w:r>
      <w:r w:rsidRPr="00086CBD">
        <w:t xml:space="preserve"> only a pandemic but also with a war at the eastern border of the Danube Region. Those challenges have been acknowledged and the strategic autonomous role of the EU increas</w:t>
      </w:r>
      <w:r>
        <w:t>ed</w:t>
      </w:r>
      <w:r w:rsidRPr="00086CBD">
        <w:t xml:space="preserve"> by 2050, </w:t>
      </w:r>
      <w:r>
        <w:t xml:space="preserve">reducing such </w:t>
      </w:r>
      <w:r w:rsidRPr="00086CBD">
        <w:t xml:space="preserve">challenges. The key message has been that cooperation, integration and solidarity are key for the wellbeing of people in the Danube Region and their neighbours. Over the years, the integration of countries from the Western Balkans has taken shape, </w:t>
      </w:r>
      <w:r>
        <w:t>as well as</w:t>
      </w:r>
      <w:r w:rsidRPr="00086CBD">
        <w:t xml:space="preserve"> stronger cooperation with Ukraine and neighbours. Stronger together has been a mot</w:t>
      </w:r>
      <w:r>
        <w:t>t</w:t>
      </w:r>
      <w:r w:rsidRPr="00086CBD">
        <w:t xml:space="preserve">o for territories in the Danube Region and integration has been </w:t>
      </w:r>
      <w:r>
        <w:t>a</w:t>
      </w:r>
      <w:r w:rsidRPr="00086CBD">
        <w:t xml:space="preserve"> beacon for future policy developments. The more strategic role of the EU has allowed </w:t>
      </w:r>
      <w:r>
        <w:t>it</w:t>
      </w:r>
      <w:r w:rsidRPr="00086CBD">
        <w:t xml:space="preserve"> to become more extrovert and play a more global role, at the same time strengthening subsidiarity within member states. Hand in hand with the Global Gateway initiative, the EU is now a key player in big infrastructure projects across its neighbourhood and around the world, supporting physical and digital infrastructure projects, spreading democratic values and good governance, speeding up sustainable development around the world, focusing on security and health </w:t>
      </w:r>
      <w:r w:rsidRPr="00086CBD">
        <w:fldChar w:fldCharType="begin"/>
      </w:r>
      <w:r w:rsidR="001C3DA6">
        <w:instrText xml:space="preserve"> ADDIN ZOTERO_ITEM CSL_CITATION {"citationID":"a1eukfggon6","properties":{"formattedCitation":"(European Commission, 2021a)","plainCitation":"(European Commission, 2021a)","noteIndex":0},"citationItems":[{"id":8494,"uris":["http://zotero.org/groups/4075961/items/698TY6GN"],"itemData":{"id":8494,"type":"document","title":"Joint Communication to the European Parliament, the Council, the European Economic and Social Committee, the Committee of the Regions and the European Investment Bank. The Global Gateway. JOIN(2021) 30 final.","author":[{"family":"European Commission","given":""}],"issued":{"date-parts":[["2021",12,1]]}}}],"schema":"https://github.com/citation-style-language/schema/raw/master/csl-citation.json"} </w:instrText>
      </w:r>
      <w:r w:rsidRPr="00086CBD">
        <w:fldChar w:fldCharType="separate"/>
      </w:r>
      <w:r w:rsidR="001C3DA6" w:rsidRPr="001C3DA6">
        <w:rPr>
          <w:rFonts w:ascii="Arial" w:cs="Arial"/>
        </w:rPr>
        <w:t>(European Commission, 2021a)</w:t>
      </w:r>
      <w:r w:rsidRPr="00086CBD">
        <w:fldChar w:fldCharType="end"/>
      </w:r>
      <w:r w:rsidRPr="00086CBD">
        <w:t>.</w:t>
      </w:r>
    </w:p>
    <w:p w14:paraId="6D254A95" w14:textId="1648A527" w:rsidR="00A4522C" w:rsidRDefault="00972E3B" w:rsidP="00C1422E">
      <w:r w:rsidRPr="00086CBD">
        <w:rPr>
          <w:b/>
          <w:bCs/>
        </w:rPr>
        <w:t>From the macro-regional, to a European culture</w:t>
      </w:r>
      <w:r w:rsidRPr="00086CBD">
        <w:t xml:space="preserve">. In its new global profile, the EU has focused on ensuring and promoting core European values. These shape both old </w:t>
      </w:r>
      <w:r>
        <w:t>and</w:t>
      </w:r>
      <w:r w:rsidRPr="00086CBD">
        <w:t xml:space="preserve"> new members </w:t>
      </w:r>
      <w:r>
        <w:t>of</w:t>
      </w:r>
      <w:r w:rsidRPr="00086CBD">
        <w:t xml:space="preserve"> the union. </w:t>
      </w:r>
      <w:r>
        <w:t>Citizen</w:t>
      </w:r>
      <w:r w:rsidRPr="00086CBD">
        <w:t xml:space="preserve"> exchange</w:t>
      </w:r>
      <w:r>
        <w:t>s</w:t>
      </w:r>
      <w:r w:rsidRPr="00086CBD">
        <w:t xml:space="preserve"> through different platforms, </w:t>
      </w:r>
      <w:r>
        <w:t>with more</w:t>
      </w:r>
      <w:r w:rsidRPr="00086CBD">
        <w:t xml:space="preserve"> interactions and engagement has increased trust in the EU</w:t>
      </w:r>
      <w:r>
        <w:t>. This has</w:t>
      </w:r>
      <w:r w:rsidRPr="00086CBD">
        <w:t xml:space="preserve"> helped further develop, cultivat</w:t>
      </w:r>
      <w:r>
        <w:t>e</w:t>
      </w:r>
      <w:r w:rsidRPr="00086CBD">
        <w:t xml:space="preserve"> and shar</w:t>
      </w:r>
      <w:r>
        <w:t>e</w:t>
      </w:r>
      <w:r w:rsidRPr="00086CBD">
        <w:t xml:space="preserve"> EU values, </w:t>
      </w:r>
      <w:r>
        <w:t>also creating</w:t>
      </w:r>
      <w:r w:rsidRPr="00086CBD">
        <w:t xml:space="preserve"> an overall EU culture and citizenship. The EUSDR has been a microcosm of the development of such a common culture. Core values such as human dignity, democracy, freedom, equality, rule of law</w:t>
      </w:r>
      <w:r>
        <w:t xml:space="preserve"> and</w:t>
      </w:r>
      <w:r w:rsidRPr="00086CBD">
        <w:t xml:space="preserve"> respect </w:t>
      </w:r>
      <w:r>
        <w:t>for</w:t>
      </w:r>
      <w:r w:rsidRPr="00086CBD">
        <w:t xml:space="preserve"> human rights have been foundations for the European way of life </w:t>
      </w:r>
      <w:r w:rsidR="00B4053D" w:rsidRPr="00702488">
        <w:t>and incorporated in the Danube Region citizens</w:t>
      </w:r>
      <w:r>
        <w:t>’</w:t>
      </w:r>
      <w:r w:rsidR="00FA0429" w:rsidRPr="00702488">
        <w:t xml:space="preserve"> way of life. </w:t>
      </w:r>
    </w:p>
    <w:p w14:paraId="7D2CE807" w14:textId="77777777" w:rsidR="00A4522C" w:rsidRDefault="00A4522C">
      <w:pPr>
        <w:spacing w:before="0"/>
        <w:jc w:val="left"/>
      </w:pPr>
      <w:r>
        <w:br w:type="page"/>
      </w:r>
    </w:p>
    <w:p w14:paraId="438629F5" w14:textId="7C895894" w:rsidR="00A4522C" w:rsidRDefault="00A4522C" w:rsidP="00A4522C">
      <w:pPr>
        <w:pStyle w:val="Heading1"/>
      </w:pPr>
      <w:bookmarkStart w:id="24" w:name="_Toc100584665"/>
      <w:r>
        <w:t>Concluding reflections</w:t>
      </w:r>
      <w:bookmarkEnd w:id="24"/>
    </w:p>
    <w:p w14:paraId="29B93AD2" w14:textId="5AAD39C8" w:rsidR="00174BC7" w:rsidRPr="00174BC7" w:rsidRDefault="00505155" w:rsidP="00174BC7">
      <w:r>
        <w:t xml:space="preserve">What can we draw </w:t>
      </w:r>
      <w:r w:rsidR="009F05A9">
        <w:t>from</w:t>
      </w:r>
      <w:r>
        <w:t xml:space="preserve"> the alternative territorial scenario ‘Flourishing in green and social wellbeing</w:t>
      </w:r>
      <w:r w:rsidR="009F05A9">
        <w:t>’</w:t>
      </w:r>
      <w:r>
        <w:t>?</w:t>
      </w:r>
      <w:r w:rsidR="009F05A9">
        <w:t xml:space="preserve"> </w:t>
      </w:r>
      <w:r w:rsidR="00541020">
        <w:t xml:space="preserve">The alternative territorial scenario has </w:t>
      </w:r>
      <w:r w:rsidR="00B9310F">
        <w:t xml:space="preserve">capitalised on the work carried out through the desk research and the co-creation process </w:t>
      </w:r>
      <w:r w:rsidR="00BF2ABC">
        <w:t xml:space="preserve">to develop the core foundations upon it has been developed. </w:t>
      </w:r>
      <w:r w:rsidR="00E424CD">
        <w:t xml:space="preserve">Those core foundations </w:t>
      </w:r>
      <w:r w:rsidR="00D6306B">
        <w:t xml:space="preserve">of the scenario have been the basis for the further development of the scenario and unfolding the key storylines and elements, as well as identifying </w:t>
      </w:r>
      <w:r w:rsidR="000C69DB">
        <w:t xml:space="preserve">their </w:t>
      </w:r>
      <w:r w:rsidR="00D6306B">
        <w:t>territorial implications.</w:t>
      </w:r>
      <w:r w:rsidR="000C69DB">
        <w:t xml:space="preserve"> The following sections present first shortly those core foundations of the scenario. Second, they show the links </w:t>
      </w:r>
      <w:r w:rsidR="00341618">
        <w:t>of the key foundations to the storylines and elements of the scenarios, as well as overall</w:t>
      </w:r>
      <w:r w:rsidR="000C69DB">
        <w:t xml:space="preserve"> territorial implica</w:t>
      </w:r>
      <w:r w:rsidR="00341618">
        <w:t xml:space="preserve">tions the scenario has. </w:t>
      </w:r>
    </w:p>
    <w:p w14:paraId="4B8E9219" w14:textId="2374FD14" w:rsidR="00174BC7" w:rsidRDefault="00174BC7" w:rsidP="00174BC7">
      <w:pPr>
        <w:pStyle w:val="Heading2"/>
      </w:pPr>
      <w:bookmarkStart w:id="25" w:name="_Toc100584666"/>
      <w:r>
        <w:t>What are the foundations of the scenario?</w:t>
      </w:r>
      <w:bookmarkEnd w:id="25"/>
    </w:p>
    <w:p w14:paraId="258CDBBB" w14:textId="67D1748F" w:rsidR="00BF7203" w:rsidRDefault="0053700C" w:rsidP="00DB3D24">
      <w:pPr>
        <w:pStyle w:val="BodyText"/>
      </w:pPr>
      <w:r>
        <w:t xml:space="preserve">The alternative territorial scenario ‘Flourishing in green and social wellbeing’ </w:t>
      </w:r>
      <w:r w:rsidR="00F20963">
        <w:t xml:space="preserve">is a highly policy driven scenario, focusing on the green, digital and just transitions and their possible implications. The scenario </w:t>
      </w:r>
      <w:r w:rsidR="00BF7203">
        <w:t>has been built along five core foundations, as shown in the figure below.</w:t>
      </w:r>
    </w:p>
    <w:p w14:paraId="192FFA00" w14:textId="23E4968F" w:rsidR="00BF7203" w:rsidRDefault="00BF7203" w:rsidP="00BF7203">
      <w:pPr>
        <w:pStyle w:val="Caption"/>
      </w:pPr>
      <w:bookmarkStart w:id="26" w:name="_Toc100584684"/>
      <w:r>
        <w:t xml:space="preserve">Figure </w:t>
      </w:r>
      <w:r w:rsidR="008B0066">
        <w:fldChar w:fldCharType="begin"/>
      </w:r>
      <w:r w:rsidR="008B0066">
        <w:instrText xml:space="preserve"> STYLEREF 1 \s </w:instrText>
      </w:r>
      <w:r w:rsidR="008B0066">
        <w:fldChar w:fldCharType="separate"/>
      </w:r>
      <w:r w:rsidR="006839DA">
        <w:rPr>
          <w:noProof/>
        </w:rPr>
        <w:t>6</w:t>
      </w:r>
      <w:r w:rsidR="008B0066">
        <w:fldChar w:fldCharType="end"/>
      </w:r>
      <w:r w:rsidR="008B0066">
        <w:noBreakHyphen/>
      </w:r>
      <w:r w:rsidR="008B0066">
        <w:fldChar w:fldCharType="begin"/>
      </w:r>
      <w:r w:rsidR="008B0066">
        <w:instrText xml:space="preserve"> SEQ Figure \* ARABIC \s 1 </w:instrText>
      </w:r>
      <w:r w:rsidR="008B0066">
        <w:fldChar w:fldCharType="separate"/>
      </w:r>
      <w:r w:rsidR="006839DA">
        <w:rPr>
          <w:noProof/>
        </w:rPr>
        <w:t>1</w:t>
      </w:r>
      <w:r w:rsidR="008B0066">
        <w:fldChar w:fldCharType="end"/>
      </w:r>
      <w:r>
        <w:t xml:space="preserve"> </w:t>
      </w:r>
      <w:r w:rsidR="0022394F">
        <w:t xml:space="preserve">Flourishing in green and social wellbeing </w:t>
      </w:r>
      <w:r w:rsidR="00F237BC">
        <w:t xml:space="preserve">foundations </w:t>
      </w:r>
      <w:r w:rsidR="0022394F">
        <w:t>– EUSDR and EUSAIR in 2050</w:t>
      </w:r>
      <w:bookmarkEnd w:id="26"/>
    </w:p>
    <w:p w14:paraId="0957AD53" w14:textId="2578F4FC" w:rsidR="00BF7203" w:rsidRDefault="00E2390B" w:rsidP="00BF7203">
      <w:r>
        <w:rPr>
          <w:noProof/>
        </w:rPr>
        <w:drawing>
          <wp:inline distT="0" distB="0" distL="0" distR="0" wp14:anchorId="2C5B22E4" wp14:editId="17B179A7">
            <wp:extent cx="5011200" cy="4063645"/>
            <wp:effectExtent l="0" t="0" r="5715" b="635"/>
            <wp:docPr id="16" name="Picture 1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16259" cy="4067748"/>
                    </a:xfrm>
                    <a:prstGeom prst="rect">
                      <a:avLst/>
                    </a:prstGeom>
                  </pic:spPr>
                </pic:pic>
              </a:graphicData>
            </a:graphic>
          </wp:inline>
        </w:drawing>
      </w:r>
    </w:p>
    <w:p w14:paraId="6079C812" w14:textId="49BDB52A" w:rsidR="00481E8B" w:rsidRPr="00481E8B" w:rsidRDefault="00481E8B" w:rsidP="00BF7203">
      <w:pPr>
        <w:rPr>
          <w:sz w:val="16"/>
          <w:szCs w:val="16"/>
        </w:rPr>
      </w:pPr>
      <w:r w:rsidRPr="00481E8B">
        <w:rPr>
          <w:sz w:val="16"/>
          <w:szCs w:val="16"/>
        </w:rPr>
        <w:t>Source: authors’ own</w:t>
      </w:r>
    </w:p>
    <w:p w14:paraId="6C99AAB6" w14:textId="041AF1E5" w:rsidR="006316DA" w:rsidRDefault="00DA0266" w:rsidP="00BF7203">
      <w:r>
        <w:t xml:space="preserve">By 2050, the citizens of the Danube and the Adriatic Ionian Region have taken big leaps to achieve a better quality of life. </w:t>
      </w:r>
      <w:r w:rsidR="002072F3">
        <w:t>By 2050, quality of life puts a particular focus on ecological and social wellbeing, as good environmental conditions, being close to nature, living in healthy environments are parts of a good life.</w:t>
      </w:r>
      <w:r w:rsidR="00A07A2A" w:rsidRPr="00A07A2A">
        <w:rPr>
          <w:rFonts w:ascii="Arial" w:hAnsi="Arial" w:cs="Arial"/>
        </w:rPr>
        <w:t xml:space="preserve"> </w:t>
      </w:r>
      <w:r w:rsidR="00A07A2A">
        <w:rPr>
          <w:rFonts w:ascii="Arial" w:hAnsi="Arial" w:cs="Arial"/>
        </w:rPr>
        <w:t xml:space="preserve">Furthermore, the social sphere also plays a key role, as by 2050, prosperity is also a matter of trust in government and services. </w:t>
      </w:r>
      <w:r w:rsidR="002C55BA">
        <w:rPr>
          <w:rFonts w:ascii="Arial" w:hAnsi="Arial" w:cs="Arial"/>
        </w:rPr>
        <w:t>This development starts slowly in the 2020s and increase steadily, with the adoption of increased policy measures around green and social elements.</w:t>
      </w:r>
    </w:p>
    <w:p w14:paraId="7B3F3D78" w14:textId="2AAD168E" w:rsidR="006316DA" w:rsidRDefault="00681786" w:rsidP="00BF7203">
      <w:r>
        <w:t xml:space="preserve">In addition, the </w:t>
      </w:r>
      <w:r w:rsidR="001C28F2">
        <w:t>new role of the EU which capitalises in its strategic economy, making the EU a global grand chessboard player, and the EU integration a political priority</w:t>
      </w:r>
      <w:r w:rsidR="001C28F2" w:rsidRPr="00464740">
        <w:t xml:space="preserve">. </w:t>
      </w:r>
      <w:r w:rsidR="001C28F2" w:rsidRPr="00464740">
        <w:rPr>
          <w:rFonts w:ascii="Arial" w:hAnsi="Arial" w:cs="Arial"/>
        </w:rPr>
        <w:t>By 2050 the EU has become more strategic autonomous, a development that has largely influenced the integration of its territories and macro-regions, by becoming more self-ruled and more resilient.</w:t>
      </w:r>
      <w:r w:rsidR="00066D17">
        <w:rPr>
          <w:rFonts w:ascii="Arial" w:hAnsi="Arial" w:cs="Arial"/>
        </w:rPr>
        <w:t xml:space="preserve"> </w:t>
      </w:r>
      <w:r w:rsidR="00066D17" w:rsidRPr="00A20641">
        <w:rPr>
          <w:rFonts w:ascii="Arial" w:hAnsi="Arial" w:cs="Arial"/>
        </w:rPr>
        <w:t>Through its strategic autonomy, the EU has become a strong regulatory player in the EU functioning as a large umbrella organisation, safeguarding its sustainability rules and social charter through its legislation. At the same time, this overarching autonomy of the EU strengthened the subsidiarity principle of the member states and allowed the EU to play a more global influence role.</w:t>
      </w:r>
      <w:r w:rsidR="00066D17">
        <w:rPr>
          <w:rFonts w:ascii="Arial" w:hAnsi="Arial" w:cs="Arial"/>
        </w:rPr>
        <w:t xml:space="preserve"> This development started very slowly in the 2020 and very slowly increased over the years by 2050, as such developments need substantial time to take shape</w:t>
      </w:r>
      <w:r w:rsidR="00BB41BB">
        <w:rPr>
          <w:rFonts w:ascii="Arial" w:hAnsi="Arial" w:cs="Arial"/>
        </w:rPr>
        <w:t xml:space="preserve"> (Figure 6-1)</w:t>
      </w:r>
      <w:r w:rsidR="00066D17">
        <w:rPr>
          <w:rFonts w:ascii="Arial" w:hAnsi="Arial" w:cs="Arial"/>
        </w:rPr>
        <w:t>.</w:t>
      </w:r>
      <w:r w:rsidR="005811DF">
        <w:rPr>
          <w:rFonts w:ascii="Arial" w:hAnsi="Arial" w:cs="Arial"/>
        </w:rPr>
        <w:t xml:space="preserve"> </w:t>
      </w:r>
    </w:p>
    <w:p w14:paraId="006A9A96" w14:textId="5E238802" w:rsidR="00123C6E" w:rsidRDefault="00123C6E" w:rsidP="00123C6E">
      <w:r>
        <w:t xml:space="preserve">To this increased trust has also contributed the digital revolution that has taken place by 2050, with the EU and its citizens becoming digitally fit have increased not only digital infrastructures and digital literacy in the region, but have also been enablers for developing an open and democratic societies, that bring and organises people together. </w:t>
      </w:r>
      <w:r>
        <w:rPr>
          <w:rFonts w:ascii="Arial" w:hAnsi="Arial" w:cs="Arial"/>
        </w:rPr>
        <w:t>This development took small steps in the 2020s until almost the 2030s, but with technological advancements being unavoidable in the future, it substantially increased by 2050</w:t>
      </w:r>
      <w:r w:rsidR="00BB41BB">
        <w:rPr>
          <w:rFonts w:ascii="Arial" w:hAnsi="Arial" w:cs="Arial"/>
        </w:rPr>
        <w:t xml:space="preserve"> (Figure 6-1)</w:t>
      </w:r>
      <w:r>
        <w:rPr>
          <w:rFonts w:ascii="Arial" w:hAnsi="Arial" w:cs="Arial"/>
        </w:rPr>
        <w:t xml:space="preserve">. </w:t>
      </w:r>
    </w:p>
    <w:p w14:paraId="08108468" w14:textId="0330DBF1" w:rsidR="006316DA" w:rsidRDefault="00167BEE" w:rsidP="00BF7203">
      <w:r>
        <w:t xml:space="preserve">Furthermore, additional efforts have been put </w:t>
      </w:r>
      <w:r w:rsidR="00226619">
        <w:t xml:space="preserve">to </w:t>
      </w:r>
      <w:r w:rsidR="006351A6">
        <w:t>implement the EU Green Deal</w:t>
      </w:r>
      <w:r w:rsidR="00D54BF5">
        <w:t xml:space="preserve"> Moving towards a Green Deal 2.0, i.e. taking the policy a step further helped to achieve a better ecological status, not only for the EU member states, but also expanded to the non-EU member states.</w:t>
      </w:r>
      <w:r w:rsidR="00B4515F">
        <w:t xml:space="preserve"> The process has started gradually in the 2020s, influenced by external developments</w:t>
      </w:r>
      <w:r w:rsidR="00FD49BB">
        <w:t xml:space="preserve"> and energy crises, to then take up over the decades</w:t>
      </w:r>
      <w:r w:rsidR="00BB41BB">
        <w:t xml:space="preserve"> </w:t>
      </w:r>
      <w:r w:rsidR="00BB41BB">
        <w:rPr>
          <w:rFonts w:ascii="Arial" w:hAnsi="Arial" w:cs="Arial"/>
        </w:rPr>
        <w:t>(Figure 6-1)</w:t>
      </w:r>
      <w:r w:rsidR="00FD49BB">
        <w:t xml:space="preserve">. </w:t>
      </w:r>
    </w:p>
    <w:p w14:paraId="77358B20" w14:textId="335658A8" w:rsidR="002B3A9D" w:rsidRDefault="00306D5A" w:rsidP="00BF7203">
      <w:pPr>
        <w:rPr>
          <w:rFonts w:ascii="Arial" w:hAnsi="Arial" w:cs="Arial"/>
        </w:rPr>
      </w:pPr>
      <w:r>
        <w:t>All these developments, the increased citizen engagement</w:t>
      </w:r>
      <w:r w:rsidR="003268F2">
        <w:t xml:space="preserve"> in decision making, the new EU global role and the increase importance to wellbeing have all been brought together to </w:t>
      </w:r>
      <w:r w:rsidR="0059211B">
        <w:t>gradually develop a European common culture, with strong core values, such</w:t>
      </w:r>
      <w:r w:rsidR="00C361D8">
        <w:t xml:space="preserve"> </w:t>
      </w:r>
      <w:r w:rsidR="00C361D8" w:rsidRPr="00EE5FE1">
        <w:rPr>
          <w:rFonts w:ascii="Arial" w:hAnsi="Arial" w:cs="Arial"/>
        </w:rPr>
        <w:t>as human dignity, democracy, freedom, equality, rule of law, respect to the human rights have been the foundations for the European way of lif</w:t>
      </w:r>
      <w:r w:rsidR="00C361D8">
        <w:rPr>
          <w:rFonts w:ascii="Arial" w:hAnsi="Arial" w:cs="Arial"/>
        </w:rPr>
        <w:t>e. This is something that started very slowly over the 2030s to further increase, especially driven by external factors, to then stabilise over time</w:t>
      </w:r>
      <w:r w:rsidR="00BB41BB">
        <w:rPr>
          <w:rFonts w:ascii="Arial" w:hAnsi="Arial" w:cs="Arial"/>
        </w:rPr>
        <w:t xml:space="preserve"> (Figure 6-1)</w:t>
      </w:r>
      <w:r w:rsidR="00C361D8">
        <w:rPr>
          <w:rFonts w:ascii="Arial" w:hAnsi="Arial" w:cs="Arial"/>
        </w:rPr>
        <w:t xml:space="preserve">. </w:t>
      </w:r>
    </w:p>
    <w:p w14:paraId="193535C0" w14:textId="3F283A77" w:rsidR="00FD49BB" w:rsidRDefault="00FD49BB" w:rsidP="00BF7203">
      <w:r>
        <w:rPr>
          <w:rFonts w:ascii="Arial" w:hAnsi="Arial" w:cs="Arial"/>
        </w:rPr>
        <w:t xml:space="preserve">All in all, these developments show the directions that different developments have taken in this scenario, influenced by the choices people have done. For the project, this guidance and direction has been given through the participatory approach. </w:t>
      </w:r>
      <w:r w:rsidR="00DA6F22">
        <w:rPr>
          <w:rFonts w:ascii="Arial" w:hAnsi="Arial" w:cs="Arial"/>
        </w:rPr>
        <w:t xml:space="preserve">All these play, however, differently in the different territories. </w:t>
      </w:r>
    </w:p>
    <w:p w14:paraId="48C75923" w14:textId="42D5F76B" w:rsidR="00174BC7" w:rsidRDefault="00174BC7" w:rsidP="00174BC7">
      <w:pPr>
        <w:pStyle w:val="Heading2"/>
      </w:pPr>
      <w:bookmarkStart w:id="27" w:name="_Toc100584667"/>
      <w:r>
        <w:t>What are the territorial implications of the scenario foundations?</w:t>
      </w:r>
      <w:bookmarkEnd w:id="27"/>
    </w:p>
    <w:p w14:paraId="041F4F28" w14:textId="7A3F3292" w:rsidR="003E57E3" w:rsidRPr="00481E8B" w:rsidRDefault="00355F1E" w:rsidP="00BF7203">
      <w:r w:rsidRPr="00481E8B">
        <w:t>The scenario foundations summarise the different elements that build the whole scenario storyline</w:t>
      </w:r>
      <w:r w:rsidR="00E92FB6" w:rsidRPr="00481E8B">
        <w:t xml:space="preserve">. This is graphically shown in Figure </w:t>
      </w:r>
      <w:r w:rsidR="00481E8B" w:rsidRPr="00481E8B">
        <w:t>6-2</w:t>
      </w:r>
      <w:r w:rsidR="00E92FB6" w:rsidRPr="00481E8B">
        <w:t xml:space="preserve"> below</w:t>
      </w:r>
      <w:r w:rsidR="00CD0238" w:rsidRPr="00481E8B">
        <w:t xml:space="preserve">. </w:t>
      </w:r>
      <w:r w:rsidR="00CF0C90" w:rsidRPr="00481E8B">
        <w:t xml:space="preserve">The Figure shows how thematically linked the story is with the core elements that have shaped the development of the scenario. In addition, the figure synthesises what types of territories are most affected by the </w:t>
      </w:r>
      <w:r w:rsidR="00A47D3E" w:rsidRPr="00481E8B">
        <w:t xml:space="preserve">scenario. </w:t>
      </w:r>
      <w:r w:rsidR="00C433FF" w:rsidRPr="00481E8B">
        <w:t xml:space="preserve">Although more specific territorial implications are given in the scenario stories, the figure below </w:t>
      </w:r>
      <w:r w:rsidR="00A47D3E" w:rsidRPr="00481E8B">
        <w:t xml:space="preserve">gives an overview glimpse of </w:t>
      </w:r>
      <w:r w:rsidR="00B340C1" w:rsidRPr="00481E8B">
        <w:t>types of territories most affected. Certainly</w:t>
      </w:r>
      <w:r w:rsidR="001F6DAC" w:rsidRPr="00481E8B">
        <w:t>,</w:t>
      </w:r>
      <w:r w:rsidR="00B340C1" w:rsidRPr="00481E8B">
        <w:t xml:space="preserve"> such big changes have implications on all territories. </w:t>
      </w:r>
      <w:r w:rsidR="001F6DAC" w:rsidRPr="00481E8B">
        <w:t>Nevertheless, mountain, coastal</w:t>
      </w:r>
      <w:r w:rsidR="00436C91" w:rsidRPr="00481E8B">
        <w:t xml:space="preserve"> and river areas are primarily affected by the shift to quality of life, as they provide ecological enablers. In addition, industrial areas are highly affected by the digital transition, affecting the way industries are organised, with green and digital approaches being implemented</w:t>
      </w:r>
      <w:r w:rsidR="00B30128" w:rsidRPr="00481E8B">
        <w:t xml:space="preserve">, as well as transport and logistics. Urban </w:t>
      </w:r>
      <w:r w:rsidR="00EB0A18" w:rsidRPr="00481E8B">
        <w:t xml:space="preserve">and rural </w:t>
      </w:r>
      <w:r w:rsidR="00B30128" w:rsidRPr="00481E8B">
        <w:t>areas are largely affected by most developments</w:t>
      </w:r>
      <w:r w:rsidR="00D56696" w:rsidRPr="00481E8B">
        <w:t xml:space="preserve"> and especially as drivers for the green transition and higher quality of life</w:t>
      </w:r>
      <w:r w:rsidR="00436C91" w:rsidRPr="00481E8B">
        <w:t xml:space="preserve">. </w:t>
      </w:r>
      <w:r w:rsidR="009803C4" w:rsidRPr="00481E8B">
        <w:t xml:space="preserve">This is particularly linked to </w:t>
      </w:r>
      <w:r w:rsidR="00AB26B4" w:rsidRPr="00481E8B">
        <w:t xml:space="preserve">the increase in social wellbeing and the increased digital citizen participation, which has been higher in cities. </w:t>
      </w:r>
      <w:r w:rsidR="005971D3" w:rsidRPr="00481E8B">
        <w:t>Same holds for the intermediate areas</w:t>
      </w:r>
      <w:r w:rsidR="00C8592E" w:rsidRPr="00481E8B">
        <w:t xml:space="preserve">. </w:t>
      </w:r>
      <w:r w:rsidR="009803C4" w:rsidRPr="00481E8B">
        <w:t>Rural areas play a key role when it comes to Green Deal achievements and quality of life, especi</w:t>
      </w:r>
      <w:r w:rsidR="00AB26B4" w:rsidRPr="00481E8B">
        <w:t xml:space="preserve">ally by being green hotspots. </w:t>
      </w:r>
      <w:r w:rsidR="00C8592E" w:rsidRPr="00481E8B">
        <w:t xml:space="preserve">All </w:t>
      </w:r>
      <w:r w:rsidR="00BF7F3C" w:rsidRPr="00481E8B">
        <w:t xml:space="preserve">territories, are differently affected by the Green Deal developments, as </w:t>
      </w:r>
      <w:r w:rsidR="00F60188" w:rsidRPr="00481E8B">
        <w:t xml:space="preserve">urban, intermediate and rural areas notice reduced pollution over the decades, industrial areas transform their model, while mountain, river, coastal areas improve the environmental condition of their habitat. </w:t>
      </w:r>
    </w:p>
    <w:p w14:paraId="1B7CD087" w14:textId="752F9B7D" w:rsidR="00642367" w:rsidRDefault="00405EC1" w:rsidP="00BF7203">
      <w:r w:rsidRPr="00481E8B">
        <w:t>Besides highlighting territorial implications</w:t>
      </w:r>
      <w:r w:rsidR="00526012" w:rsidRPr="00481E8B">
        <w:t xml:space="preserve"> of the alternative territorial scenario</w:t>
      </w:r>
      <w:r w:rsidRPr="00481E8B">
        <w:t xml:space="preserve">, Figure </w:t>
      </w:r>
      <w:r w:rsidR="00481E8B" w:rsidRPr="00481E8B">
        <w:t>6-</w:t>
      </w:r>
      <w:r w:rsidR="00481E8B">
        <w:t>2</w:t>
      </w:r>
      <w:r w:rsidR="00526012">
        <w:t xml:space="preserve"> pinpoints at the complexity</w:t>
      </w:r>
      <w:r>
        <w:t xml:space="preserve"> that territorial sce</w:t>
      </w:r>
      <w:r w:rsidR="00526012">
        <w:t xml:space="preserve">narios deal with. The elements that constitute the scenario are highly linked </w:t>
      </w:r>
      <w:r w:rsidR="00602746">
        <w:t>not only, in one way or the other, to each other, but also to the core foundations of the scenario, building a coherent and solid story. At the same time, they influence different territories to different extends</w:t>
      </w:r>
      <w:r w:rsidR="00023A92">
        <w:t>,</w:t>
      </w:r>
      <w:r w:rsidR="005B5C81">
        <w:t xml:space="preserve"> counting on the specific details of each scenario element</w:t>
      </w:r>
      <w:r w:rsidR="00602746">
        <w:t xml:space="preserve">. </w:t>
      </w:r>
      <w:r w:rsidR="005B5C81">
        <w:t>The territorial implications also</w:t>
      </w:r>
      <w:r w:rsidR="00602746">
        <w:t xml:space="preserve"> depend on the sensitivity and resilience capacity of different regions to adapt</w:t>
      </w:r>
      <w:r w:rsidR="00F75A98">
        <w:t xml:space="preserve"> to </w:t>
      </w:r>
      <w:r w:rsidR="00023A92">
        <w:t xml:space="preserve">changes and transitions. </w:t>
      </w:r>
      <w:r w:rsidR="00E826B2">
        <w:t xml:space="preserve">The figure does not aim to detail every possible territorial implication, but rather to reduce complexity and </w:t>
      </w:r>
      <w:r w:rsidR="001C6696">
        <w:t>emphasise that interdependencies of territories are unavoidable</w:t>
      </w:r>
      <w:r w:rsidR="005E2378">
        <w:t>.</w:t>
      </w:r>
    </w:p>
    <w:p w14:paraId="7D781BF8" w14:textId="3E6CF3AF" w:rsidR="003E57E3" w:rsidRDefault="004833D3" w:rsidP="00BF7203">
      <w:pPr>
        <w:sectPr w:rsidR="003E57E3" w:rsidSect="00251584">
          <w:headerReference w:type="even" r:id="rId28"/>
          <w:headerReference w:type="default" r:id="rId29"/>
          <w:footerReference w:type="even" r:id="rId30"/>
          <w:footerReference w:type="default" r:id="rId31"/>
          <w:type w:val="oddPage"/>
          <w:pgSz w:w="11906" w:h="16838" w:code="9"/>
          <w:pgMar w:top="1418" w:right="1701" w:bottom="1418" w:left="1701" w:header="567" w:footer="737" w:gutter="0"/>
          <w:cols w:space="708"/>
          <w:docGrid w:linePitch="360"/>
        </w:sectPr>
      </w:pPr>
      <w:r w:rsidRPr="00EF615B">
        <w:t>The figure was constructed taking into consideration that all drivers have at least one component, that each driver has different effect intensities on each of the type of territories, and finally that each component has a different importance (proportion) inside each driver (i.e. the height of the components). The territorial effect intensity was calculated based on the particular weight that each driver was considered to have on each type of territory and the importance of the component for each driver. The different heights of the drivers (middle) are a result of the sum of their intensity for all territories. On the right side, the intensity of each component is translated to each territory based on the basic calculation of driver intensity x component importance (the latter which sum up to 100% for each driver).  As a result, the height of each type of territory is proportional to the intensity of the effects of all drivers together. This means that at a general level all types of territories are impacted, however, the intensity of the effects differ significantly for each driver based on the effects of their components.</w:t>
      </w:r>
    </w:p>
    <w:p w14:paraId="1BDC5807" w14:textId="66B0591F" w:rsidR="00174BC7" w:rsidRDefault="003E57E3" w:rsidP="003E57E3">
      <w:pPr>
        <w:pStyle w:val="Caption"/>
      </w:pPr>
      <w:bookmarkStart w:id="28" w:name="_Toc100584685"/>
      <w:r>
        <w:t xml:space="preserve">Figure </w:t>
      </w:r>
      <w:r w:rsidR="008B0066">
        <w:fldChar w:fldCharType="begin"/>
      </w:r>
      <w:r w:rsidR="008B0066">
        <w:instrText xml:space="preserve"> STYLEREF 1 \s </w:instrText>
      </w:r>
      <w:r w:rsidR="008B0066">
        <w:fldChar w:fldCharType="separate"/>
      </w:r>
      <w:r w:rsidR="006839DA">
        <w:rPr>
          <w:noProof/>
        </w:rPr>
        <w:t>6</w:t>
      </w:r>
      <w:r w:rsidR="008B0066">
        <w:fldChar w:fldCharType="end"/>
      </w:r>
      <w:r w:rsidR="008B0066">
        <w:noBreakHyphen/>
      </w:r>
      <w:r w:rsidR="008B0066">
        <w:fldChar w:fldCharType="begin"/>
      </w:r>
      <w:r w:rsidR="008B0066">
        <w:instrText xml:space="preserve"> SEQ Figure \* ARABIC \s 1 </w:instrText>
      </w:r>
      <w:r w:rsidR="008B0066">
        <w:fldChar w:fldCharType="separate"/>
      </w:r>
      <w:r w:rsidR="006839DA">
        <w:rPr>
          <w:noProof/>
        </w:rPr>
        <w:t>2</w:t>
      </w:r>
      <w:r w:rsidR="008B0066">
        <w:fldChar w:fldCharType="end"/>
      </w:r>
      <w:r w:rsidR="00B13DF5">
        <w:t xml:space="preserve"> </w:t>
      </w:r>
      <w:r>
        <w:t>What territories are affected by the ‘Flourishing in green and social wellbeing’</w:t>
      </w:r>
      <w:r w:rsidR="00481E8B">
        <w:t xml:space="preserve"> alternative scenario</w:t>
      </w:r>
      <w:r>
        <w:t>?</w:t>
      </w:r>
      <w:bookmarkEnd w:id="28"/>
    </w:p>
    <w:p w14:paraId="74844238" w14:textId="5239ADD6" w:rsidR="00174BC7" w:rsidRPr="00457B84" w:rsidRDefault="001F720E" w:rsidP="00BF7203">
      <w:pPr>
        <w:rPr>
          <w:sz w:val="16"/>
          <w:szCs w:val="16"/>
        </w:rPr>
      </w:pPr>
      <w:r>
        <w:rPr>
          <w:noProof/>
        </w:rPr>
        <w:drawing>
          <wp:inline distT="0" distB="0" distL="0" distR="0" wp14:anchorId="09CEC350" wp14:editId="545B88FC">
            <wp:extent cx="7570694" cy="488979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2">
                      <a:extLst>
                        <a:ext uri="{28A0092B-C50C-407E-A947-70E740481C1C}">
                          <a14:useLocalDpi xmlns:a14="http://schemas.microsoft.com/office/drawing/2010/main" val="0"/>
                        </a:ext>
                      </a:extLst>
                    </a:blip>
                    <a:srcRect l="10299" t="4685" r="19582" b="10397"/>
                    <a:stretch/>
                  </pic:blipFill>
                  <pic:spPr bwMode="auto">
                    <a:xfrm>
                      <a:off x="0" y="0"/>
                      <a:ext cx="7584634" cy="4898802"/>
                    </a:xfrm>
                    <a:prstGeom prst="rect">
                      <a:avLst/>
                    </a:prstGeom>
                    <a:ln>
                      <a:noFill/>
                    </a:ln>
                    <a:extLst>
                      <a:ext uri="{53640926-AAD7-44D8-BBD7-CCE9431645EC}">
                        <a14:shadowObscured xmlns:a14="http://schemas.microsoft.com/office/drawing/2010/main"/>
                      </a:ext>
                    </a:extLst>
                  </pic:spPr>
                </pic:pic>
              </a:graphicData>
            </a:graphic>
          </wp:inline>
        </w:drawing>
      </w:r>
      <w:r w:rsidR="00457B84">
        <w:br/>
      </w:r>
      <w:r w:rsidR="00457B84" w:rsidRPr="00457B84">
        <w:rPr>
          <w:sz w:val="16"/>
          <w:szCs w:val="16"/>
        </w:rPr>
        <w:t>Source: authors’ own</w:t>
      </w:r>
    </w:p>
    <w:p w14:paraId="068CBD40" w14:textId="77777777" w:rsidR="00BE3A2C" w:rsidRDefault="00BE3A2C" w:rsidP="00BF7203">
      <w:pPr>
        <w:sectPr w:rsidR="00BE3A2C" w:rsidSect="00CC76DD">
          <w:pgSz w:w="16820" w:h="11900" w:orient="landscape" w:code="9"/>
          <w:pgMar w:top="1701" w:right="1418" w:bottom="1701" w:left="1418" w:header="567" w:footer="737" w:gutter="0"/>
          <w:cols w:space="708"/>
          <w:docGrid w:linePitch="360"/>
        </w:sectPr>
      </w:pPr>
    </w:p>
    <w:p w14:paraId="77EF43C4" w14:textId="53B2F3F2" w:rsidR="00620EBB" w:rsidRPr="00702488" w:rsidRDefault="00E93569" w:rsidP="00646167">
      <w:pPr>
        <w:pStyle w:val="Heading1"/>
      </w:pPr>
      <w:bookmarkStart w:id="29" w:name="_Toc100584668"/>
      <w:r w:rsidRPr="00702488">
        <w:t xml:space="preserve">Transforming to a </w:t>
      </w:r>
      <w:r w:rsidR="00604859" w:rsidRPr="00702488">
        <w:t>hyper</w:t>
      </w:r>
      <w:r w:rsidR="001A5CF2" w:rsidRPr="00702488">
        <w:t>-</w:t>
      </w:r>
      <w:r w:rsidR="00604859" w:rsidRPr="00702488">
        <w:t>digital economy</w:t>
      </w:r>
      <w:bookmarkEnd w:id="29"/>
      <w:r w:rsidR="00604859" w:rsidRPr="00702488">
        <w:t xml:space="preserve"> </w:t>
      </w:r>
    </w:p>
    <w:p w14:paraId="494482DD" w14:textId="145833EB" w:rsidR="00533175" w:rsidRPr="00933D82" w:rsidRDefault="00533175" w:rsidP="00533175">
      <w:pPr>
        <w:rPr>
          <w:color w:val="528E45" w:themeColor="accent4" w:themeShade="BF"/>
        </w:rPr>
      </w:pPr>
      <w:r w:rsidRPr="00933D82">
        <w:rPr>
          <w:b/>
          <w:bCs/>
          <w:color w:val="528E45" w:themeColor="accent4" w:themeShade="BF"/>
        </w:rPr>
        <w:t>2050: The hyper-digitalisation odyssey</w:t>
      </w:r>
      <w:r w:rsidRPr="00933D82">
        <w:rPr>
          <w:color w:val="528E45" w:themeColor="accent4" w:themeShade="BF"/>
        </w:rPr>
        <w:t xml:space="preserve">. By 2050 the Danube Region has taken big steps to profit from the new global digital era and became the first macro-regional strategy with a clear digital focus. The long-lasting digital divides in the Region </w:t>
      </w:r>
      <w:r w:rsidRPr="00933D82">
        <w:rPr>
          <w:color w:val="528E45" w:themeColor="accent4" w:themeShade="BF"/>
        </w:rPr>
        <w:fldChar w:fldCharType="begin"/>
      </w:r>
      <w:r w:rsidR="001C3DA6" w:rsidRPr="00933D82">
        <w:rPr>
          <w:color w:val="528E45" w:themeColor="accent4" w:themeShade="BF"/>
        </w:rPr>
        <w:instrText xml:space="preserve"> ADDIN ZOTERO_ITEM CSL_CITATION {"citationID":"9JYudbLL","properties":{"formattedCitation":"(CESCI, 2020)","plainCitation":"(CESCI, 2020)","noteIndex":0},"citationItems":[{"id":2678,"uris":["http://zotero.org/groups/21774/items/6RG6NR7T"],"itemData":{"id":2678,"type":"report","title":"Analysis of territorial challenges, needs and potentials of the Danube region and strategic options in view of the transnational cooperaiton for the period 2021-2027","author":[{"family":"CESCI","given":""}],"issued":{"date-parts":[["2020"]]}}}],"schema":"https://github.com/citation-style-language/schema/raw/master/csl-citation.json"} </w:instrText>
      </w:r>
      <w:r w:rsidRPr="00933D82">
        <w:rPr>
          <w:color w:val="528E45" w:themeColor="accent4" w:themeShade="BF"/>
        </w:rPr>
        <w:fldChar w:fldCharType="separate"/>
      </w:r>
      <w:r w:rsidRPr="00933D82">
        <w:rPr>
          <w:color w:val="528E45" w:themeColor="accent4" w:themeShade="BF"/>
        </w:rPr>
        <w:t>(CESCI, 2020)</w:t>
      </w:r>
      <w:r w:rsidRPr="00933D82">
        <w:rPr>
          <w:color w:val="528E45" w:themeColor="accent4" w:themeShade="BF"/>
        </w:rPr>
        <w:fldChar w:fldCharType="end"/>
      </w:r>
      <w:r w:rsidRPr="00933D82">
        <w:rPr>
          <w:color w:val="528E45" w:themeColor="accent4" w:themeShade="BF"/>
        </w:rPr>
        <w:t xml:space="preserve"> have been bridged through the commitment of the macro-regional players. By 2050, the digital transformation of the Danube Region has become a key priority with direct effects on businesses, employment, infrastructure and public policies, as well as people since it has changed their lifestyles, leisure and work. The COVID-19 pandemic of the early 2020s triggered an increase in digitalisation, technological advances and the use of technology which sped up innovation. This went hand in hand with the progress of industry 4.0, which included cyber-physical systems, Internet of Things, cloud computing, cognitive computing and artificial intelligence </w:t>
      </w:r>
      <w:r w:rsidRPr="00933D82">
        <w:rPr>
          <w:color w:val="528E45" w:themeColor="accent4" w:themeShade="BF"/>
        </w:rPr>
        <w:fldChar w:fldCharType="begin"/>
      </w:r>
      <w:r w:rsidR="001C3DA6" w:rsidRPr="00933D82">
        <w:rPr>
          <w:color w:val="528E45" w:themeColor="accent4" w:themeShade="BF"/>
        </w:rPr>
        <w:instrText xml:space="preserve"> ADDIN ZOTERO_ITEM CSL_CITATION {"citationID":"AAp82jVS","properties":{"formattedCitation":"(European Parliament, 2016, p. 4)","plainCitation":"(European Parliament, 2016, p. 4)","dontUpdate":true,"noteIndex":0},"citationItems":[{"id":640,"uris":["http://zotero.org/groups/21774/items/NL9C7IMR"],"itemData":{"id":640,"type":"report","title":"Industry 4.0","author":[{"family":"European Parliament","given":""}],"issued":{"date-parts":[["2016",2]]}},"locator":"4"}],"schema":"https://github.com/citation-style-language/schema/raw/master/csl-citation.json"} </w:instrText>
      </w:r>
      <w:r w:rsidRPr="00933D82">
        <w:rPr>
          <w:color w:val="528E45" w:themeColor="accent4" w:themeShade="BF"/>
        </w:rPr>
        <w:fldChar w:fldCharType="separate"/>
      </w:r>
      <w:r w:rsidRPr="00933D82">
        <w:rPr>
          <w:color w:val="528E45" w:themeColor="accent4" w:themeShade="BF"/>
        </w:rPr>
        <w:t>(European Parliament, 2016)</w:t>
      </w:r>
      <w:r w:rsidRPr="00933D82">
        <w:rPr>
          <w:color w:val="528E45" w:themeColor="accent4" w:themeShade="BF"/>
        </w:rPr>
        <w:fldChar w:fldCharType="end"/>
      </w:r>
      <w:r w:rsidRPr="00933D82">
        <w:rPr>
          <w:color w:val="528E45" w:themeColor="accent4" w:themeShade="BF"/>
        </w:rPr>
        <w:t>. Robotics, autonomous automobile systems and additive manufacturing are not only well established, but also shape production and consumption patterns</w:t>
      </w:r>
      <w:r w:rsidRPr="00933D82">
        <w:rPr>
          <w:rFonts w:ascii="Arial" w:hAnsi="Arial" w:cs="Arial"/>
          <w:color w:val="528E45" w:themeColor="accent4" w:themeShade="BF"/>
          <w:szCs w:val="20"/>
        </w:rPr>
        <w:t xml:space="preserve">. By 2050, industry 4.0 has not only </w:t>
      </w:r>
      <w:r w:rsidRPr="00933D82">
        <w:rPr>
          <w:color w:val="528E45" w:themeColor="accent4" w:themeShade="BF"/>
        </w:rPr>
        <w:t xml:space="preserve">become a reality, but is moving towards the industry 5.0. Technological progress has revolutionised industry, economy and social life by 2050 and led to ‘hyper-digitalisation’ in the Danube Region. The Danube Region built on the EU policies and priorities of the 2020s, i.e. to become digitally fit for 2055, as well as the Green Deal which supports the use of technology for sustainability. At the same time it has kept up with global innovation and technology and focused on capitalising on innovation and developing innovation that works for people. For this, it has invested in digital skills, cybercrime protection and balancing technology with people’s rights. It has also developed a fair and competitive digital economy by supporting start-ups, online platforms and high quality technology, as well as invested in an open, democratic and sustainable society, by greening digitalisation and using technology for climate neutrality </w:t>
      </w:r>
      <w:r w:rsidRPr="00933D82">
        <w:rPr>
          <w:color w:val="528E45" w:themeColor="accent4" w:themeShade="BF"/>
        </w:rPr>
        <w:fldChar w:fldCharType="begin"/>
      </w:r>
      <w:r w:rsidR="001C3DA6" w:rsidRPr="00933D82">
        <w:rPr>
          <w:color w:val="528E45" w:themeColor="accent4" w:themeShade="BF"/>
        </w:rPr>
        <w:instrText xml:space="preserve"> ADDIN ZOTERO_ITEM CSL_CITATION {"citationID":"a17ljh0kumn","properties":{"formattedCitation":"(European Commission, 2020b)","plainCitation":"(European Commission, 2020b)","noteIndex":0},"citationItems":[{"id":8332,"uris":["http://zotero.org/groups/4075961/items/JCTNB5E7"],"itemData":{"id":8332,"type":"document","title":"Shaping Europe's Digital future","author":[{"family":"European Commission","given":""}],"issued":{"date-parts":[["2020",2]]}}}],"schema":"https://github.com/citation-style-language/schema/raw/master/csl-citation.json"} </w:instrText>
      </w:r>
      <w:r w:rsidRPr="00933D82">
        <w:rPr>
          <w:color w:val="528E45" w:themeColor="accent4" w:themeShade="BF"/>
        </w:rPr>
        <w:fldChar w:fldCharType="separate"/>
      </w:r>
      <w:r w:rsidR="001C3DA6" w:rsidRPr="00933D82">
        <w:rPr>
          <w:rFonts w:ascii="Arial" w:cs="Arial"/>
          <w:color w:val="528E45" w:themeColor="accent4" w:themeShade="BF"/>
        </w:rPr>
        <w:t>(European Commission, 2020b)</w:t>
      </w:r>
      <w:r w:rsidRPr="00933D82">
        <w:rPr>
          <w:color w:val="528E45" w:themeColor="accent4" w:themeShade="BF"/>
        </w:rPr>
        <w:fldChar w:fldCharType="end"/>
      </w:r>
      <w:r w:rsidRPr="00933D82">
        <w:rPr>
          <w:color w:val="528E45" w:themeColor="accent4" w:themeShade="BF"/>
        </w:rPr>
        <w:t xml:space="preserve">. </w:t>
      </w:r>
    </w:p>
    <w:p w14:paraId="645D326C" w14:textId="2619D10D" w:rsidR="00533175" w:rsidRPr="00933D82" w:rsidRDefault="00533175" w:rsidP="00533175">
      <w:pPr>
        <w:rPr>
          <w:color w:val="528E45" w:themeColor="accent4" w:themeShade="BF"/>
        </w:rPr>
      </w:pPr>
      <w:r w:rsidRPr="00933D82">
        <w:rPr>
          <w:b/>
          <w:bCs/>
          <w:color w:val="528E45" w:themeColor="accent4" w:themeShade="BF"/>
        </w:rPr>
        <w:t>Re-grow and prosper: Getting back to growth</w:t>
      </w:r>
      <w:r w:rsidRPr="00933D82">
        <w:rPr>
          <w:color w:val="528E45" w:themeColor="accent4" w:themeShade="BF"/>
        </w:rPr>
        <w:t xml:space="preserve">. In addition to the acceleration of technological progress, the COVID-19 pandemic has brought back attention to the importance of economic growth and development for people’s prosperity. Economic growth saw a sharp decline back in 2020, with GDP falling by 6% on the previous year despite the low GDP of most Danube Region countries </w:t>
      </w:r>
      <w:r w:rsidRPr="00933D82">
        <w:rPr>
          <w:color w:val="528E45" w:themeColor="accent4" w:themeShade="BF"/>
        </w:rPr>
        <w:fldChar w:fldCharType="begin"/>
      </w:r>
      <w:r w:rsidR="001C3DA6" w:rsidRPr="00933D82">
        <w:rPr>
          <w:color w:val="528E45" w:themeColor="accent4" w:themeShade="BF"/>
        </w:rPr>
        <w:instrText xml:space="preserve"> ADDIN ZOTERO_ITEM CSL_CITATION {"citationID":"a1mje7rla9","properties":{"formattedCitation":"(Eurostat, 2021)","plainCitation":"(Eurostat, 2021)","noteIndex":0},"citationItems":[{"id":8491,"uris":["http://zotero.org/groups/4075961/items/5P3A9HIX"],"itemData":{"id":8491,"type":"webpage","container-title":"Eurostat","title":"Which EU countries had the highest GDP in 2020?","URL":"https://ec.europa.eu/eurostat/web/products-eurostat-news/-/ddn-20211220-1","author":[{"family":"Eurostat","given":""}],"accessed":{"date-parts":[["2021",3,21]]},"issued":{"date-parts":[["2021",12,20]]}}}],"schema":"https://github.com/citation-style-language/schema/raw/master/csl-citation.json"} </w:instrText>
      </w:r>
      <w:r w:rsidRPr="00933D82">
        <w:rPr>
          <w:color w:val="528E45" w:themeColor="accent4" w:themeShade="BF"/>
        </w:rPr>
        <w:fldChar w:fldCharType="separate"/>
      </w:r>
      <w:r w:rsidR="001C3DA6" w:rsidRPr="00933D82">
        <w:rPr>
          <w:rFonts w:ascii="Arial" w:cs="Arial"/>
          <w:color w:val="528E45" w:themeColor="accent4" w:themeShade="BF"/>
        </w:rPr>
        <w:t>(Eurostat, 2021)</w:t>
      </w:r>
      <w:r w:rsidRPr="00933D82">
        <w:rPr>
          <w:color w:val="528E45" w:themeColor="accent4" w:themeShade="BF"/>
        </w:rPr>
        <w:fldChar w:fldCharType="end"/>
      </w:r>
      <w:r w:rsidRPr="00933D82">
        <w:rPr>
          <w:color w:val="528E45" w:themeColor="accent4" w:themeShade="BF"/>
        </w:rPr>
        <w:t xml:space="preserve">. Although the numbers gradually returned to pre-pandemic levels, further crises, such as the Ukraine war, high inflation and global competition highlighted the need for greater preparedness with more focus on the economy and growth for prosperity. Recovering from the economic consequences of the pandemic and getting back on a growth path has made the Danube Region a leader by example. In addition, the ageing population in the Region encouraged smarter solutions to get back to growth mode. Economic growth has been coupled with technological development in the macro-region, as the latter has fundamentally changed the way economies and society function. In fact, digitalisation and the technological changes are responsible for the accelerated growth and development in the Region over the decades. </w:t>
      </w:r>
      <w:r w:rsidRPr="00933D82">
        <w:rPr>
          <w:color w:val="528E45" w:themeColor="accent4" w:themeShade="BF"/>
        </w:rPr>
        <w:fldChar w:fldCharType="begin"/>
      </w:r>
      <w:r w:rsidR="001C3DA6" w:rsidRPr="00933D82">
        <w:rPr>
          <w:color w:val="528E45" w:themeColor="accent4" w:themeShade="BF"/>
        </w:rPr>
        <w:instrText xml:space="preserve"> ADDIN ZOTERO_ITEM CSL_CITATION {"citationID":"a80dqgshra","properties":{"formattedCitation":"(European Strategy and Policy Analysis System, 2015)","plainCitation":"(European Strategy and Policy Analysis System, 2015)","noteIndex":0},"citationItems":[{"id":3689,"uris":["http://zotero.org/groups/21774/items/S957QRP7"],"itemData":{"id":3689,"type":"report","publisher":"European Strategy and Policy Analysis System","title":"Global Trends to 2030: Can the EU meet the challenges ahead?","author":[{"literal":"European Strategy and Policy Analysis System"}],"issued":{"date-parts":[["2015"]]}}}],"schema":"https://github.com/citation-style-language/schema/raw/master/csl-citation.json"} </w:instrText>
      </w:r>
      <w:r w:rsidRPr="00933D82">
        <w:rPr>
          <w:color w:val="528E45" w:themeColor="accent4" w:themeShade="BF"/>
        </w:rPr>
        <w:fldChar w:fldCharType="separate"/>
      </w:r>
      <w:r w:rsidR="001C3DA6" w:rsidRPr="00933D82">
        <w:rPr>
          <w:rFonts w:ascii="Arial" w:cs="Arial"/>
          <w:color w:val="528E45" w:themeColor="accent4" w:themeShade="BF"/>
        </w:rPr>
        <w:t>(European Strategy and Policy Analysis System, 2015)</w:t>
      </w:r>
      <w:r w:rsidRPr="00933D82">
        <w:rPr>
          <w:color w:val="528E45" w:themeColor="accent4" w:themeShade="BF"/>
        </w:rPr>
        <w:fldChar w:fldCharType="end"/>
      </w:r>
      <w:r w:rsidRPr="00933D82">
        <w:rPr>
          <w:color w:val="528E45" w:themeColor="accent4" w:themeShade="BF"/>
        </w:rPr>
        <w:t xml:space="preserve"> The approach has not only been relevant for EU member states, but also for the non-EU members of the EUSDR, as they also focused on ‘business first’ to boost economic recovery and invest in multilateral cooperation </w:t>
      </w:r>
      <w:r w:rsidRPr="00933D82">
        <w:rPr>
          <w:color w:val="528E45" w:themeColor="accent4" w:themeShade="BF"/>
        </w:rPr>
        <w:fldChar w:fldCharType="begin"/>
      </w:r>
      <w:r w:rsidR="001C3DA6" w:rsidRPr="00933D82">
        <w:rPr>
          <w:color w:val="528E45" w:themeColor="accent4" w:themeShade="BF"/>
        </w:rPr>
        <w:instrText xml:space="preserve"> ADDIN ZOTERO_ITEM CSL_CITATION {"citationID":"a1oomrtea2r","properties":{"formattedCitation":"(European Commission. DG Research and Innovation, 2021)","plainCitation":"(European Commission. DG Research and Innovation, 2021)","noteIndex":0},"citationItems":[{"id":8492,"uris":["http://zotero.org/groups/4075961/items/4RG9IRXT"],"itemData":{"id":8492,"type":"report","collection-title":"Foresight","title":"Strategic Foresight in the Western Balkans: Recovery on the Horizon","author":[{"family":"European Commission. DG Research and Innovation","given":""}],"issued":{"date-parts":[["2021",10]]}}}],"schema":"https://github.com/citation-style-language/schema/raw/master/csl-citation.json"} </w:instrText>
      </w:r>
      <w:r w:rsidRPr="00933D82">
        <w:rPr>
          <w:color w:val="528E45" w:themeColor="accent4" w:themeShade="BF"/>
        </w:rPr>
        <w:fldChar w:fldCharType="separate"/>
      </w:r>
      <w:r w:rsidR="001C3DA6" w:rsidRPr="00933D82">
        <w:rPr>
          <w:rFonts w:ascii="Arial" w:cs="Arial"/>
          <w:color w:val="528E45" w:themeColor="accent4" w:themeShade="BF"/>
        </w:rPr>
        <w:t>(European Commission. DG Research and Innovation, 2021)</w:t>
      </w:r>
      <w:r w:rsidRPr="00933D82">
        <w:rPr>
          <w:color w:val="528E45" w:themeColor="accent4" w:themeShade="BF"/>
        </w:rPr>
        <w:fldChar w:fldCharType="end"/>
      </w:r>
      <w:r w:rsidRPr="00933D82">
        <w:rPr>
          <w:color w:val="528E45" w:themeColor="accent4" w:themeShade="BF"/>
        </w:rPr>
        <w:t>. Hyper-digitalisation and economic growth, together with uptake of Regional Innovation Strategies in the Western Balkans contributed to making a U-turn in economic development, opening up new economic activities.</w:t>
      </w:r>
    </w:p>
    <w:p w14:paraId="666446C7" w14:textId="2A29AEFA" w:rsidR="00533175" w:rsidRPr="00933D82" w:rsidRDefault="00533175" w:rsidP="00533175">
      <w:pPr>
        <w:rPr>
          <w:color w:val="528E45" w:themeColor="accent4" w:themeShade="BF"/>
        </w:rPr>
      </w:pPr>
      <w:r w:rsidRPr="00933D82">
        <w:rPr>
          <w:b/>
          <w:bCs/>
          <w:color w:val="528E45" w:themeColor="accent4" w:themeShade="BF"/>
        </w:rPr>
        <w:t>Fair and social: People in the limelight</w:t>
      </w:r>
      <w:r w:rsidRPr="00933D82">
        <w:rPr>
          <w:color w:val="528E45" w:themeColor="accent4" w:themeShade="BF"/>
        </w:rPr>
        <w:t xml:space="preserve">. Although the key focus has been on the duo of digitalisation and economic development, the importance of civil society and people remains. The steep digital and economic progress over the decades to 2050 also saw concerns over safety and increasing uncertainties, as well as rising inequality among different societal groups in the Danube Region. To ensure that developments serve people and respect peoples’ rights and safety, as well as to address inequalities from these major developments, governments and citizens pushed for more civil society and citizen participation in the Region. This was also to avoid places and people being ‘left behind’, which would also eventually have political consequences </w:t>
      </w:r>
      <w:r w:rsidRPr="00933D82">
        <w:rPr>
          <w:color w:val="528E45" w:themeColor="accent4" w:themeShade="BF"/>
        </w:rPr>
        <w:fldChar w:fldCharType="begin"/>
      </w:r>
      <w:r w:rsidR="001C3DA6" w:rsidRPr="00933D82">
        <w:rPr>
          <w:color w:val="528E45" w:themeColor="accent4" w:themeShade="BF"/>
        </w:rPr>
        <w:instrText xml:space="preserve"> ADDIN ZOTERO_ITEM CSL_CITATION {"citationID":"ajta9ap75s","properties":{"formattedCitation":"(Rodr\\uc0\\u237{}guez-Pose, 2020)","plainCitation":"(Rodríguez-Pose, 2020)","noteIndex":0},"citationItems":[{"id":195,"uris":["http://zotero.org/groups/21774/items/JYQKS2JL"],"itemData":{"id":195,"type":"article-journal","container-title":"LSE Public Policy Review","DOI":"10.31389/lseppr.4","ISSN":"2633-4046","issue":"1","language":"en","page":"4","source":"DOI.org (Crossref)","title":"The Rise of Populism and the Revenge of the Places That Don’t Matter","volume":"1","author":[{"family":"Rodríguez-Pose","given":"Andrés"}],"issued":{"date-parts":[["2020",7,20]]}}}],"schema":"https://github.com/citation-style-language/schema/raw/master/csl-citation.json"} </w:instrText>
      </w:r>
      <w:r w:rsidRPr="00933D82">
        <w:rPr>
          <w:color w:val="528E45" w:themeColor="accent4" w:themeShade="BF"/>
        </w:rPr>
        <w:fldChar w:fldCharType="separate"/>
      </w:r>
      <w:r w:rsidR="001C3DA6" w:rsidRPr="00933D82">
        <w:rPr>
          <w:rFonts w:ascii="Arial" w:cs="Arial"/>
          <w:color w:val="528E45" w:themeColor="accent4" w:themeShade="BF"/>
        </w:rPr>
        <w:t>(Rodríguez-Pose, 2020)</w:t>
      </w:r>
      <w:r w:rsidRPr="00933D82">
        <w:rPr>
          <w:color w:val="528E45" w:themeColor="accent4" w:themeShade="BF"/>
        </w:rPr>
        <w:fldChar w:fldCharType="end"/>
      </w:r>
      <w:r w:rsidRPr="00933D82">
        <w:rPr>
          <w:color w:val="528E45" w:themeColor="accent4" w:themeShade="BF"/>
        </w:rPr>
        <w:t xml:space="preserve">. In their Joint Statement back in 2021, the ministers responsible for innovation and digitalisation in EUSDR countries highlighted that the sustainable digital transformation could increase the quality of life for citizens, boost industrial and SME competitiveness and sustainability and accelerate trade and environmental objectives </w:t>
      </w:r>
      <w:r w:rsidRPr="00933D82">
        <w:rPr>
          <w:color w:val="528E45" w:themeColor="accent4" w:themeShade="BF"/>
        </w:rPr>
        <w:fldChar w:fldCharType="begin"/>
      </w:r>
      <w:r w:rsidR="001C3DA6" w:rsidRPr="00933D82">
        <w:rPr>
          <w:color w:val="528E45" w:themeColor="accent4" w:themeShade="BF"/>
        </w:rPr>
        <w:instrText xml:space="preserve"> ADDIN ZOTERO_ITEM CSL_CITATION {"citationID":"z0sRyQHS","properties":{"formattedCitation":"(EUSDR, 2021)","plainCitation":"(EUSDR, 2021)","noteIndex":0},"citationItems":[{"id":8339,"uris":["http://zotero.org/groups/4075961/items/25F29NNT"],"itemData":{"id":8339,"type":"document","title":"Joint Statement of Ministers responsible for Innovation and Digitalisation of the participating countries of the EU Strategy for the Danube Region","author":[{"family":"EUSDR","given":""}],"issued":{"date-parts":[["2021",10,26]]}}}],"schema":"https://github.com/citation-style-language/schema/raw/master/csl-citation.json"} </w:instrText>
      </w:r>
      <w:r w:rsidRPr="00933D82">
        <w:rPr>
          <w:color w:val="528E45" w:themeColor="accent4" w:themeShade="BF"/>
        </w:rPr>
        <w:fldChar w:fldCharType="separate"/>
      </w:r>
      <w:r w:rsidRPr="00933D82">
        <w:rPr>
          <w:color w:val="528E45" w:themeColor="accent4" w:themeShade="BF"/>
        </w:rPr>
        <w:t>(EUSDR, 2021)</w:t>
      </w:r>
      <w:r w:rsidRPr="00933D82">
        <w:rPr>
          <w:color w:val="528E45" w:themeColor="accent4" w:themeShade="BF"/>
        </w:rPr>
        <w:fldChar w:fldCharType="end"/>
      </w:r>
      <w:r w:rsidRPr="00933D82">
        <w:rPr>
          <w:color w:val="528E45" w:themeColor="accent4" w:themeShade="BF"/>
        </w:rPr>
        <w:t xml:space="preserve">. Deepening democratisation, the rule of law and EU values over the years, in combination with widespread access to technology and information for everyone, ‘people power’ has increased, for self-development and safety, stimulating bottom-up political decision-making, ensuring that social needs are embedded in innovative solutions and democratic values are well established, putting the individual at the centre of attention and increasing stability </w:t>
      </w:r>
      <w:r w:rsidRPr="00933D82">
        <w:rPr>
          <w:color w:val="528E45" w:themeColor="accent4" w:themeShade="BF"/>
        </w:rPr>
        <w:fldChar w:fldCharType="begin"/>
      </w:r>
      <w:r w:rsidR="001C3DA6" w:rsidRPr="00933D82">
        <w:rPr>
          <w:color w:val="528E45" w:themeColor="accent4" w:themeShade="BF"/>
        </w:rPr>
        <w:instrText xml:space="preserve"> ADDIN ZOTERO_ITEM CSL_CITATION {"citationID":"4QGN7Vd0","properties":{"formattedCitation":"(European Strategy and Policy Analysis System, 2015)","plainCitation":"(European Strategy and Policy Analysis System, 2015)","noteIndex":0},"citationItems":[{"id":3689,"uris":["http://zotero.org/groups/21774/items/S957QRP7"],"itemData":{"id":3689,"type":"report","publisher":"European Strategy and Policy Analysis System","title":"Global Trends to 2030: Can the EU meet the challenges ahead?","author":[{"literal":"European Strategy and Policy Analysis System"}],"issued":{"date-parts":[["2015"]]}}}],"schema":"https://github.com/citation-style-language/schema/raw/master/csl-citation.json"} </w:instrText>
      </w:r>
      <w:r w:rsidRPr="00933D82">
        <w:rPr>
          <w:color w:val="528E45" w:themeColor="accent4" w:themeShade="BF"/>
        </w:rPr>
        <w:fldChar w:fldCharType="separate"/>
      </w:r>
      <w:r w:rsidR="001C3DA6" w:rsidRPr="00933D82">
        <w:rPr>
          <w:rFonts w:ascii="Arial" w:cs="Arial"/>
          <w:color w:val="528E45" w:themeColor="accent4" w:themeShade="BF"/>
        </w:rPr>
        <w:t>(European Strategy and Policy Analysis System, 2015)</w:t>
      </w:r>
      <w:r w:rsidRPr="00933D82">
        <w:rPr>
          <w:color w:val="528E45" w:themeColor="accent4" w:themeShade="BF"/>
        </w:rPr>
        <w:fldChar w:fldCharType="end"/>
      </w:r>
      <w:r w:rsidRPr="00933D82">
        <w:rPr>
          <w:color w:val="528E45" w:themeColor="accent4" w:themeShade="BF"/>
        </w:rPr>
        <w:t xml:space="preserve">. </w:t>
      </w:r>
    </w:p>
    <w:p w14:paraId="1DACAFFB" w14:textId="2FFC2F90" w:rsidR="006423E2" w:rsidRPr="00702488" w:rsidRDefault="00533175" w:rsidP="00533175">
      <w:pPr>
        <w:rPr>
          <w:i/>
          <w:iCs/>
        </w:rPr>
      </w:pPr>
      <w:r w:rsidRPr="00702488">
        <w:rPr>
          <w:i/>
          <w:iCs/>
        </w:rPr>
        <w:t xml:space="preserve">The transition towards a digital economy </w:t>
      </w:r>
      <w:r>
        <w:rPr>
          <w:i/>
          <w:iCs/>
        </w:rPr>
        <w:t>with</w:t>
      </w:r>
      <w:r w:rsidRPr="00702488">
        <w:rPr>
          <w:i/>
          <w:iCs/>
        </w:rPr>
        <w:t xml:space="preserve"> a key focus on technological progress and economic growth has affected people’s lives to </w:t>
      </w:r>
      <w:r>
        <w:rPr>
          <w:i/>
          <w:iCs/>
        </w:rPr>
        <w:t xml:space="preserve">a </w:t>
      </w:r>
      <w:r w:rsidRPr="00702488">
        <w:rPr>
          <w:i/>
          <w:iCs/>
        </w:rPr>
        <w:t>great exten</w:t>
      </w:r>
      <w:r>
        <w:rPr>
          <w:i/>
          <w:iCs/>
        </w:rPr>
        <w:t>t</w:t>
      </w:r>
      <w:r w:rsidRPr="00702488">
        <w:rPr>
          <w:i/>
          <w:iCs/>
        </w:rPr>
        <w:t>. It has influenced industry, the way people work and live</w:t>
      </w:r>
      <w:r>
        <w:rPr>
          <w:i/>
          <w:iCs/>
        </w:rPr>
        <w:t xml:space="preserve"> and</w:t>
      </w:r>
      <w:r w:rsidRPr="00702488">
        <w:rPr>
          <w:i/>
          <w:iCs/>
        </w:rPr>
        <w:t xml:space="preserve"> the economy, adjusted technological infrastructure, </w:t>
      </w:r>
      <w:r>
        <w:rPr>
          <w:i/>
          <w:iCs/>
        </w:rPr>
        <w:t>a</w:t>
      </w:r>
      <w:r w:rsidRPr="00702488">
        <w:rPr>
          <w:i/>
          <w:iCs/>
        </w:rPr>
        <w:t xml:space="preserve">ffected transport and improved health. At the same time, strong citizen and civil society </w:t>
      </w:r>
      <w:r>
        <w:rPr>
          <w:i/>
          <w:iCs/>
        </w:rPr>
        <w:t>involvement</w:t>
      </w:r>
      <w:r w:rsidRPr="00702488">
        <w:rPr>
          <w:i/>
          <w:iCs/>
        </w:rPr>
        <w:t xml:space="preserve"> has </w:t>
      </w:r>
      <w:r>
        <w:rPr>
          <w:i/>
          <w:iCs/>
        </w:rPr>
        <w:t>ensured</w:t>
      </w:r>
      <w:r w:rsidRPr="00702488">
        <w:rPr>
          <w:i/>
          <w:iCs/>
        </w:rPr>
        <w:t xml:space="preserve"> a balance between increased growth and ethical development, protecting peoples’ rights and safety </w:t>
      </w:r>
      <w:r>
        <w:rPr>
          <w:i/>
          <w:iCs/>
        </w:rPr>
        <w:t>while</w:t>
      </w:r>
      <w:r w:rsidRPr="00702488">
        <w:rPr>
          <w:i/>
          <w:iCs/>
        </w:rPr>
        <w:t xml:space="preserve"> playing a role in the overall prosperity.</w:t>
      </w:r>
    </w:p>
    <w:p w14:paraId="7DFD0DE5" w14:textId="1802011B" w:rsidR="00FF0962" w:rsidRPr="00702488" w:rsidRDefault="00FF0962" w:rsidP="00FF0962">
      <w:r w:rsidRPr="00702488">
        <w:rPr>
          <w:b/>
          <w:bCs/>
        </w:rPr>
        <w:t>Industry 4.0: From revolution to status quo</w:t>
      </w:r>
      <w:r w:rsidRPr="00702488">
        <w:t xml:space="preserve">. </w:t>
      </w:r>
      <w:r>
        <w:t>A</w:t>
      </w:r>
      <w:r w:rsidRPr="00702488">
        <w:t>lready in the 2010s</w:t>
      </w:r>
      <w:r>
        <w:t>,</w:t>
      </w:r>
      <w:r w:rsidRPr="00702488">
        <w:t xml:space="preserve"> industry 4.0 </w:t>
      </w:r>
      <w:r>
        <w:t>was</w:t>
      </w:r>
      <w:r w:rsidRPr="00702488">
        <w:t xml:space="preserve"> revolutionis</w:t>
      </w:r>
      <w:r>
        <w:t>ing</w:t>
      </w:r>
      <w:r w:rsidRPr="00702488">
        <w:t xml:space="preserve"> innovation, technology and industries, bringing an enormous shift in consumption, work and </w:t>
      </w:r>
      <w:r>
        <w:t xml:space="preserve">personal </w:t>
      </w:r>
      <w:r w:rsidRPr="00702488">
        <w:t>communication. Technological breakthroughs such as the Internet of Things, big data and data mining, brain machine interfaces, super calculators, smart devices and cloud computing transformed IT platforms, reducing costs and having an economic impact of around EUR 1.2 to EUR 4.5 trillion by 2025 already</w:t>
      </w:r>
      <w:r>
        <w:t>. S</w:t>
      </w:r>
      <w:r w:rsidRPr="00702488">
        <w:t xml:space="preserve">mart mobility, sensors, additive transformation and 3D printers, synthetic biology, the combination of nano-, bio- and information technology in healthcare, and of course virtual reality becoming mainstream are all examples of the technological revolution that by 2050 </w:t>
      </w:r>
      <w:r>
        <w:t>was</w:t>
      </w:r>
      <w:r w:rsidRPr="00702488">
        <w:t xml:space="preserve"> a ‘status quo’ in the Danube Region </w:t>
      </w:r>
      <w:r w:rsidRPr="00702488">
        <w:fldChar w:fldCharType="begin"/>
      </w:r>
      <w:r w:rsidR="001C3DA6">
        <w:instrText xml:space="preserve"> ADDIN ZOTERO_ITEM CSL_CITATION {"citationID":"iGUn685d","properties":{"formattedCitation":"(European Strategy and Policy Analysis System, 2015)","plainCitation":"(European Strategy and Policy Analysis System, 2015)","noteIndex":0},"citationItems":[{"id":3689,"uris":["http://zotero.org/groups/21774/items/S957QRP7"],"itemData":{"id":3689,"type":"report","publisher":"European Strategy and Policy Analysis System","title":"Global Trends to 2030: Can the EU meet the challenges ahead?","author":[{"literal":"European Strategy and Policy Analysis System"}],"issued":{"date-parts":[["2015"]]}}}],"schema":"https://github.com/citation-style-language/schema/raw/master/csl-citation.json"} </w:instrText>
      </w:r>
      <w:r w:rsidRPr="00702488">
        <w:fldChar w:fldCharType="separate"/>
      </w:r>
      <w:r w:rsidR="001C3DA6" w:rsidRPr="001C3DA6">
        <w:rPr>
          <w:rFonts w:ascii="Arial" w:cs="Arial"/>
        </w:rPr>
        <w:t>(European Strategy and Policy Analysis System, 2015)</w:t>
      </w:r>
      <w:r w:rsidRPr="00702488">
        <w:fldChar w:fldCharType="end"/>
      </w:r>
      <w:r w:rsidRPr="00702488">
        <w:t xml:space="preserve">. Companies </w:t>
      </w:r>
      <w:r>
        <w:t>have kept</w:t>
      </w:r>
      <w:r w:rsidRPr="00702488">
        <w:t xml:space="preserve"> up with global players and accelerating global developments</w:t>
      </w:r>
      <w:r>
        <w:t xml:space="preserve"> so</w:t>
      </w:r>
      <w:r w:rsidRPr="00702488">
        <w:t xml:space="preserve"> technological progress has contributed </w:t>
      </w:r>
      <w:r>
        <w:t>to</w:t>
      </w:r>
      <w:r w:rsidRPr="00702488">
        <w:t xml:space="preserve"> fast-forward economic progress </w:t>
      </w:r>
      <w:r w:rsidRPr="00702488">
        <w:fldChar w:fldCharType="begin"/>
      </w:r>
      <w:r w:rsidR="001C3DA6">
        <w:instrText xml:space="preserve"> ADDIN ZOTERO_ITEM CSL_CITATION {"citationID":"uZw7wweF","properties":{"formattedCitation":"(European Strategy and Policy Analysis System, 2015)","plainCitation":"(European Strategy and Policy Analysis System, 2015)","noteIndex":0},"citationItems":[{"id":3689,"uris":["http://zotero.org/groups/21774/items/S957QRP7"],"itemData":{"id":3689,"type":"report","publisher":"European Strategy and Policy Analysis System","title":"Global Trends to 2030: Can the EU meet the challenges ahead?","author":[{"literal":"European Strategy and Policy Analysis System"}],"issued":{"date-parts":[["2015"]]}}}],"schema":"https://github.com/citation-style-language/schema/raw/master/csl-citation.json"} </w:instrText>
      </w:r>
      <w:r w:rsidRPr="00702488">
        <w:fldChar w:fldCharType="separate"/>
      </w:r>
      <w:r w:rsidR="001C3DA6" w:rsidRPr="001C3DA6">
        <w:rPr>
          <w:rFonts w:ascii="Arial" w:cs="Arial"/>
        </w:rPr>
        <w:t>(European Strategy and Policy Analysis System, 2015)</w:t>
      </w:r>
      <w:r w:rsidRPr="00702488">
        <w:fldChar w:fldCharType="end"/>
      </w:r>
      <w:r w:rsidRPr="00702488">
        <w:t xml:space="preserve">. On the contrary, ill-equipped companies which cannot </w:t>
      </w:r>
      <w:r>
        <w:t xml:space="preserve">keep </w:t>
      </w:r>
      <w:r w:rsidRPr="00702488">
        <w:t xml:space="preserve">pace with the changes are unable to use </w:t>
      </w:r>
      <w:r>
        <w:t>or</w:t>
      </w:r>
      <w:r w:rsidRPr="00702488">
        <w:t xml:space="preserve"> develop digital applications or lack big data management seriously lag behind in economic and industrial competitiveness and </w:t>
      </w:r>
      <w:r>
        <w:t>are</w:t>
      </w:r>
      <w:r w:rsidRPr="00702488">
        <w:t xml:space="preserve"> cut off from global markets. </w:t>
      </w:r>
      <w:r w:rsidRPr="00702488">
        <w:fldChar w:fldCharType="begin"/>
      </w:r>
      <w:r w:rsidR="001C3DA6">
        <w:instrText xml:space="preserve"> ADDIN ZOTERO_ITEM CSL_CITATION {"citationID":"4bwxxdCG","properties":{"formattedCitation":"(European Strategy and Policy Analysis System, 2015)","plainCitation":"(European Strategy and Policy Analysis System, 2015)","noteIndex":0},"citationItems":[{"id":3689,"uris":["http://zotero.org/groups/21774/items/S957QRP7"],"itemData":{"id":3689,"type":"report","publisher":"European Strategy and Policy Analysis System","title":"Global Trends to 2030: Can the EU meet the challenges ahead?","author":[{"literal":"European Strategy and Policy Analysis System"}],"issued":{"date-parts":[["2015"]]}}}],"schema":"https://github.com/citation-style-language/schema/raw/master/csl-citation.json"} </w:instrText>
      </w:r>
      <w:r w:rsidRPr="00702488">
        <w:fldChar w:fldCharType="separate"/>
      </w:r>
      <w:r w:rsidR="001C3DA6" w:rsidRPr="001C3DA6">
        <w:rPr>
          <w:rFonts w:ascii="Arial" w:cs="Arial"/>
        </w:rPr>
        <w:t>(European Strategy and Policy Analysis System, 2015)</w:t>
      </w:r>
      <w:r w:rsidRPr="00702488">
        <w:fldChar w:fldCharType="end"/>
      </w:r>
      <w:r w:rsidRPr="00702488">
        <w:t xml:space="preserve">. </w:t>
      </w:r>
    </w:p>
    <w:p w14:paraId="700B16C1" w14:textId="13040502" w:rsidR="00FF0962" w:rsidRPr="00702488" w:rsidRDefault="00FF0962" w:rsidP="00FF0962">
      <w:pPr>
        <w:rPr>
          <w:i/>
          <w:iCs/>
        </w:rPr>
      </w:pPr>
      <w:r w:rsidRPr="00702488">
        <w:rPr>
          <w:i/>
          <w:iCs/>
        </w:rPr>
        <w:t xml:space="preserve">Innovation and research are </w:t>
      </w:r>
      <w:r>
        <w:rPr>
          <w:i/>
          <w:iCs/>
        </w:rPr>
        <w:t>at</w:t>
      </w:r>
      <w:r w:rsidRPr="00702488">
        <w:rPr>
          <w:i/>
          <w:iCs/>
        </w:rPr>
        <w:t xml:space="preserve"> the epicentre of technological breakthroughs. Places </w:t>
      </w:r>
      <w:r>
        <w:rPr>
          <w:i/>
          <w:iCs/>
        </w:rPr>
        <w:t>with</w:t>
      </w:r>
      <w:r w:rsidRPr="00702488">
        <w:rPr>
          <w:i/>
          <w:iCs/>
        </w:rPr>
        <w:t xml:space="preserve"> high innovation, as well as places with a high research profile play an important role by 2050 and ha</w:t>
      </w:r>
      <w:r>
        <w:rPr>
          <w:i/>
          <w:iCs/>
        </w:rPr>
        <w:t>d</w:t>
      </w:r>
      <w:r w:rsidRPr="00702488">
        <w:rPr>
          <w:i/>
          <w:iCs/>
        </w:rPr>
        <w:t xml:space="preserve"> a smoother transition. At the same time, places that were earlier lagging behind, leapfrogged </w:t>
      </w:r>
      <w:r>
        <w:rPr>
          <w:i/>
          <w:iCs/>
        </w:rPr>
        <w:t>by</w:t>
      </w:r>
      <w:r w:rsidRPr="00702488">
        <w:rPr>
          <w:i/>
          <w:iCs/>
        </w:rPr>
        <w:t xml:space="preserve"> adjusting quickly to the changes and </w:t>
      </w:r>
      <w:r>
        <w:rPr>
          <w:i/>
          <w:iCs/>
        </w:rPr>
        <w:t xml:space="preserve">became </w:t>
      </w:r>
      <w:r w:rsidRPr="00702488">
        <w:rPr>
          <w:i/>
          <w:iCs/>
        </w:rPr>
        <w:t>global innovation trend-setters.</w:t>
      </w:r>
      <w:r>
        <w:rPr>
          <w:i/>
          <w:iCs/>
        </w:rPr>
        <w:t xml:space="preserve"> (Map </w:t>
      </w:r>
      <w:r w:rsidR="00AD0EEE">
        <w:rPr>
          <w:i/>
          <w:iCs/>
        </w:rPr>
        <w:t>7-1</w:t>
      </w:r>
      <w:r>
        <w:rPr>
          <w:i/>
          <w:iCs/>
        </w:rPr>
        <w:t>)</w:t>
      </w:r>
      <w:r w:rsidRPr="00702488">
        <w:rPr>
          <w:i/>
          <w:iCs/>
        </w:rPr>
        <w:t xml:space="preserve"> </w:t>
      </w:r>
    </w:p>
    <w:p w14:paraId="7474E106" w14:textId="35FEBF80" w:rsidR="00FF0962" w:rsidRPr="00702488" w:rsidRDefault="00FF0962" w:rsidP="00FF0962">
      <w:pPr>
        <w:rPr>
          <w:i/>
          <w:iCs/>
        </w:rPr>
      </w:pPr>
      <w:r w:rsidRPr="00702488">
        <w:rPr>
          <w:i/>
          <w:iCs/>
        </w:rPr>
        <w:t xml:space="preserve">Places that had strong innovation profiles already in the 2020s had a faster transition to industry 4.0, </w:t>
      </w:r>
      <w:r>
        <w:rPr>
          <w:i/>
          <w:iCs/>
        </w:rPr>
        <w:t>including</w:t>
      </w:r>
      <w:r w:rsidRPr="00702488">
        <w:rPr>
          <w:i/>
          <w:iCs/>
        </w:rPr>
        <w:t xml:space="preserve"> regions in Germany like Oberbayern, Tubingen, Freiburg, Schwaben, Mittelfranken, Karlsruhe</w:t>
      </w:r>
      <w:r>
        <w:rPr>
          <w:i/>
          <w:iCs/>
        </w:rPr>
        <w:t xml:space="preserve"> and</w:t>
      </w:r>
      <w:r w:rsidRPr="00702488">
        <w:rPr>
          <w:i/>
          <w:iCs/>
        </w:rPr>
        <w:t xml:space="preserve"> Stuttgart, all regions in Austria and Prague</w:t>
      </w:r>
      <w:r>
        <w:rPr>
          <w:i/>
          <w:iCs/>
        </w:rPr>
        <w:t>. These</w:t>
      </w:r>
      <w:r w:rsidRPr="00702488">
        <w:rPr>
          <w:i/>
          <w:iCs/>
        </w:rPr>
        <w:t xml:space="preserve"> were already strong innovators or innovation leaders </w:t>
      </w:r>
      <w:r>
        <w:rPr>
          <w:i/>
          <w:iCs/>
        </w:rPr>
        <w:t>and</w:t>
      </w:r>
      <w:r w:rsidRPr="00702488">
        <w:rPr>
          <w:i/>
          <w:iCs/>
        </w:rPr>
        <w:t xml:space="preserve"> a step forward in the process. </w:t>
      </w:r>
      <w:r>
        <w:rPr>
          <w:i/>
          <w:iCs/>
        </w:rPr>
        <w:t>Some</w:t>
      </w:r>
      <w:r w:rsidRPr="00702488">
        <w:rPr>
          <w:i/>
          <w:iCs/>
        </w:rPr>
        <w:t xml:space="preserve"> moderate innovators in the 2020s took important steps to adjust, such as all other regions in </w:t>
      </w:r>
      <w:r>
        <w:rPr>
          <w:i/>
          <w:iCs/>
        </w:rPr>
        <w:t>Czechia</w:t>
      </w:r>
      <w:r w:rsidRPr="00702488">
        <w:rPr>
          <w:i/>
          <w:iCs/>
        </w:rPr>
        <w:t xml:space="preserve">, Slovenia, North Croatia and Pannonian Croatia, as well as Belgrade and the region of Yugozapaden in Bulgaria </w:t>
      </w:r>
      <w:r w:rsidRPr="00702488">
        <w:rPr>
          <w:i/>
          <w:iCs/>
        </w:rPr>
        <w:fldChar w:fldCharType="begin"/>
      </w:r>
      <w:r w:rsidRPr="00702488">
        <w:rPr>
          <w:i/>
          <w:iCs/>
        </w:rPr>
        <w:instrText xml:space="preserve"> ADDIN ZOTERO_TEMP </w:instrText>
      </w:r>
      <w:r w:rsidRPr="00702488">
        <w:rPr>
          <w:i/>
          <w:iCs/>
        </w:rPr>
        <w:fldChar w:fldCharType="separate"/>
      </w:r>
      <w:r w:rsidRPr="00702488">
        <w:rPr>
          <w:rFonts w:ascii="Arial" w:cs="Arial"/>
          <w:u w:val="dash"/>
        </w:rPr>
        <w:t>(European Commission, 2021)</w:t>
      </w:r>
      <w:r w:rsidRPr="00702488">
        <w:rPr>
          <w:i/>
          <w:iCs/>
        </w:rPr>
        <w:fldChar w:fldCharType="end"/>
      </w:r>
      <w:r w:rsidRPr="00702488">
        <w:rPr>
          <w:i/>
          <w:iCs/>
        </w:rPr>
        <w:t xml:space="preserve">. </w:t>
      </w:r>
      <w:r w:rsidR="00AD0EEE">
        <w:rPr>
          <w:i/>
          <w:iCs/>
        </w:rPr>
        <w:t>(Map 7-1)</w:t>
      </w:r>
    </w:p>
    <w:p w14:paraId="42E98736" w14:textId="2D43592E" w:rsidR="00FF0962" w:rsidRPr="00702488" w:rsidRDefault="00FF0962" w:rsidP="00FF0962">
      <w:pPr>
        <w:rPr>
          <w:i/>
          <w:iCs/>
        </w:rPr>
      </w:pPr>
      <w:r>
        <w:rPr>
          <w:i/>
          <w:iCs/>
        </w:rPr>
        <w:t>R</w:t>
      </w:r>
      <w:r w:rsidRPr="00702488">
        <w:rPr>
          <w:i/>
          <w:iCs/>
        </w:rPr>
        <w:t xml:space="preserve">egions </w:t>
      </w:r>
      <w:r>
        <w:rPr>
          <w:i/>
          <w:iCs/>
        </w:rPr>
        <w:t>with</w:t>
      </w:r>
      <w:r w:rsidRPr="00702488">
        <w:rPr>
          <w:i/>
          <w:iCs/>
        </w:rPr>
        <w:t xml:space="preserve"> a strong research profile </w:t>
      </w:r>
      <w:r>
        <w:rPr>
          <w:i/>
          <w:iCs/>
        </w:rPr>
        <w:t>had</w:t>
      </w:r>
      <w:r w:rsidRPr="00702488">
        <w:rPr>
          <w:i/>
          <w:iCs/>
        </w:rPr>
        <w:t xml:space="preserve"> skilled employees and </w:t>
      </w:r>
      <w:r>
        <w:rPr>
          <w:i/>
          <w:iCs/>
        </w:rPr>
        <w:t xml:space="preserve">offered </w:t>
      </w:r>
      <w:r w:rsidRPr="00702488">
        <w:rPr>
          <w:i/>
          <w:iCs/>
        </w:rPr>
        <w:t xml:space="preserve">further developments to be applied in innovation leading industries. Such regions </w:t>
      </w:r>
      <w:r>
        <w:rPr>
          <w:i/>
          <w:iCs/>
        </w:rPr>
        <w:t>include</w:t>
      </w:r>
      <w:r w:rsidRPr="00702488">
        <w:rPr>
          <w:i/>
          <w:iCs/>
        </w:rPr>
        <w:t xml:space="preserve"> capital cities all over the Danube Region, but also smaller places</w:t>
      </w:r>
      <w:r>
        <w:rPr>
          <w:i/>
          <w:iCs/>
        </w:rPr>
        <w:t xml:space="preserve"> such</w:t>
      </w:r>
      <w:r w:rsidRPr="00702488">
        <w:rPr>
          <w:i/>
          <w:iCs/>
        </w:rPr>
        <w:t xml:space="preserve"> as Iasi, Timis</w:t>
      </w:r>
      <w:r>
        <w:rPr>
          <w:i/>
          <w:iCs/>
        </w:rPr>
        <w:t xml:space="preserve"> and</w:t>
      </w:r>
      <w:r w:rsidRPr="00702488">
        <w:rPr>
          <w:i/>
          <w:iCs/>
        </w:rPr>
        <w:t xml:space="preserve"> Cluj-Napoca in Romania, Maribor in Slovenia, Zadar in Croatia, Novi Sad in Serbia, Szeged and Debrecen in Hungary</w:t>
      </w:r>
      <w:r>
        <w:rPr>
          <w:i/>
          <w:iCs/>
        </w:rPr>
        <w:t xml:space="preserve"> and</w:t>
      </w:r>
      <w:r w:rsidRPr="00702488">
        <w:rPr>
          <w:i/>
          <w:iCs/>
        </w:rPr>
        <w:t xml:space="preserve"> Brno in </w:t>
      </w:r>
      <w:r>
        <w:rPr>
          <w:i/>
          <w:iCs/>
        </w:rPr>
        <w:t>Czechia</w:t>
      </w:r>
      <w:r w:rsidRPr="00702488">
        <w:rPr>
          <w:i/>
          <w:iCs/>
        </w:rPr>
        <w:t xml:space="preserve"> to name a few. </w:t>
      </w:r>
    </w:p>
    <w:p w14:paraId="50D20AF4" w14:textId="421E3383" w:rsidR="00AF712D" w:rsidRPr="00702488" w:rsidRDefault="00FF0962" w:rsidP="00FF0962">
      <w:pPr>
        <w:rPr>
          <w:i/>
          <w:iCs/>
        </w:rPr>
      </w:pPr>
      <w:r>
        <w:rPr>
          <w:i/>
          <w:iCs/>
        </w:rPr>
        <w:t>R</w:t>
      </w:r>
      <w:r w:rsidRPr="00702488">
        <w:rPr>
          <w:i/>
          <w:iCs/>
        </w:rPr>
        <w:t>egions in the east part of the Danube Region</w:t>
      </w:r>
      <w:r>
        <w:rPr>
          <w:i/>
          <w:iCs/>
        </w:rPr>
        <w:t xml:space="preserve"> and</w:t>
      </w:r>
      <w:r w:rsidRPr="00702488">
        <w:rPr>
          <w:i/>
          <w:iCs/>
        </w:rPr>
        <w:t xml:space="preserve"> regions in Romania, Hungary, Croatia, Slovenia and </w:t>
      </w:r>
      <w:r>
        <w:rPr>
          <w:i/>
          <w:iCs/>
        </w:rPr>
        <w:t>Czechia</w:t>
      </w:r>
      <w:r w:rsidRPr="00702488">
        <w:rPr>
          <w:i/>
          <w:iCs/>
        </w:rPr>
        <w:t xml:space="preserve"> </w:t>
      </w:r>
      <w:r>
        <w:rPr>
          <w:i/>
          <w:iCs/>
        </w:rPr>
        <w:t>were</w:t>
      </w:r>
      <w:r w:rsidRPr="00702488">
        <w:rPr>
          <w:i/>
          <w:iCs/>
        </w:rPr>
        <w:t xml:space="preserve"> also characterised as new islands of innovation already from 2020 </w:t>
      </w:r>
      <w:r w:rsidRPr="00702488">
        <w:rPr>
          <w:i/>
          <w:iCs/>
        </w:rPr>
        <w:fldChar w:fldCharType="begin"/>
      </w:r>
      <w:r w:rsidR="001C3DA6">
        <w:rPr>
          <w:i/>
          <w:iCs/>
        </w:rPr>
        <w:instrText xml:space="preserve"> ADDIN ZOTERO_ITEM CSL_CITATION {"citationID":"a1g669r9vnf","properties":{"formattedCitation":"(BBSR &amp; ESPON, 2020)","plainCitation":"(BBSR &amp; ESPON, 2020)","noteIndex":0},"citationItems":[{"id":5019,"uris":["http://zotero.org/groups/21774/items/LH8PIJ6F"],"itemData":{"id":5019,"type":"book","event-place":"Berlin","publisher":"Federal Ministry fo the Interior, Building and Community","publisher-place":"Berlin","title":"Atlas for the Territorial Agenda 2030: Maps on European Territorial Development","author":[{"literal":"BBSR"},{"literal":"ESPON"}],"issued":{"date-parts":[["2020"]]}}}],"schema":"https://github.com/citation-style-language/schema/raw/master/csl-citation.json"} </w:instrText>
      </w:r>
      <w:r w:rsidRPr="00702488">
        <w:rPr>
          <w:i/>
          <w:iCs/>
        </w:rPr>
        <w:fldChar w:fldCharType="separate"/>
      </w:r>
      <w:r w:rsidR="001C3DA6" w:rsidRPr="001C3DA6">
        <w:rPr>
          <w:rFonts w:ascii="Arial" w:cs="Arial"/>
        </w:rPr>
        <w:t>(BBSR &amp; ESPON, 2020)</w:t>
      </w:r>
      <w:r w:rsidRPr="00702488">
        <w:rPr>
          <w:i/>
          <w:iCs/>
        </w:rPr>
        <w:fldChar w:fldCharType="end"/>
      </w:r>
      <w:r w:rsidRPr="00702488">
        <w:rPr>
          <w:i/>
          <w:iCs/>
        </w:rPr>
        <w:t>.</w:t>
      </w:r>
    </w:p>
    <w:p w14:paraId="09022310" w14:textId="28915171" w:rsidR="00131E9B" w:rsidRPr="00702488" w:rsidRDefault="00131E9B" w:rsidP="00131E9B">
      <w:r w:rsidRPr="00702488">
        <w:rPr>
          <w:b/>
          <w:bCs/>
        </w:rPr>
        <w:t>Walking the industry 5.0 path in symbiosis</w:t>
      </w:r>
      <w:r w:rsidRPr="00702488">
        <w:t>. Hyper-digitalisation has allowed entrepreneurs to further innovate and grow their businesses</w:t>
      </w:r>
      <w:r>
        <w:t>,</w:t>
      </w:r>
      <w:r w:rsidRPr="00702488">
        <w:t xml:space="preserve"> also indirectly support</w:t>
      </w:r>
      <w:r>
        <w:t>ing</w:t>
      </w:r>
      <w:r w:rsidRPr="00702488">
        <w:t xml:space="preserve"> the green transition. </w:t>
      </w:r>
      <w:r>
        <w:t>There was</w:t>
      </w:r>
      <w:r w:rsidRPr="00702488">
        <w:t xml:space="preserve"> a paradigm shift in industrial policy. Although digitalisation brought several economic benefits, it also </w:t>
      </w:r>
      <w:r>
        <w:t>brought</w:t>
      </w:r>
      <w:r w:rsidRPr="00702488">
        <w:t xml:space="preserve"> challenges such as fragile value chains for critical supplies, overuse of natural resources, increas</w:t>
      </w:r>
      <w:r>
        <w:t>ed</w:t>
      </w:r>
      <w:r w:rsidRPr="00702488">
        <w:t xml:space="preserve"> inequalities and social change. </w:t>
      </w:r>
      <w:r>
        <w:t>There are also</w:t>
      </w:r>
      <w:r w:rsidRPr="00702488">
        <w:t xml:space="preserve"> environmental pressures that do not </w:t>
      </w:r>
      <w:r>
        <w:t>match</w:t>
      </w:r>
      <w:r w:rsidRPr="00702488">
        <w:t xml:space="preserve"> the Green Deal and sustainable development values of society by 2050. Industry 5.0 </w:t>
      </w:r>
      <w:r>
        <w:t>will</w:t>
      </w:r>
      <w:r w:rsidRPr="00702488">
        <w:t xml:space="preserve"> alleviate these challenges by promoting digitalisation, technological development, artificial intelligence and automation</w:t>
      </w:r>
      <w:r>
        <w:t>,</w:t>
      </w:r>
      <w:r w:rsidRPr="00702488">
        <w:t xml:space="preserve"> adapting it to worker</w:t>
      </w:r>
      <w:r>
        <w:t>s</w:t>
      </w:r>
      <w:r w:rsidRPr="00702488">
        <w:t xml:space="preserve"> as well as </w:t>
      </w:r>
      <w:r>
        <w:t>to</w:t>
      </w:r>
      <w:r w:rsidRPr="00702488">
        <w:t xml:space="preserve"> sustainability and circularity </w:t>
      </w:r>
      <w:r w:rsidRPr="00702488">
        <w:fldChar w:fldCharType="begin"/>
      </w:r>
      <w:r w:rsidR="001C3DA6">
        <w:instrText xml:space="preserve"> ADDIN ZOTERO_ITEM CSL_CITATION {"citationID":"mFSSkVUA","properties":{"formattedCitation":"(European Commission, 2021e, p.  5)","plainCitation":"(European Commission, 2021e, p.  5)","dontUpdate":true,"noteIndex":0},"citationItems":[{"id":8337,"uris":["http://zotero.org/groups/4075961/items/DLALCJBM"],"itemData":{"id":8337,"type":"report","title":"Industry 5.0. Towards a sustainable, human-centric and resilient European industry.","author":[{"family":"European Commission","given":""}],"issued":{"date-parts":[["2021"]]}},"locator":"5"}],"schema":"https://github.com/citation-style-language/schema/raw/master/csl-citation.json"} </w:instrText>
      </w:r>
      <w:r w:rsidRPr="00702488">
        <w:fldChar w:fldCharType="separate"/>
      </w:r>
      <w:r w:rsidRPr="00702488">
        <w:rPr>
          <w:noProof/>
        </w:rPr>
        <w:t>(European Commission, 2021e)</w:t>
      </w:r>
      <w:r w:rsidRPr="00702488">
        <w:fldChar w:fldCharType="end"/>
      </w:r>
      <w:r w:rsidRPr="00702488">
        <w:t>. This has resulted in businesses in the Danube region redefining their business model, applying more circular approaches and sustainable production</w:t>
      </w:r>
      <w:r>
        <w:t xml:space="preserve"> while</w:t>
      </w:r>
      <w:r w:rsidRPr="00702488">
        <w:t xml:space="preserve"> investing in social sustainability. </w:t>
      </w:r>
      <w:r>
        <w:t>This</w:t>
      </w:r>
      <w:r w:rsidRPr="00702488">
        <w:t xml:space="preserve"> approach has created a more resilient, robust, sustainable and human-centric industry in the macro-region, putting people and the environment first, and at the same time increas</w:t>
      </w:r>
      <w:r>
        <w:t>ing</w:t>
      </w:r>
      <w:r w:rsidRPr="00702488">
        <w:t xml:space="preserve"> economic growth in the macro-region.</w:t>
      </w:r>
    </w:p>
    <w:p w14:paraId="3207D89B" w14:textId="77459979" w:rsidR="00131E9B" w:rsidRPr="00702488" w:rsidRDefault="00131E9B" w:rsidP="00131E9B">
      <w:r w:rsidRPr="00702488">
        <w:t xml:space="preserve">The shift towards industry 5.0 is also coupled with sustainable solutions. </w:t>
      </w:r>
      <w:r>
        <w:t>S</w:t>
      </w:r>
      <w:r w:rsidRPr="00702488">
        <w:t>ustainable use of resources</w:t>
      </w:r>
      <w:r>
        <w:t xml:space="preserve"> and</w:t>
      </w:r>
      <w:r w:rsidRPr="00702488">
        <w:t xml:space="preserve"> waste management and </w:t>
      </w:r>
      <w:r>
        <w:t xml:space="preserve">other </w:t>
      </w:r>
      <w:r w:rsidRPr="00702488">
        <w:t xml:space="preserve">circular approaches are all part of this green </w:t>
      </w:r>
      <w:r>
        <w:t>transition</w:t>
      </w:r>
      <w:r w:rsidRPr="00702488">
        <w:t xml:space="preserve">. By 2050 industrial symbiosis </w:t>
      </w:r>
      <w:r>
        <w:t>means</w:t>
      </w:r>
      <w:r w:rsidRPr="00702488">
        <w:t xml:space="preserve"> waste or by-products become raw material for other companies, </w:t>
      </w:r>
      <w:r>
        <w:t>with a</w:t>
      </w:r>
      <w:r w:rsidRPr="00702488">
        <w:t xml:space="preserve"> circular economy and resource security </w:t>
      </w:r>
      <w:r w:rsidRPr="00702488">
        <w:fldChar w:fldCharType="begin"/>
      </w:r>
      <w:r w:rsidR="001C3DA6">
        <w:instrText xml:space="preserve"> ADDIN ZOTERO_ITEM CSL_CITATION {"citationID":"a1706n66bq9","properties":{"formattedCitation":"(European Commission, 2018b)","plainCitation":"(European Commission, 2018b)","noteIndex":0},"citationItems":[{"id":8504,"uris":["http://zotero.org/groups/4075961/items/HUZA77BM"],"itemData":{"id":8504,"type":"document","title":"Industrial Symbiosis. Factsheet.","author":[{"family":"European Commission","given":""}],"issued":{"date-parts":[["2018"]]}}}],"schema":"https://github.com/citation-style-language/schema/raw/master/csl-citation.json"} </w:instrText>
      </w:r>
      <w:r w:rsidRPr="00702488">
        <w:fldChar w:fldCharType="separate"/>
      </w:r>
      <w:r w:rsidR="001C3DA6" w:rsidRPr="001C3DA6">
        <w:rPr>
          <w:rFonts w:ascii="Arial" w:cs="Arial"/>
        </w:rPr>
        <w:t>(European Commission, 2018b)</w:t>
      </w:r>
      <w:r w:rsidRPr="00702488">
        <w:fldChar w:fldCharType="end"/>
      </w:r>
      <w:r w:rsidRPr="00702488">
        <w:t xml:space="preserve">. This creates interconnected industries, where no waste is produced, less raw materials are needed and value </w:t>
      </w:r>
      <w:r>
        <w:t xml:space="preserve">is created </w:t>
      </w:r>
      <w:r w:rsidRPr="00702488">
        <w:t xml:space="preserve">from materials that would otherwise be wasted </w:t>
      </w:r>
      <w:r w:rsidRPr="00702488">
        <w:fldChar w:fldCharType="begin"/>
      </w:r>
      <w:r w:rsidR="001C3DA6">
        <w:instrText xml:space="preserve"> ADDIN ZOTERO_ITEM CSL_CITATION {"citationID":"yR7lGkGM","properties":{"formattedCitation":"(European Commission, 2018b)","plainCitation":"(European Commission, 2018b)","noteIndex":0},"citationItems":[{"id":8504,"uris":["http://zotero.org/groups/4075961/items/HUZA77BM"],"itemData":{"id":8504,"type":"document","title":"Industrial Symbiosis. Factsheet.","author":[{"family":"European Commission","given":""}],"issued":{"date-parts":[["2018"]]}}}],"schema":"https://github.com/citation-style-language/schema/raw/master/csl-citation.json"} </w:instrText>
      </w:r>
      <w:r w:rsidRPr="00702488">
        <w:fldChar w:fldCharType="separate"/>
      </w:r>
      <w:r w:rsidR="001C3DA6" w:rsidRPr="001C3DA6">
        <w:rPr>
          <w:rFonts w:ascii="Arial" w:cs="Arial"/>
        </w:rPr>
        <w:t>(European Commission, 2018b)</w:t>
      </w:r>
      <w:r w:rsidRPr="00702488">
        <w:fldChar w:fldCharType="end"/>
      </w:r>
      <w:r w:rsidRPr="00702488">
        <w:t xml:space="preserve">. Therefore, the environmental footprint is reduced, making it possible to increase production </w:t>
      </w:r>
      <w:r>
        <w:t>with</w:t>
      </w:r>
      <w:r w:rsidRPr="00702488">
        <w:t xml:space="preserve"> less environmental cost.</w:t>
      </w:r>
    </w:p>
    <w:p w14:paraId="720D8A32" w14:textId="56E93BAA" w:rsidR="00131E9B" w:rsidRPr="00702488" w:rsidRDefault="00131E9B" w:rsidP="00131E9B">
      <w:pPr>
        <w:rPr>
          <w:i/>
          <w:iCs/>
        </w:rPr>
      </w:pPr>
      <w:r w:rsidRPr="00702488">
        <w:rPr>
          <w:i/>
          <w:iCs/>
        </w:rPr>
        <w:t xml:space="preserve">Regions </w:t>
      </w:r>
      <w:r>
        <w:rPr>
          <w:i/>
          <w:iCs/>
        </w:rPr>
        <w:t>with</w:t>
      </w:r>
      <w:r w:rsidRPr="00702488">
        <w:rPr>
          <w:i/>
          <w:iCs/>
        </w:rPr>
        <w:t xml:space="preserve"> a strong industrial profile and high share of employment in industry have been the first </w:t>
      </w:r>
      <w:r>
        <w:rPr>
          <w:i/>
          <w:iCs/>
        </w:rPr>
        <w:t>to</w:t>
      </w:r>
      <w:r w:rsidRPr="00702488">
        <w:rPr>
          <w:i/>
          <w:iCs/>
        </w:rPr>
        <w:t xml:space="preserve"> shift to industry 5.0 in slow and gradual steps</w:t>
      </w:r>
      <w:r>
        <w:rPr>
          <w:i/>
          <w:iCs/>
        </w:rPr>
        <w:t xml:space="preserve"> </w:t>
      </w:r>
      <w:r w:rsidR="00AD0EEE">
        <w:rPr>
          <w:i/>
          <w:iCs/>
        </w:rPr>
        <w:t>(Map 7-1)</w:t>
      </w:r>
      <w:r w:rsidRPr="00702488">
        <w:rPr>
          <w:i/>
          <w:iCs/>
        </w:rPr>
        <w:t xml:space="preserve">. This is particularly relevant for the regions of Plzen, Liberec, Hradec Kralove, Prardubice, Vysocina and Zlin in </w:t>
      </w:r>
      <w:r>
        <w:rPr>
          <w:i/>
          <w:iCs/>
        </w:rPr>
        <w:t>Czechia</w:t>
      </w:r>
      <w:r w:rsidRPr="00702488">
        <w:rPr>
          <w:i/>
          <w:iCs/>
        </w:rPr>
        <w:t xml:space="preserve">, Komarom-Esztergom in Hungary, the Carinthia region in Slovenia, Timis, Arad, Hunedoara, Sibiu and Arges in Romania, Zagora and Gabrovo in Bulgaria, the Zenica Doboj canton in Bosnia-Herzegovina, </w:t>
      </w:r>
      <w:r>
        <w:rPr>
          <w:i/>
          <w:iCs/>
        </w:rPr>
        <w:t>and</w:t>
      </w:r>
      <w:r w:rsidRPr="00702488">
        <w:rPr>
          <w:i/>
          <w:iCs/>
        </w:rPr>
        <w:t xml:space="preserve"> Moravica, Zlatibor, Jablanica, Pcinja</w:t>
      </w:r>
      <w:r>
        <w:rPr>
          <w:i/>
          <w:iCs/>
        </w:rPr>
        <w:t xml:space="preserve"> and</w:t>
      </w:r>
      <w:r w:rsidRPr="00702488">
        <w:rPr>
          <w:i/>
          <w:iCs/>
        </w:rPr>
        <w:t xml:space="preserve"> Pirot, among other regions in Serbia. </w:t>
      </w:r>
      <w:r w:rsidRPr="00702488">
        <w:rPr>
          <w:i/>
          <w:iCs/>
        </w:rPr>
        <w:fldChar w:fldCharType="begin"/>
      </w:r>
      <w:r w:rsidR="001C3DA6">
        <w:rPr>
          <w:i/>
          <w:iCs/>
        </w:rPr>
        <w:instrText xml:space="preserve"> ADDIN ZOTERO_ITEM CSL_CITATION {"citationID":"OVyHI1VZ","properties":{"formattedCitation":"(BBSR &amp; ESPON, 2020)","plainCitation":"(BBSR &amp; ESPON, 2020)","noteIndex":0},"citationItems":[{"id":5019,"uris":["http://zotero.org/groups/21774/items/LH8PIJ6F"],"itemData":{"id":5019,"type":"book","event-place":"Berlin","publisher":"Federal Ministry fo the Interior, Building and Community","publisher-place":"Berlin","title":"Atlas for the Territorial Agenda 2030: Maps on European Territorial Development","author":[{"literal":"BBSR"},{"literal":"ESPON"}],"issued":{"date-parts":[["2020"]]}}}],"schema":"https://github.com/citation-style-language/schema/raw/master/csl-citation.json"} </w:instrText>
      </w:r>
      <w:r w:rsidRPr="00702488">
        <w:rPr>
          <w:i/>
          <w:iCs/>
        </w:rPr>
        <w:fldChar w:fldCharType="separate"/>
      </w:r>
      <w:r w:rsidR="001C3DA6" w:rsidRPr="001C3DA6">
        <w:rPr>
          <w:rFonts w:ascii="Arial" w:cs="Arial"/>
        </w:rPr>
        <w:t>(BBSR &amp; ESPON, 2020)</w:t>
      </w:r>
      <w:r w:rsidRPr="00702488">
        <w:rPr>
          <w:i/>
          <w:iCs/>
        </w:rPr>
        <w:fldChar w:fldCharType="end"/>
      </w:r>
    </w:p>
    <w:p w14:paraId="234F7136" w14:textId="7F1990E4" w:rsidR="00131E9B" w:rsidRDefault="00131E9B" w:rsidP="00131E9B">
      <w:pPr>
        <w:rPr>
          <w:i/>
          <w:iCs/>
        </w:rPr>
      </w:pPr>
      <w:r w:rsidRPr="00702488">
        <w:rPr>
          <w:i/>
          <w:iCs/>
        </w:rPr>
        <w:t xml:space="preserve">Industrial symbiosis examples from the region pioneered by 2050 </w:t>
      </w:r>
      <w:r>
        <w:rPr>
          <w:i/>
          <w:iCs/>
        </w:rPr>
        <w:t>had</w:t>
      </w:r>
      <w:r w:rsidRPr="00702488">
        <w:rPr>
          <w:i/>
          <w:iCs/>
        </w:rPr>
        <w:t xml:space="preserve"> already in earlier decades invested in industrial symbiosis. Examples are networks such as e-simbiosa in Slovenia, Green Tech Valley, Styria R.N and Ökopark Hartberg Steiermark in Austria, ECOERG in Romania, NISP and REPOWIS in Hungary, as well as the region of Pecs-Kokeny Waste Management centre in Pecs which has reduc</w:t>
      </w:r>
      <w:r>
        <w:rPr>
          <w:i/>
          <w:iCs/>
        </w:rPr>
        <w:t>ed</w:t>
      </w:r>
      <w:r w:rsidRPr="00702488">
        <w:rPr>
          <w:i/>
          <w:iCs/>
        </w:rPr>
        <w:t xml:space="preserve"> waste challenges </w:t>
      </w:r>
      <w:r>
        <w:rPr>
          <w:i/>
          <w:iCs/>
        </w:rPr>
        <w:t>for</w:t>
      </w:r>
      <w:r w:rsidRPr="00702488">
        <w:rPr>
          <w:i/>
          <w:iCs/>
        </w:rPr>
        <w:t xml:space="preserve"> 313 municipalities, improving resource efficien</w:t>
      </w:r>
      <w:r>
        <w:rPr>
          <w:i/>
          <w:iCs/>
        </w:rPr>
        <w:t>c</w:t>
      </w:r>
      <w:r w:rsidRPr="00702488">
        <w:rPr>
          <w:i/>
          <w:iCs/>
        </w:rPr>
        <w:t xml:space="preserve">y in the region. </w:t>
      </w:r>
      <w:r w:rsidRPr="00702488">
        <w:rPr>
          <w:i/>
          <w:iCs/>
        </w:rPr>
        <w:fldChar w:fldCharType="begin"/>
      </w:r>
      <w:r w:rsidR="001C3DA6">
        <w:rPr>
          <w:i/>
          <w:iCs/>
        </w:rPr>
        <w:instrText xml:space="preserve"> ADDIN ZOTERO_ITEM CSL_CITATION {"citationID":"a12jsv56d3f","properties":{"formattedCitation":"(Domenech, Bleischwitz, Doranova, Panayotopoulos, &amp; Roman, 2019; European Commission, 2018b)","plainCitation":"(Domenech, Bleischwitz, Doranova, Panayotopoulos, &amp; Roman, 2019; European Commission, 2018b)","noteIndex":0},"citationItems":[{"id":8511,"uris":["http://zotero.org/groups/4075961/items/3VZCAD5D"],"itemData":{"id":8511,"type":"article-journal","container-title":"Resources, Conservation and Recycling","page":"76-98","title":"Mapping industrial symbiosis development in Europe_typologies of networks, characteristics, performance and contribution to the Circular Economy","volume":"141","author":[{"family":"Domenech","given":"Teresa"},{"family":"Bleischwitz","given":"Raimund"},{"family":"Doranova","given":"A"},{"family":"Panayotopoulos","given":"D"},{"family":"Roman","given":"L"}],"issued":{"date-parts":[["2019",2]]}}},{"id":8504,"uris":["http://zotero.org/groups/4075961/items/HUZA77BM"],"itemData":{"id":8504,"type":"document","title":"Industrial Symbiosis. Factsheet.","author":[{"family":"European Commission","given":""}],"issued":{"date-parts":[["2018"]]}}}],"schema":"https://github.com/citation-style-language/schema/raw/master/csl-citation.json"} </w:instrText>
      </w:r>
      <w:r w:rsidRPr="00702488">
        <w:rPr>
          <w:i/>
          <w:iCs/>
        </w:rPr>
        <w:fldChar w:fldCharType="separate"/>
      </w:r>
      <w:r w:rsidR="001C3DA6" w:rsidRPr="001C3DA6">
        <w:rPr>
          <w:rFonts w:ascii="Arial" w:cs="Arial"/>
        </w:rPr>
        <w:t>(Domenech, Bleischwitz, Doranova, Panayotopoulos, &amp; Roman, 2019; European Commission, 2018b)</w:t>
      </w:r>
      <w:r w:rsidRPr="00702488">
        <w:rPr>
          <w:i/>
          <w:iCs/>
        </w:rPr>
        <w:fldChar w:fldCharType="end"/>
      </w:r>
    </w:p>
    <w:p w14:paraId="65541F87" w14:textId="77777777" w:rsidR="005C1B01" w:rsidRDefault="005C1B01" w:rsidP="00131E9B">
      <w:pPr>
        <w:rPr>
          <w:i/>
          <w:iCs/>
        </w:rPr>
      </w:pPr>
    </w:p>
    <w:p w14:paraId="544C807C" w14:textId="1EE19001" w:rsidR="005D7880" w:rsidRDefault="005D7880" w:rsidP="005D7880">
      <w:pPr>
        <w:pStyle w:val="Caption"/>
      </w:pPr>
      <w:bookmarkStart w:id="30" w:name="_Toc100584681"/>
      <w:r>
        <w:t xml:space="preserve">Map </w:t>
      </w:r>
      <w:r w:rsidR="00DD378A">
        <w:fldChar w:fldCharType="begin"/>
      </w:r>
      <w:r w:rsidR="00DD378A">
        <w:instrText xml:space="preserve"> STYLEREF 1 \s </w:instrText>
      </w:r>
      <w:r w:rsidR="00DD378A">
        <w:fldChar w:fldCharType="separate"/>
      </w:r>
      <w:r w:rsidR="006839DA">
        <w:rPr>
          <w:noProof/>
        </w:rPr>
        <w:t>7</w:t>
      </w:r>
      <w:r w:rsidR="00DD378A">
        <w:fldChar w:fldCharType="end"/>
      </w:r>
      <w:r w:rsidR="00DD378A">
        <w:noBreakHyphen/>
      </w:r>
      <w:r w:rsidR="00DD378A">
        <w:fldChar w:fldCharType="begin"/>
      </w:r>
      <w:r w:rsidR="00DD378A">
        <w:instrText xml:space="preserve"> SEQ Map \* ARABIC \s 1 </w:instrText>
      </w:r>
      <w:r w:rsidR="00DD378A">
        <w:fldChar w:fldCharType="separate"/>
      </w:r>
      <w:r w:rsidR="006839DA">
        <w:rPr>
          <w:noProof/>
        </w:rPr>
        <w:t>1</w:t>
      </w:r>
      <w:r w:rsidR="00DD378A">
        <w:fldChar w:fldCharType="end"/>
      </w:r>
      <w:r>
        <w:t xml:space="preserve"> Transforming into a hyper-digital </w:t>
      </w:r>
      <w:r w:rsidR="00A92D4D">
        <w:t>economy – Danube Region 2050</w:t>
      </w:r>
      <w:bookmarkEnd w:id="30"/>
    </w:p>
    <w:p w14:paraId="4180DCA3" w14:textId="1FB374E2" w:rsidR="00A92D4D" w:rsidRDefault="0004611B" w:rsidP="00A92D4D">
      <w:r>
        <w:rPr>
          <w:noProof/>
        </w:rPr>
        <w:drawing>
          <wp:inline distT="0" distB="0" distL="0" distR="0" wp14:anchorId="4297C922" wp14:editId="1EC92C6A">
            <wp:extent cx="5400040" cy="38157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3">
                      <a:extLst>
                        <a:ext uri="{28A0092B-C50C-407E-A947-70E740481C1C}">
                          <a14:useLocalDpi xmlns:a14="http://schemas.microsoft.com/office/drawing/2010/main" val="0"/>
                        </a:ext>
                      </a:extLst>
                    </a:blip>
                    <a:stretch>
                      <a:fillRect/>
                    </a:stretch>
                  </pic:blipFill>
                  <pic:spPr>
                    <a:xfrm>
                      <a:off x="0" y="0"/>
                      <a:ext cx="5400040" cy="3815715"/>
                    </a:xfrm>
                    <a:prstGeom prst="rect">
                      <a:avLst/>
                    </a:prstGeom>
                  </pic:spPr>
                </pic:pic>
              </a:graphicData>
            </a:graphic>
          </wp:inline>
        </w:drawing>
      </w:r>
    </w:p>
    <w:p w14:paraId="3C04D579" w14:textId="68CBFD41" w:rsidR="0004611B" w:rsidRPr="0004611B" w:rsidRDefault="0004611B" w:rsidP="00A92D4D">
      <w:pPr>
        <w:rPr>
          <w:sz w:val="16"/>
          <w:szCs w:val="16"/>
        </w:rPr>
      </w:pPr>
      <w:r w:rsidRPr="0004611B">
        <w:rPr>
          <w:sz w:val="16"/>
          <w:szCs w:val="16"/>
        </w:rPr>
        <w:t>Source: ESPON TEVI 2050, 2022</w:t>
      </w:r>
    </w:p>
    <w:p w14:paraId="6DFAEF99" w14:textId="15836DFE" w:rsidR="00961CC2" w:rsidRPr="00702488" w:rsidRDefault="00961CC2" w:rsidP="00961CC2">
      <w:pPr>
        <w:rPr>
          <w:szCs w:val="20"/>
        </w:rPr>
      </w:pPr>
      <w:r w:rsidRPr="00702488">
        <w:rPr>
          <w:b/>
          <w:bCs/>
        </w:rPr>
        <w:t>Catching more EUnicorns</w:t>
      </w:r>
      <w:r w:rsidRPr="00702488">
        <w:t xml:space="preserve">. </w:t>
      </w:r>
      <w:r w:rsidRPr="00702488">
        <w:rPr>
          <w:szCs w:val="20"/>
        </w:rPr>
        <w:t xml:space="preserve">In the light of the hyper-digital transition, technology unicorns, i.e. technology companies with high market capitalisation, have boomed in the Danube Region. Such IT centric companies, supply the market with innovative and affordable services and products, </w:t>
      </w:r>
      <w:r>
        <w:rPr>
          <w:szCs w:val="20"/>
        </w:rPr>
        <w:t>including</w:t>
      </w:r>
      <w:r w:rsidRPr="00702488">
        <w:rPr>
          <w:szCs w:val="20"/>
        </w:rPr>
        <w:t xml:space="preserve"> services relying on connectivity or new devices. EU unicorns have grown organically by 2050, i.e. they were not a result of mergers or acquisitions </w:t>
      </w:r>
      <w:r>
        <w:rPr>
          <w:szCs w:val="20"/>
        </w:rPr>
        <w:t>but</w:t>
      </w:r>
      <w:r w:rsidRPr="00702488">
        <w:rPr>
          <w:szCs w:val="20"/>
        </w:rPr>
        <w:t xml:space="preserve"> have a high </w:t>
      </w:r>
      <w:r>
        <w:rPr>
          <w:szCs w:val="20"/>
        </w:rPr>
        <w:t>R&amp;D</w:t>
      </w:r>
      <w:r w:rsidRPr="00702488">
        <w:rPr>
          <w:szCs w:val="20"/>
        </w:rPr>
        <w:t xml:space="preserve"> expenditure and depend on the entrepreneurial profile of their founders</w:t>
      </w:r>
      <w:r>
        <w:rPr>
          <w:szCs w:val="20"/>
        </w:rPr>
        <w:t>. These are often s</w:t>
      </w:r>
      <w:r w:rsidRPr="00702488">
        <w:rPr>
          <w:szCs w:val="20"/>
        </w:rPr>
        <w:t xml:space="preserve">erial entrepreneurs, i.e. founders who created other businesses before </w:t>
      </w:r>
      <w:r>
        <w:rPr>
          <w:szCs w:val="20"/>
        </w:rPr>
        <w:t>and who have</w:t>
      </w:r>
      <w:r w:rsidRPr="00702488">
        <w:rPr>
          <w:szCs w:val="20"/>
        </w:rPr>
        <w:t xml:space="preserve"> strong academic backgrounds </w:t>
      </w:r>
      <w:r>
        <w:rPr>
          <w:szCs w:val="20"/>
        </w:rPr>
        <w:t>establish</w:t>
      </w:r>
      <w:r w:rsidRPr="00702488">
        <w:rPr>
          <w:szCs w:val="20"/>
        </w:rPr>
        <w:t xml:space="preserve"> the majority of unicorns in the Danube region by 2050 </w:t>
      </w:r>
      <w:r w:rsidRPr="00702488">
        <w:rPr>
          <w:szCs w:val="20"/>
        </w:rPr>
        <w:fldChar w:fldCharType="begin"/>
      </w:r>
      <w:r w:rsidR="001C3DA6">
        <w:rPr>
          <w:szCs w:val="20"/>
        </w:rPr>
        <w:instrText xml:space="preserve"> ADDIN ZOTERO_ITEM CSL_CITATION {"citationID":"0UgytJJZ","properties":{"formattedCitation":"(Joint Research Centre, 2016)","plainCitation":"(Joint Research Centre, 2016)","noteIndex":0},"citationItems":[{"id":8330,"uris":["http://zotero.org/groups/4075961/items/ESATX7FQ"],"itemData":{"id":8330,"type":"report","title":"How to catch a unicorn. An exploration of the universe to tech companies with high market capitalisation. JRC Technical Reports.","author":[{"family":"Joint Research Centre","given":""}],"issued":{"date-parts":[["2016"]]}}}],"schema":"https://github.com/citation-style-language/schema/raw/master/csl-citation.json"} </w:instrText>
      </w:r>
      <w:r w:rsidRPr="00702488">
        <w:rPr>
          <w:szCs w:val="20"/>
        </w:rPr>
        <w:fldChar w:fldCharType="separate"/>
      </w:r>
      <w:r w:rsidRPr="00702488">
        <w:rPr>
          <w:noProof/>
          <w:szCs w:val="20"/>
        </w:rPr>
        <w:t>(Joint Research Centre, 2016)</w:t>
      </w:r>
      <w:r w:rsidRPr="00702488">
        <w:rPr>
          <w:szCs w:val="20"/>
        </w:rPr>
        <w:fldChar w:fldCharType="end"/>
      </w:r>
      <w:r w:rsidRPr="00702488">
        <w:rPr>
          <w:szCs w:val="20"/>
        </w:rPr>
        <w:t xml:space="preserve">. By 2050 they have become mainstream, developing niche sophisticated products </w:t>
      </w:r>
      <w:r>
        <w:rPr>
          <w:szCs w:val="20"/>
        </w:rPr>
        <w:t>based mainly</w:t>
      </w:r>
      <w:r w:rsidRPr="00702488">
        <w:rPr>
          <w:szCs w:val="20"/>
        </w:rPr>
        <w:t xml:space="preserve"> on artificial intelligence, digital health and cyber security, offering consumers new, often cheap products and services </w:t>
      </w:r>
      <w:r w:rsidRPr="00702488">
        <w:rPr>
          <w:szCs w:val="20"/>
        </w:rPr>
        <w:fldChar w:fldCharType="begin"/>
      </w:r>
      <w:r w:rsidR="001C3DA6">
        <w:rPr>
          <w:szCs w:val="20"/>
        </w:rPr>
        <w:instrText xml:space="preserve"> ADDIN ZOTERO_ITEM CSL_CITATION {"citationID":"a2keb68ld4e","properties":{"formattedCitation":"(The Economist, 2021c)","plainCitation":"(The Economist, 2021c)","noteIndex":0},"citationItems":[{"id":8493,"uris":["http://zotero.org/groups/4075961/items/AVXYM5TG"],"itemData":{"id":8493,"type":"webpage","container-title":"The Economist","title":"Unicornucopia. Technology unicorns are growing at a record clip.","URL":"https://www.economist.com/business/2021/07/19/technology-unicorns-are-growing-at-a-record-clip","author":[{"family":"The Economist","given":""}],"accessed":{"date-parts":[["2021",3,21]]},"issued":{"date-parts":[["2021",7,24]]}}}],"schema":"https://github.com/citation-style-language/schema/raw/master/csl-citation.json"} </w:instrText>
      </w:r>
      <w:r w:rsidRPr="00702488">
        <w:rPr>
          <w:szCs w:val="20"/>
        </w:rPr>
        <w:fldChar w:fldCharType="separate"/>
      </w:r>
      <w:r w:rsidR="001C3DA6" w:rsidRPr="001C3DA6">
        <w:rPr>
          <w:rFonts w:ascii="Arial" w:cs="Arial"/>
        </w:rPr>
        <w:t>(The Economist, 2021c)</w:t>
      </w:r>
      <w:r w:rsidRPr="00702488">
        <w:rPr>
          <w:szCs w:val="20"/>
        </w:rPr>
        <w:fldChar w:fldCharType="end"/>
      </w:r>
      <w:r w:rsidRPr="00702488">
        <w:rPr>
          <w:szCs w:val="20"/>
        </w:rPr>
        <w:t xml:space="preserve">. Unicorns rely largely on venture capital for their seed funding, which comes from business angels, i.e. investors who fund small start-ups </w:t>
      </w:r>
      <w:r w:rsidR="00A115F8" w:rsidRPr="00702488">
        <w:rPr>
          <w:szCs w:val="20"/>
        </w:rPr>
        <w:fldChar w:fldCharType="begin"/>
      </w:r>
      <w:r w:rsidR="001C3DA6">
        <w:rPr>
          <w:szCs w:val="20"/>
        </w:rPr>
        <w:instrText xml:space="preserve"> ADDIN ZOTERO_ITEM CSL_CITATION {"citationID":"ssFD5LKZ","properties":{"formattedCitation":"(Joint Research Centre, 2016)","plainCitation":"(Joint Research Centre, 2016)","noteIndex":0},"citationItems":[{"id":8330,"uris":["http://zotero.org/groups/4075961/items/ESATX7FQ"],"itemData":{"id":8330,"type":"report","title":"How to catch a unicorn. An exploration of the universe to tech companies with high market capitalisation. JRC Technical Reports.","author":[{"family":"Joint Research Centre","given":""}],"issued":{"date-parts":[["2016"]]}}}],"schema":"https://github.com/citation-style-language/schema/raw/master/csl-citation.json"} </w:instrText>
      </w:r>
      <w:r w:rsidR="00A115F8" w:rsidRPr="00702488">
        <w:rPr>
          <w:szCs w:val="20"/>
        </w:rPr>
        <w:fldChar w:fldCharType="separate"/>
      </w:r>
      <w:r w:rsidR="00A115F8" w:rsidRPr="00702488">
        <w:rPr>
          <w:noProof/>
          <w:szCs w:val="20"/>
        </w:rPr>
        <w:t>(Joint Research Centre, 2016)</w:t>
      </w:r>
      <w:r w:rsidR="00A115F8" w:rsidRPr="00702488">
        <w:rPr>
          <w:szCs w:val="20"/>
        </w:rPr>
        <w:fldChar w:fldCharType="end"/>
      </w:r>
      <w:r w:rsidRPr="00702488">
        <w:rPr>
          <w:szCs w:val="20"/>
        </w:rPr>
        <w:t xml:space="preserve">. </w:t>
      </w:r>
      <w:r>
        <w:rPr>
          <w:szCs w:val="20"/>
        </w:rPr>
        <w:t>As</w:t>
      </w:r>
      <w:r w:rsidRPr="00702488">
        <w:rPr>
          <w:szCs w:val="20"/>
        </w:rPr>
        <w:t xml:space="preserve"> venture capital entails both high risk and high </w:t>
      </w:r>
      <w:r>
        <w:rPr>
          <w:szCs w:val="20"/>
        </w:rPr>
        <w:t>rewards</w:t>
      </w:r>
      <w:r w:rsidRPr="00702488">
        <w:rPr>
          <w:szCs w:val="20"/>
        </w:rPr>
        <w:t>, the Danube Region has foreign investors</w:t>
      </w:r>
      <w:r>
        <w:rPr>
          <w:szCs w:val="20"/>
        </w:rPr>
        <w:t xml:space="preserve"> and has</w:t>
      </w:r>
      <w:r w:rsidRPr="00702488">
        <w:rPr>
          <w:szCs w:val="20"/>
        </w:rPr>
        <w:t xml:space="preserve"> also capitalised on EU financial opportunities, </w:t>
      </w:r>
      <w:r>
        <w:rPr>
          <w:szCs w:val="20"/>
        </w:rPr>
        <w:t>including</w:t>
      </w:r>
      <w:r w:rsidRPr="00702488">
        <w:rPr>
          <w:szCs w:val="20"/>
        </w:rPr>
        <w:t xml:space="preserve"> European Funds for Regional Development. </w:t>
      </w:r>
    </w:p>
    <w:p w14:paraId="4EC6B2B2" w14:textId="3DAB3B03" w:rsidR="00961CC2" w:rsidRPr="00702488" w:rsidRDefault="00961CC2" w:rsidP="00961CC2">
      <w:pPr>
        <w:rPr>
          <w:i/>
          <w:iCs/>
        </w:rPr>
      </w:pPr>
      <w:r w:rsidRPr="00702488">
        <w:rPr>
          <w:i/>
          <w:iCs/>
          <w:szCs w:val="20"/>
        </w:rPr>
        <w:t xml:space="preserve">Foreign </w:t>
      </w:r>
      <w:r>
        <w:rPr>
          <w:i/>
          <w:iCs/>
          <w:szCs w:val="20"/>
        </w:rPr>
        <w:t>d</w:t>
      </w:r>
      <w:r w:rsidRPr="00702488">
        <w:rPr>
          <w:i/>
          <w:iCs/>
          <w:szCs w:val="20"/>
        </w:rPr>
        <w:t xml:space="preserve">irect </w:t>
      </w:r>
      <w:r>
        <w:rPr>
          <w:i/>
          <w:iCs/>
          <w:szCs w:val="20"/>
        </w:rPr>
        <w:t>i</w:t>
      </w:r>
      <w:r w:rsidRPr="00702488">
        <w:rPr>
          <w:i/>
          <w:iCs/>
          <w:szCs w:val="20"/>
        </w:rPr>
        <w:t>nvestment show</w:t>
      </w:r>
      <w:r>
        <w:rPr>
          <w:i/>
          <w:iCs/>
          <w:szCs w:val="20"/>
        </w:rPr>
        <w:t>s</w:t>
      </w:r>
      <w:r w:rsidRPr="00702488">
        <w:rPr>
          <w:i/>
          <w:iCs/>
          <w:szCs w:val="20"/>
        </w:rPr>
        <w:t xml:space="preserve"> how attractive different places may be globally. Places that attract</w:t>
      </w:r>
      <w:r>
        <w:rPr>
          <w:i/>
          <w:iCs/>
          <w:szCs w:val="20"/>
        </w:rPr>
        <w:t xml:space="preserve"> f</w:t>
      </w:r>
      <w:r w:rsidRPr="00702488">
        <w:rPr>
          <w:i/>
          <w:iCs/>
          <w:szCs w:val="20"/>
        </w:rPr>
        <w:t xml:space="preserve">oreign direct investment attract private investors and venture capitalists for Danube Region unicorns. More and more regions in the Danube Region have become more attractive for foreign direct investment, already by 2015. These </w:t>
      </w:r>
      <w:r>
        <w:rPr>
          <w:i/>
          <w:iCs/>
          <w:szCs w:val="20"/>
        </w:rPr>
        <w:t>include</w:t>
      </w:r>
      <w:r w:rsidRPr="00702488">
        <w:rPr>
          <w:i/>
          <w:iCs/>
          <w:szCs w:val="20"/>
        </w:rPr>
        <w:t xml:space="preserve"> most regions in </w:t>
      </w:r>
      <w:r>
        <w:rPr>
          <w:i/>
          <w:iCs/>
          <w:szCs w:val="20"/>
        </w:rPr>
        <w:t>Czechia</w:t>
      </w:r>
      <w:r w:rsidRPr="00702488">
        <w:rPr>
          <w:i/>
          <w:iCs/>
          <w:szCs w:val="20"/>
        </w:rPr>
        <w:t xml:space="preserve">, the Budapest wider region, Split Dalmatia county in Croatia, most regions of Slovakia, regions around Sofia in Bulgaria, most of Austria and Slovenia and the regions </w:t>
      </w:r>
      <w:r>
        <w:rPr>
          <w:i/>
          <w:iCs/>
          <w:szCs w:val="20"/>
        </w:rPr>
        <w:t xml:space="preserve">of </w:t>
      </w:r>
      <w:r w:rsidRPr="00702488">
        <w:rPr>
          <w:i/>
          <w:iCs/>
          <w:szCs w:val="20"/>
        </w:rPr>
        <w:t xml:space="preserve">Centru, South Muntenia, West and South East in Romania </w:t>
      </w:r>
      <w:r w:rsidRPr="00702488">
        <w:rPr>
          <w:i/>
          <w:iCs/>
          <w:szCs w:val="20"/>
        </w:rPr>
        <w:fldChar w:fldCharType="begin"/>
      </w:r>
      <w:r w:rsidR="001C3DA6">
        <w:rPr>
          <w:i/>
          <w:iCs/>
          <w:szCs w:val="20"/>
        </w:rPr>
        <w:instrText xml:space="preserve"> ADDIN ZOTERO_ITEM CSL_CITATION {"citationID":"acsl9i9emo","properties":{"formattedCitation":"(ESPON, 2018g)","plainCitation":"(ESPON, 2018g)","noteIndex":0},"citationItems":[{"id":4294,"uris":["http://zotero.org/groups/21774/items/HDJM6IES"],"itemData":{"id":4294,"type":"report","event-place":"Luxembourg","publisher":"ESPON","publisher-place":"Luxembourg","title":"The World in Europe, global FDI flows towards Europe. Extra-European FDI towards Europe","author":[{"family":"ESPON","given":""}],"issued":{"date-parts":[["2018"]]}}}],"schema":"https://github.com/citation-style-language/schema/raw/master/csl-citation.json"} </w:instrText>
      </w:r>
      <w:r w:rsidRPr="00702488">
        <w:rPr>
          <w:i/>
          <w:iCs/>
          <w:szCs w:val="20"/>
        </w:rPr>
        <w:fldChar w:fldCharType="separate"/>
      </w:r>
      <w:r w:rsidR="001C3DA6" w:rsidRPr="001C3DA6">
        <w:rPr>
          <w:rFonts w:ascii="Arial" w:cs="Arial"/>
        </w:rPr>
        <w:t>(ESPON, 2018g)</w:t>
      </w:r>
      <w:r w:rsidRPr="00702488">
        <w:rPr>
          <w:i/>
          <w:iCs/>
          <w:szCs w:val="20"/>
        </w:rPr>
        <w:fldChar w:fldCharType="end"/>
      </w:r>
      <w:r w:rsidRPr="00702488">
        <w:rPr>
          <w:i/>
          <w:iCs/>
          <w:szCs w:val="20"/>
        </w:rPr>
        <w:t xml:space="preserve">. </w:t>
      </w:r>
    </w:p>
    <w:p w14:paraId="37C24915" w14:textId="571731F0" w:rsidR="00961CC2" w:rsidRPr="00702488" w:rsidRDefault="00961CC2" w:rsidP="00961CC2">
      <w:r w:rsidRPr="00702488">
        <w:rPr>
          <w:b/>
          <w:bCs/>
        </w:rPr>
        <w:t>New employment mode: I am robot</w:t>
      </w:r>
      <w:r w:rsidRPr="00702488">
        <w:t>. The hyper-digitalisation shift in the Danube Region has brought substantial changes in the way people work and businesses operate. Artificial intelligence and robotisation</w:t>
      </w:r>
      <w:r>
        <w:t xml:space="preserve"> </w:t>
      </w:r>
      <w:r w:rsidRPr="00702488">
        <w:t xml:space="preserve">have made some jobs redundant </w:t>
      </w:r>
      <w:r>
        <w:t>but</w:t>
      </w:r>
      <w:r w:rsidRPr="00702488">
        <w:t xml:space="preserve"> also created new ones. Estimat</w:t>
      </w:r>
      <w:r>
        <w:t>e</w:t>
      </w:r>
      <w:r w:rsidRPr="00702488">
        <w:t>s o</w:t>
      </w:r>
      <w:r>
        <w:t>f</w:t>
      </w:r>
      <w:r w:rsidRPr="00702488">
        <w:t xml:space="preserve"> that impact and the jobs at risk was already in the 2010s varying between 14%-47% </w:t>
      </w:r>
      <w:r w:rsidRPr="00702488">
        <w:fldChar w:fldCharType="begin"/>
      </w:r>
      <w:r w:rsidR="001C3DA6">
        <w:instrText xml:space="preserve"> ADDIN ZOTERO_ITEM CSL_CITATION {"citationID":"ao5n4hheqp","properties":{"formattedCitation":"(European Commission, 2019a)","plainCitation":"(European Commission, 2019a)","noteIndex":0},"citationItems":[{"id":635,"uris":["http://zotero.org/groups/21774/items/MHD3I4GR"],"itemData":{"id":635,"type":"report","title":"AI. The future of work? work of the future! On how artificial intelligence, robotics and automation are transforming jobs and the economy in Europe.","author":[{"family":"European Commission","given":""}],"issued":{"date-parts":[["2019",4,30]]}}}],"schema":"https://github.com/citation-style-language/schema/raw/master/csl-citation.json"} </w:instrText>
      </w:r>
      <w:r w:rsidRPr="00702488">
        <w:fldChar w:fldCharType="separate"/>
      </w:r>
      <w:r w:rsidR="001C3DA6" w:rsidRPr="001C3DA6">
        <w:rPr>
          <w:rFonts w:ascii="Arial" w:cs="Arial"/>
        </w:rPr>
        <w:t>(European Commission, 2019a)</w:t>
      </w:r>
      <w:r w:rsidRPr="00702488">
        <w:fldChar w:fldCharType="end"/>
      </w:r>
      <w:r w:rsidRPr="00702488">
        <w:t xml:space="preserve">. </w:t>
      </w:r>
      <w:r>
        <w:t>To</w:t>
      </w:r>
      <w:r w:rsidRPr="00702488">
        <w:t xml:space="preserve"> counterbalance displace</w:t>
      </w:r>
      <w:r>
        <w:t>d</w:t>
      </w:r>
      <w:r w:rsidRPr="00702488">
        <w:t xml:space="preserve"> workers new jobs have been created. </w:t>
      </w:r>
      <w:r>
        <w:t>A</w:t>
      </w:r>
      <w:r w:rsidRPr="00702488">
        <w:t xml:space="preserve">utomation has created more niche and high-skilled jobs. Middle-income jobs requiring </w:t>
      </w:r>
      <w:r>
        <w:t xml:space="preserve">at most a </w:t>
      </w:r>
      <w:r w:rsidRPr="00702488">
        <w:t xml:space="preserve">secondary education have been significantly displaced by automation, </w:t>
      </w:r>
      <w:r>
        <w:t>these include</w:t>
      </w:r>
      <w:r w:rsidRPr="00702488">
        <w:t xml:space="preserve"> truck drivers, office clerks</w:t>
      </w:r>
      <w:r>
        <w:t xml:space="preserve"> and</w:t>
      </w:r>
      <w:r w:rsidRPr="00702488">
        <w:t xml:space="preserve"> repe</w:t>
      </w:r>
      <w:r>
        <w:t>titive</w:t>
      </w:r>
      <w:r w:rsidRPr="00702488">
        <w:t xml:space="preserve"> </w:t>
      </w:r>
      <w:r>
        <w:t>manual</w:t>
      </w:r>
      <w:r w:rsidRPr="00702488">
        <w:t xml:space="preserve"> jobs. At the same time, many jobs have been transformed, requiring specific and high skills, such as social and cognitive intelligence, in healthcare, technology </w:t>
      </w:r>
      <w:r>
        <w:t>and</w:t>
      </w:r>
      <w:r w:rsidRPr="00702488">
        <w:t xml:space="preserve"> creative industries, but also data experts, ethics officers</w:t>
      </w:r>
      <w:r>
        <w:t>,</w:t>
      </w:r>
      <w:r w:rsidRPr="00702488">
        <w:t xml:space="preserve"> etc. </w:t>
      </w:r>
      <w:r w:rsidRPr="00702488">
        <w:fldChar w:fldCharType="begin"/>
      </w:r>
      <w:r w:rsidR="001C3DA6">
        <w:instrText xml:space="preserve"> ADDIN ZOTERO_ITEM CSL_CITATION {"citationID":"gGCjUgiO","properties":{"formattedCitation":"(European Commission, 2019a)","plainCitation":"(European Commission, 2019a)","noteIndex":0},"citationItems":[{"id":635,"uris":["http://zotero.org/groups/21774/items/MHD3I4GR"],"itemData":{"id":635,"type":"report","title":"AI. The future of work? work of the future! On how artificial intelligence, robotics and automation are transforming jobs and the economy in Europe.","author":[{"family":"European Commission","given":""}],"issued":{"date-parts":[["2019",4,30]]}}}],"schema":"https://github.com/citation-style-language/schema/raw/master/csl-citation.json"} </w:instrText>
      </w:r>
      <w:r w:rsidRPr="00702488">
        <w:fldChar w:fldCharType="separate"/>
      </w:r>
      <w:r w:rsidR="001C3DA6" w:rsidRPr="001C3DA6">
        <w:rPr>
          <w:rFonts w:ascii="Arial" w:cs="Arial"/>
        </w:rPr>
        <w:t>(European Commission, 2019a)</w:t>
      </w:r>
      <w:r w:rsidRPr="00702488">
        <w:fldChar w:fldCharType="end"/>
      </w:r>
      <w:r w:rsidRPr="00702488">
        <w:t xml:space="preserve"> </w:t>
      </w:r>
    </w:p>
    <w:p w14:paraId="337A6C1E" w14:textId="7E232738" w:rsidR="00961CC2" w:rsidRPr="00702488" w:rsidRDefault="00961CC2" w:rsidP="00961CC2">
      <w:pPr>
        <w:pStyle w:val="BodyText"/>
        <w:rPr>
          <w:szCs w:val="20"/>
        </w:rPr>
      </w:pPr>
      <w:r w:rsidRPr="00702488">
        <w:rPr>
          <w:b/>
          <w:bCs/>
        </w:rPr>
        <w:t>Manufacturing levelling up</w:t>
      </w:r>
      <w:r w:rsidRPr="00702488">
        <w:rPr>
          <w:szCs w:val="20"/>
        </w:rPr>
        <w:t xml:space="preserve">. Manufacturing has also been adjusting to the digital transition in the region. </w:t>
      </w:r>
      <w:r>
        <w:rPr>
          <w:szCs w:val="20"/>
        </w:rPr>
        <w:t>Some</w:t>
      </w:r>
      <w:r w:rsidRPr="00702488">
        <w:rPr>
          <w:szCs w:val="20"/>
        </w:rPr>
        <w:t xml:space="preserve"> places </w:t>
      </w:r>
      <w:r>
        <w:rPr>
          <w:szCs w:val="20"/>
        </w:rPr>
        <w:t>have</w:t>
      </w:r>
      <w:r w:rsidRPr="00702488">
        <w:rPr>
          <w:szCs w:val="20"/>
        </w:rPr>
        <w:t xml:space="preserve"> not yet realised a full digital transition by 2050</w:t>
      </w:r>
      <w:r>
        <w:rPr>
          <w:szCs w:val="20"/>
        </w:rPr>
        <w:t>. Here</w:t>
      </w:r>
      <w:r w:rsidRPr="00702488">
        <w:rPr>
          <w:szCs w:val="20"/>
        </w:rPr>
        <w:t xml:space="preserve"> manufacturing and </w:t>
      </w:r>
      <w:r>
        <w:rPr>
          <w:szCs w:val="20"/>
        </w:rPr>
        <w:t>artisan jobs</w:t>
      </w:r>
      <w:r w:rsidRPr="00702488">
        <w:rPr>
          <w:szCs w:val="20"/>
        </w:rPr>
        <w:t xml:space="preserve"> are still necessary</w:t>
      </w:r>
      <w:r>
        <w:rPr>
          <w:szCs w:val="20"/>
        </w:rPr>
        <w:t>. I</w:t>
      </w:r>
      <w:r w:rsidRPr="00702488">
        <w:rPr>
          <w:szCs w:val="20"/>
        </w:rPr>
        <w:t>n many cases manufacturing has become niche or relate</w:t>
      </w:r>
      <w:r>
        <w:rPr>
          <w:szCs w:val="20"/>
        </w:rPr>
        <w:t>s</w:t>
      </w:r>
      <w:r w:rsidRPr="00702488">
        <w:rPr>
          <w:szCs w:val="20"/>
        </w:rPr>
        <w:t xml:space="preserve"> to high end innovation. Following industry 5.0</w:t>
      </w:r>
      <w:r>
        <w:rPr>
          <w:szCs w:val="20"/>
        </w:rPr>
        <w:t>,</w:t>
      </w:r>
      <w:r w:rsidRPr="00702488">
        <w:rPr>
          <w:szCs w:val="20"/>
        </w:rPr>
        <w:t xml:space="preserve"> robotisation has become part of manufacturing sector, where robots work together with people. An example is the automotive industry in Germany which has introduced small scale robots to cooperate with humans </w:t>
      </w:r>
      <w:r w:rsidRPr="00702488">
        <w:fldChar w:fldCharType="begin"/>
      </w:r>
      <w:r w:rsidR="001C3DA6">
        <w:instrText xml:space="preserve"> ADDIN ZOTERO_ITEM CSL_CITATION {"citationID":"VtX8zY3d","properties":{"formattedCitation":"(European Commission, 2019a)","plainCitation":"(European Commission, 2019a)","noteIndex":0},"citationItems":[{"id":635,"uris":["http://zotero.org/groups/21774/items/MHD3I4GR"],"itemData":{"id":635,"type":"report","title":"AI. The future of work? work of the future! On how artificial intelligence, robotics and automation are transforming jobs and the economy in Europe.","author":[{"family":"European Commission","given":""}],"issued":{"date-parts":[["2019",4,30]]}}}],"schema":"https://github.com/citation-style-language/schema/raw/master/csl-citation.json"} </w:instrText>
      </w:r>
      <w:r w:rsidRPr="00702488">
        <w:fldChar w:fldCharType="separate"/>
      </w:r>
      <w:r w:rsidR="001C3DA6" w:rsidRPr="001C3DA6">
        <w:rPr>
          <w:rFonts w:ascii="Arial" w:cs="Arial"/>
        </w:rPr>
        <w:t>(European Commission, 2019a)</w:t>
      </w:r>
      <w:r w:rsidRPr="00702488">
        <w:fldChar w:fldCharType="end"/>
      </w:r>
      <w:r w:rsidRPr="00702488">
        <w:rPr>
          <w:szCs w:val="20"/>
        </w:rPr>
        <w:t xml:space="preserve">. Gradually, manufacturing has been levelling up, with additive manufacturing playing a key role and 3D printers and automation taking over traditional work positions. Again, some jobs have been replaced permanently by automation, while new jobs have also been created for skilled employees. </w:t>
      </w:r>
      <w:r w:rsidRPr="00702488">
        <w:rPr>
          <w:szCs w:val="20"/>
        </w:rPr>
        <w:fldChar w:fldCharType="begin"/>
      </w:r>
      <w:r w:rsidR="001C3DA6">
        <w:rPr>
          <w:szCs w:val="20"/>
        </w:rPr>
        <w:instrText xml:space="preserve"> ADDIN ZOTERO_ITEM CSL_CITATION {"citationID":"ldNdZQSu","properties":{"formattedCitation":"(ESPON, 2018b, 2019a)","plainCitation":"(ESPON, 2018b, 2019a)","noteIndex":0},"citationItems":[{"id":719,"uris":["http://zotero.org/groups/21774/items/AAJZ5VKS"],"itemData":{"id":719,"type":"report","event-place":"Luxembourg","publisher":"ESPON","publisher-place":"Luxembourg","title":"Possible European Territorial Futures. Volume D – Place Based Circular Economy.","URL":"https://www.espon.eu/territorial-futures","author":[{"family":"ESPON","given":""}],"accessed":{"date-parts":[["2018",10,19]]},"issued":{"date-parts":[["2018"]]}}},{"id":4916,"uris":["http://zotero.org/groups/21774/items/FCDWYEY6"],"itemData":{"id":4916,"type":"report","title":"BT2050 - Territorial Scenarios for the Baltic Sea Region 2050. Final Report.","author":[{"family":"ESPON","given":""}],"issued":{"date-parts":[["2019"]]}}}],"schema":"https://github.com/citation-style-language/schema/raw/master/csl-citation.json"} </w:instrText>
      </w:r>
      <w:r w:rsidRPr="00702488">
        <w:rPr>
          <w:szCs w:val="20"/>
        </w:rPr>
        <w:fldChar w:fldCharType="separate"/>
      </w:r>
      <w:r w:rsidR="001C3DA6">
        <w:rPr>
          <w:noProof/>
          <w:szCs w:val="20"/>
        </w:rPr>
        <w:t>(ESPON, 2018b, 2019a)</w:t>
      </w:r>
      <w:r w:rsidRPr="00702488">
        <w:rPr>
          <w:szCs w:val="20"/>
        </w:rPr>
        <w:fldChar w:fldCharType="end"/>
      </w:r>
      <w:r w:rsidRPr="00702488">
        <w:rPr>
          <w:szCs w:val="20"/>
        </w:rPr>
        <w:t xml:space="preserve">. Keeping up with technological developments and increasing innovation capacity across the Danube Region is key to more high-paid jobs </w:t>
      </w:r>
      <w:r w:rsidRPr="00702488">
        <w:rPr>
          <w:szCs w:val="20"/>
        </w:rPr>
        <w:fldChar w:fldCharType="begin"/>
      </w:r>
      <w:r w:rsidR="00F54737">
        <w:rPr>
          <w:szCs w:val="20"/>
        </w:rPr>
        <w:instrText xml:space="preserve"> ADDIN ZOTERO_ITEM CSL_CITATION {"citationID":"a1vgqls78kj","properties":{"formattedCitation":"(Joint Research Centre, 2019)","plainCitation":"(Joint Research Centre, 2019)","noteIndex":0},"citationItems":[{"id":8053,"uris":["http://zotero.org/groups/4075961/items/53RUPNFX"],"itemData":{"id":8053,"type":"report","publisher":"European Commission","title":"The changing nature of work. And skills in the digital age","author":[{"family":"Joint Research Centre","given":""}],"issued":{"date-parts":[["2019",8]]}}}],"schema":"https://github.com/citation-style-language/schema/raw/master/csl-citation.json"} </w:instrText>
      </w:r>
      <w:r w:rsidRPr="00702488">
        <w:rPr>
          <w:szCs w:val="20"/>
        </w:rPr>
        <w:fldChar w:fldCharType="separate"/>
      </w:r>
      <w:r w:rsidR="00F54737">
        <w:rPr>
          <w:rFonts w:ascii="Arial" w:cs="Arial"/>
        </w:rPr>
        <w:t>(Joint Research Centre, 2019)</w:t>
      </w:r>
      <w:r w:rsidRPr="00702488">
        <w:rPr>
          <w:szCs w:val="20"/>
        </w:rPr>
        <w:fldChar w:fldCharType="end"/>
      </w:r>
      <w:r w:rsidRPr="00702488">
        <w:rPr>
          <w:szCs w:val="20"/>
        </w:rPr>
        <w:t>.</w:t>
      </w:r>
    </w:p>
    <w:p w14:paraId="7A928B4B" w14:textId="5E48017D" w:rsidR="00961CC2" w:rsidRPr="00702488" w:rsidRDefault="00961CC2" w:rsidP="00961CC2">
      <w:pPr>
        <w:pStyle w:val="BodyText"/>
        <w:rPr>
          <w:i/>
          <w:iCs/>
          <w:szCs w:val="20"/>
        </w:rPr>
      </w:pPr>
      <w:r w:rsidRPr="00702488">
        <w:rPr>
          <w:i/>
          <w:iCs/>
          <w:szCs w:val="20"/>
        </w:rPr>
        <w:t xml:space="preserve">On the one hand places with a high share of populations employed in different industries would be affected by these developments (see also paragraph above). On the other, also regions with a high Gross Value Added in manufacturing are those with an easier transition towards shifting their practices to more innovation driven focus. Looking already at data coming from 2014, they point out that most region in the </w:t>
      </w:r>
      <w:r>
        <w:rPr>
          <w:i/>
          <w:iCs/>
          <w:szCs w:val="20"/>
        </w:rPr>
        <w:t>Czechia</w:t>
      </w:r>
      <w:r w:rsidRPr="00702488">
        <w:rPr>
          <w:i/>
          <w:iCs/>
          <w:szCs w:val="20"/>
        </w:rPr>
        <w:t xml:space="preserve">, central and east of Romania, central-west and north of Bulgaria, the central and east of Slovenia and north of Croatia and most of Hungary, Slovakia, Austria and Germany are in that direction </w:t>
      </w:r>
      <w:r w:rsidRPr="00702488">
        <w:rPr>
          <w:i/>
          <w:iCs/>
          <w:szCs w:val="20"/>
        </w:rPr>
        <w:fldChar w:fldCharType="begin"/>
      </w:r>
      <w:r w:rsidR="001C3DA6">
        <w:rPr>
          <w:i/>
          <w:iCs/>
          <w:szCs w:val="20"/>
        </w:rPr>
        <w:instrText xml:space="preserve"> ADDIN ZOTERO_ITEM CSL_CITATION {"citationID":"a10742cesp4","properties":{"formattedCitation":"(ESPON, 2018b)","plainCitation":"(ESPON, 2018b)","noteIndex":0},"citationItems":[{"id":719,"uris":["http://zotero.org/groups/21774/items/AAJZ5VKS"],"itemData":{"id":719,"type":"report","event-place":"Luxembourg","publisher":"ESPON","publisher-place":"Luxembourg","title":"Possible European Territorial Futures. Volume D – Place Based Circular Economy.","URL":"https://www.espon.eu/territorial-futures","author":[{"family":"ESPON","given":""}],"accessed":{"date-parts":[["2018",10,19]]},"issued":{"date-parts":[["2018"]]}}}],"schema":"https://github.com/citation-style-language/schema/raw/master/csl-citation.json"} </w:instrText>
      </w:r>
      <w:r w:rsidRPr="00702488">
        <w:rPr>
          <w:i/>
          <w:iCs/>
          <w:szCs w:val="20"/>
        </w:rPr>
        <w:fldChar w:fldCharType="separate"/>
      </w:r>
      <w:r w:rsidR="001C3DA6" w:rsidRPr="001C3DA6">
        <w:rPr>
          <w:rFonts w:ascii="Arial" w:cs="Arial"/>
        </w:rPr>
        <w:t>(ESPON, 2018b)</w:t>
      </w:r>
      <w:r w:rsidRPr="00702488">
        <w:rPr>
          <w:i/>
          <w:iCs/>
          <w:szCs w:val="20"/>
        </w:rPr>
        <w:fldChar w:fldCharType="end"/>
      </w:r>
      <w:r w:rsidRPr="00702488">
        <w:rPr>
          <w:i/>
          <w:iCs/>
          <w:szCs w:val="20"/>
        </w:rPr>
        <w:t>. Foreign direct investments in the manufacturing sector are an additional indicator for regions moving to that direction, such as Ljubljana in Slovenia, Zagreb in Croatia, Niederösterreich in Austria, Eszak-M</w:t>
      </w:r>
      <w:r>
        <w:rPr>
          <w:i/>
          <w:iCs/>
          <w:szCs w:val="20"/>
        </w:rPr>
        <w:t>a</w:t>
      </w:r>
      <w:r w:rsidRPr="00702488">
        <w:rPr>
          <w:i/>
          <w:iCs/>
          <w:szCs w:val="20"/>
        </w:rPr>
        <w:t xml:space="preserve">gyarirszag and Eszak-Alfold in Hungary, South East Region in Romania, Jihozapad in </w:t>
      </w:r>
      <w:r>
        <w:rPr>
          <w:i/>
          <w:iCs/>
          <w:szCs w:val="20"/>
        </w:rPr>
        <w:t>Czechia</w:t>
      </w:r>
      <w:r w:rsidRPr="00702488">
        <w:rPr>
          <w:i/>
          <w:iCs/>
          <w:szCs w:val="20"/>
        </w:rPr>
        <w:t xml:space="preserve"> and Northern Bosnia </w:t>
      </w:r>
      <w:r w:rsidRPr="00702488">
        <w:rPr>
          <w:i/>
          <w:iCs/>
          <w:szCs w:val="20"/>
        </w:rPr>
        <w:fldChar w:fldCharType="begin"/>
      </w:r>
      <w:r w:rsidR="001C3DA6">
        <w:rPr>
          <w:i/>
          <w:iCs/>
          <w:szCs w:val="20"/>
        </w:rPr>
        <w:instrText xml:space="preserve"> ADDIN ZOTERO_ITEM CSL_CITATION {"citationID":"twVozKRc","properties":{"formattedCitation":"(ESPON, 2018g)","plainCitation":"(ESPON, 2018g)","noteIndex":0},"citationItems":[{"id":4294,"uris":["http://zotero.org/groups/21774/items/HDJM6IES"],"itemData":{"id":4294,"type":"report","event-place":"Luxembourg","publisher":"ESPON","publisher-place":"Luxembourg","title":"The World in Europe, global FDI flows towards Europe. Extra-European FDI towards Europe","author":[{"family":"ESPON","given":""}],"issued":{"date-parts":[["2018"]]}}}],"schema":"https://github.com/citation-style-language/schema/raw/master/csl-citation.json"} </w:instrText>
      </w:r>
      <w:r w:rsidRPr="00702488">
        <w:rPr>
          <w:i/>
          <w:iCs/>
          <w:szCs w:val="20"/>
        </w:rPr>
        <w:fldChar w:fldCharType="separate"/>
      </w:r>
      <w:r w:rsidR="001C3DA6" w:rsidRPr="001C3DA6">
        <w:rPr>
          <w:rFonts w:ascii="Arial" w:cs="Arial"/>
        </w:rPr>
        <w:t>(ESPON, 2018g)</w:t>
      </w:r>
      <w:r w:rsidRPr="00702488">
        <w:rPr>
          <w:i/>
          <w:iCs/>
          <w:szCs w:val="20"/>
        </w:rPr>
        <w:fldChar w:fldCharType="end"/>
      </w:r>
      <w:r w:rsidRPr="00702488">
        <w:rPr>
          <w:i/>
          <w:iCs/>
          <w:szCs w:val="20"/>
        </w:rPr>
        <w:t xml:space="preserve">. Places that have had worked on robotisation of the traditional manufacturing already from the 2020s would be a step ahead, such as West and Centre in Romania, Del -Dunantul, Del-Alfold and Eszak-Alfold in Hungary, most of Slovenia, north of Croatia, the wider Prague region and Severozapad in the </w:t>
      </w:r>
      <w:r>
        <w:rPr>
          <w:i/>
          <w:iCs/>
          <w:szCs w:val="20"/>
        </w:rPr>
        <w:t>Czechia</w:t>
      </w:r>
      <w:r w:rsidRPr="00702488">
        <w:rPr>
          <w:i/>
          <w:iCs/>
          <w:szCs w:val="20"/>
        </w:rPr>
        <w:t xml:space="preserve"> and the north and east part of Bulgaria </w:t>
      </w:r>
      <w:r w:rsidRPr="00702488">
        <w:rPr>
          <w:i/>
          <w:iCs/>
          <w:szCs w:val="20"/>
        </w:rPr>
        <w:fldChar w:fldCharType="begin"/>
      </w:r>
      <w:r w:rsidR="001C3DA6">
        <w:rPr>
          <w:i/>
          <w:iCs/>
          <w:szCs w:val="20"/>
        </w:rPr>
        <w:instrText xml:space="preserve"> ADDIN ZOTERO_ITEM CSL_CITATION {"citationID":"a26b38tfq86","properties":{"formattedCitation":"(BBSR &amp; ESPON, 2020)","plainCitation":"(BBSR &amp; ESPON, 2020)","noteIndex":0},"citationItems":[{"id":5019,"uris":["http://zotero.org/groups/21774/items/LH8PIJ6F"],"itemData":{"id":5019,"type":"book","event-place":"Berlin","publisher":"Federal Ministry fo the Interior, Building and Community","publisher-place":"Berlin","title":"Atlas for the Territorial Agenda 2030: Maps on European Territorial Development","author":[{"literal":"BBSR"},{"literal":"ESPON"}],"issued":{"date-parts":[["2020"]]}}}],"schema":"https://github.com/citation-style-language/schema/raw/master/csl-citation.json"} </w:instrText>
      </w:r>
      <w:r w:rsidRPr="00702488">
        <w:rPr>
          <w:i/>
          <w:iCs/>
          <w:szCs w:val="20"/>
        </w:rPr>
        <w:fldChar w:fldCharType="separate"/>
      </w:r>
      <w:r w:rsidR="001C3DA6" w:rsidRPr="001C3DA6">
        <w:rPr>
          <w:rFonts w:ascii="Arial" w:cs="Arial"/>
        </w:rPr>
        <w:t>(BBSR &amp; ESPON, 2020)</w:t>
      </w:r>
      <w:r w:rsidRPr="00702488">
        <w:rPr>
          <w:i/>
          <w:iCs/>
          <w:szCs w:val="20"/>
        </w:rPr>
        <w:fldChar w:fldCharType="end"/>
      </w:r>
      <w:r w:rsidRPr="00702488">
        <w:rPr>
          <w:i/>
          <w:iCs/>
          <w:szCs w:val="20"/>
        </w:rPr>
        <w:t xml:space="preserve">. </w:t>
      </w:r>
    </w:p>
    <w:p w14:paraId="68D0AB70" w14:textId="76741572" w:rsidR="00D346BD" w:rsidRDefault="00961CC2" w:rsidP="00961CC2">
      <w:pPr>
        <w:pStyle w:val="BodyText"/>
        <w:rPr>
          <w:i/>
          <w:iCs/>
          <w:szCs w:val="20"/>
        </w:rPr>
      </w:pPr>
      <w:r w:rsidRPr="00702488">
        <w:rPr>
          <w:i/>
          <w:iCs/>
          <w:szCs w:val="20"/>
        </w:rPr>
        <w:t xml:space="preserve">In addition, </w:t>
      </w:r>
      <w:r>
        <w:rPr>
          <w:i/>
          <w:iCs/>
          <w:szCs w:val="20"/>
        </w:rPr>
        <w:t>employees in SMEs need</w:t>
      </w:r>
      <w:r w:rsidRPr="00702488">
        <w:rPr>
          <w:i/>
          <w:iCs/>
          <w:szCs w:val="20"/>
        </w:rPr>
        <w:t xml:space="preserve"> to adjust to these developments</w:t>
      </w:r>
      <w:r>
        <w:rPr>
          <w:i/>
          <w:iCs/>
          <w:szCs w:val="20"/>
        </w:rPr>
        <w:t>, particularly affecting</w:t>
      </w:r>
      <w:r w:rsidRPr="00702488">
        <w:rPr>
          <w:i/>
          <w:iCs/>
          <w:szCs w:val="20"/>
        </w:rPr>
        <w:t xml:space="preserve"> most areas in the Danube Region and </w:t>
      </w:r>
      <w:r>
        <w:rPr>
          <w:i/>
          <w:iCs/>
          <w:szCs w:val="20"/>
        </w:rPr>
        <w:t>especially</w:t>
      </w:r>
      <w:r w:rsidRPr="00702488">
        <w:rPr>
          <w:i/>
          <w:iCs/>
          <w:szCs w:val="20"/>
        </w:rPr>
        <w:t xml:space="preserve"> Bucharest and South Muntenia regions in Romania, Ljubljana in Slovenia the County of Dubr</w:t>
      </w:r>
      <w:r>
        <w:rPr>
          <w:i/>
          <w:iCs/>
          <w:szCs w:val="20"/>
        </w:rPr>
        <w:t>o</w:t>
      </w:r>
      <w:r w:rsidRPr="00702488">
        <w:rPr>
          <w:i/>
          <w:iCs/>
          <w:szCs w:val="20"/>
        </w:rPr>
        <w:t xml:space="preserve">vnik-Neretva and most parts of Pannonian Croatia </w:t>
      </w:r>
      <w:r w:rsidRPr="00702488">
        <w:rPr>
          <w:i/>
          <w:iCs/>
          <w:szCs w:val="20"/>
        </w:rPr>
        <w:fldChar w:fldCharType="begin"/>
      </w:r>
      <w:r w:rsidR="001C3DA6">
        <w:rPr>
          <w:i/>
          <w:iCs/>
          <w:szCs w:val="20"/>
        </w:rPr>
        <w:instrText xml:space="preserve"> ADDIN ZOTERO_ITEM CSL_CITATION {"citationID":"a1hg4i42q4k","properties":{"formattedCitation":"(ESPON, 2018d)","plainCitation":"(ESPON, 2018d)","noteIndex":0},"citationItems":[{"id":3031,"uris":["http://zotero.org/groups/21774/items/U5B2G8SQ"],"itemData":{"id":3031,"type":"report","title":"Small and Medium-Sized Enterprises in European Regions and Cities. Final Report","author":[{"family":"ESPON","given":""}],"issued":{"date-parts":[["2018",1,31]]}}}],"schema":"https://github.com/citation-style-language/schema/raw/master/csl-citation.json"} </w:instrText>
      </w:r>
      <w:r w:rsidRPr="00702488">
        <w:rPr>
          <w:i/>
          <w:iCs/>
          <w:szCs w:val="20"/>
        </w:rPr>
        <w:fldChar w:fldCharType="separate"/>
      </w:r>
      <w:r w:rsidR="001C3DA6" w:rsidRPr="001C3DA6">
        <w:rPr>
          <w:rFonts w:ascii="Arial" w:cs="Arial"/>
        </w:rPr>
        <w:t>(ESPON, 2018d)</w:t>
      </w:r>
      <w:r w:rsidRPr="00702488">
        <w:rPr>
          <w:i/>
          <w:iCs/>
          <w:szCs w:val="20"/>
        </w:rPr>
        <w:fldChar w:fldCharType="end"/>
      </w:r>
      <w:r w:rsidRPr="00702488">
        <w:rPr>
          <w:i/>
          <w:iCs/>
          <w:szCs w:val="20"/>
        </w:rPr>
        <w:t>.</w:t>
      </w:r>
    </w:p>
    <w:p w14:paraId="649B6B80" w14:textId="77777777" w:rsidR="00052436" w:rsidRPr="009308FC" w:rsidRDefault="00052436" w:rsidP="00052436">
      <w:pPr>
        <w:pStyle w:val="BodyText"/>
        <w:shd w:val="clear" w:color="auto" w:fill="D9D9D9" w:themeFill="background1" w:themeFillShade="D9"/>
        <w:rPr>
          <w:b/>
          <w:bCs/>
          <w:szCs w:val="20"/>
        </w:rPr>
      </w:pPr>
      <w:r w:rsidRPr="009308FC">
        <w:rPr>
          <w:b/>
          <w:bCs/>
          <w:szCs w:val="20"/>
        </w:rPr>
        <w:t>Terristory: The old-new heart of manufacturing in the Danube Region – Střední Čechy 2050</w:t>
      </w:r>
    </w:p>
    <w:p w14:paraId="397801B7" w14:textId="2061C3F0" w:rsidR="00052436" w:rsidRDefault="00052436" w:rsidP="00052436">
      <w:pPr>
        <w:pStyle w:val="BodyText"/>
        <w:shd w:val="clear" w:color="auto" w:fill="D9D9D9" w:themeFill="background1" w:themeFillShade="D9"/>
        <w:rPr>
          <w:szCs w:val="20"/>
        </w:rPr>
      </w:pPr>
      <w:r w:rsidRPr="009308FC">
        <w:rPr>
          <w:szCs w:val="20"/>
        </w:rPr>
        <w:t xml:space="preserve">The heart of Bohemia has been regarded as a </w:t>
      </w:r>
      <w:r>
        <w:rPr>
          <w:szCs w:val="20"/>
        </w:rPr>
        <w:t>‘</w:t>
      </w:r>
      <w:r w:rsidRPr="009308FC">
        <w:rPr>
          <w:szCs w:val="20"/>
        </w:rPr>
        <w:t>new traditional</w:t>
      </w:r>
      <w:r>
        <w:rPr>
          <w:szCs w:val="20"/>
        </w:rPr>
        <w:t>’</w:t>
      </w:r>
      <w:r w:rsidRPr="009308FC">
        <w:rPr>
          <w:szCs w:val="20"/>
        </w:rPr>
        <w:t xml:space="preserve"> centre of manufacturing. With the help of </w:t>
      </w:r>
      <w:r>
        <w:rPr>
          <w:szCs w:val="20"/>
        </w:rPr>
        <w:t xml:space="preserve">the </w:t>
      </w:r>
      <w:r w:rsidRPr="009308FC">
        <w:rPr>
          <w:szCs w:val="20"/>
        </w:rPr>
        <w:t xml:space="preserve">digital transition the region around Prague has been able to reinvent itself </w:t>
      </w:r>
      <w:r>
        <w:rPr>
          <w:szCs w:val="20"/>
        </w:rPr>
        <w:t>moving</w:t>
      </w:r>
      <w:r w:rsidRPr="009308FC">
        <w:rPr>
          <w:szCs w:val="20"/>
        </w:rPr>
        <w:t xml:space="preserve"> from mass production and heavy industry to high added value</w:t>
      </w:r>
      <w:r w:rsidRPr="00E1447F">
        <w:rPr>
          <w:szCs w:val="20"/>
        </w:rPr>
        <w:t xml:space="preserve"> </w:t>
      </w:r>
      <w:r w:rsidRPr="009308FC">
        <w:rPr>
          <w:szCs w:val="20"/>
        </w:rPr>
        <w:t xml:space="preserve">production. </w:t>
      </w:r>
      <w:r>
        <w:rPr>
          <w:szCs w:val="20"/>
        </w:rPr>
        <w:t>D</w:t>
      </w:r>
      <w:r w:rsidRPr="009308FC">
        <w:rPr>
          <w:szCs w:val="20"/>
        </w:rPr>
        <w:t xml:space="preserve">igitisation and robotisation </w:t>
      </w:r>
      <w:r>
        <w:rPr>
          <w:szCs w:val="20"/>
        </w:rPr>
        <w:t>mean</w:t>
      </w:r>
      <w:r w:rsidRPr="009308FC">
        <w:rPr>
          <w:szCs w:val="20"/>
        </w:rPr>
        <w:t xml:space="preserve"> people lost their jobs </w:t>
      </w:r>
      <w:r>
        <w:rPr>
          <w:szCs w:val="20"/>
        </w:rPr>
        <w:t>and</w:t>
      </w:r>
      <w:r w:rsidRPr="009308FC">
        <w:rPr>
          <w:szCs w:val="20"/>
        </w:rPr>
        <w:t xml:space="preserve"> need to be reintegrated. </w:t>
      </w:r>
      <w:r>
        <w:rPr>
          <w:szCs w:val="20"/>
        </w:rPr>
        <w:t>S</w:t>
      </w:r>
      <w:r w:rsidRPr="009308FC">
        <w:rPr>
          <w:szCs w:val="20"/>
        </w:rPr>
        <w:t xml:space="preserve">killed, qualified </w:t>
      </w:r>
      <w:r>
        <w:rPr>
          <w:szCs w:val="20"/>
        </w:rPr>
        <w:t>people</w:t>
      </w:r>
      <w:r w:rsidRPr="009308FC">
        <w:rPr>
          <w:szCs w:val="20"/>
        </w:rPr>
        <w:t xml:space="preserve"> </w:t>
      </w:r>
      <w:r w:rsidR="00E513AA">
        <w:rPr>
          <w:szCs w:val="20"/>
        </w:rPr>
        <w:t xml:space="preserve">work </w:t>
      </w:r>
      <w:r w:rsidRPr="009308FC">
        <w:rPr>
          <w:szCs w:val="20"/>
        </w:rPr>
        <w:t xml:space="preserve">at large multinational companies but many regional SMEs have been flourishing as well. </w:t>
      </w:r>
      <w:r>
        <w:rPr>
          <w:szCs w:val="20"/>
        </w:rPr>
        <w:t>S</w:t>
      </w:r>
      <w:r w:rsidRPr="009308FC">
        <w:rPr>
          <w:szCs w:val="20"/>
        </w:rPr>
        <w:t xml:space="preserve">mall </w:t>
      </w:r>
      <w:r>
        <w:rPr>
          <w:szCs w:val="20"/>
        </w:rPr>
        <w:t>businesses</w:t>
      </w:r>
      <w:r w:rsidRPr="009308FC">
        <w:rPr>
          <w:szCs w:val="20"/>
        </w:rPr>
        <w:t xml:space="preserve"> are successful in technology transfer and product development, finding niche markets and attracting employees for their hi-tech activities. The Bohemian tradition of craftsmanship has </w:t>
      </w:r>
      <w:r>
        <w:rPr>
          <w:szCs w:val="20"/>
        </w:rPr>
        <w:t xml:space="preserve">been </w:t>
      </w:r>
      <w:r w:rsidRPr="009308FC">
        <w:rPr>
          <w:szCs w:val="20"/>
        </w:rPr>
        <w:t>reborn - this time using 3D printers and highly automated electr</w:t>
      </w:r>
      <w:r>
        <w:rPr>
          <w:szCs w:val="20"/>
        </w:rPr>
        <w:t>on</w:t>
      </w:r>
      <w:r w:rsidRPr="009308FC">
        <w:rPr>
          <w:szCs w:val="20"/>
        </w:rPr>
        <w:t>ics.</w:t>
      </w:r>
    </w:p>
    <w:p w14:paraId="4BE698C1" w14:textId="77777777" w:rsidR="00052436" w:rsidRPr="00E80435" w:rsidRDefault="00052436" w:rsidP="00052436">
      <w:pPr>
        <w:pStyle w:val="BodyText"/>
        <w:shd w:val="clear" w:color="auto" w:fill="D9D9D9" w:themeFill="background1" w:themeFillShade="D9"/>
        <w:rPr>
          <w:b/>
          <w:bCs/>
          <w:szCs w:val="20"/>
        </w:rPr>
      </w:pPr>
      <w:r w:rsidRPr="00E80435">
        <w:rPr>
          <w:b/>
          <w:bCs/>
          <w:szCs w:val="20"/>
        </w:rPr>
        <w:t xml:space="preserve">Terristory: Automotive industry as the macro-regional economy engine – Bratislavský Region, Trnava Region, Győr-Moson-Sopron County, Komárom-Esztergom County 2050 </w:t>
      </w:r>
    </w:p>
    <w:p w14:paraId="74F3E83D" w14:textId="687F04B2" w:rsidR="00E80435" w:rsidRPr="009308FC" w:rsidRDefault="00052436" w:rsidP="00052436">
      <w:pPr>
        <w:pStyle w:val="BodyText"/>
        <w:shd w:val="clear" w:color="auto" w:fill="D9D9D9" w:themeFill="background1" w:themeFillShade="D9"/>
        <w:rPr>
          <w:szCs w:val="20"/>
        </w:rPr>
      </w:pPr>
      <w:r w:rsidRPr="00E80435">
        <w:rPr>
          <w:szCs w:val="20"/>
        </w:rPr>
        <w:t>The</w:t>
      </w:r>
      <w:r>
        <w:rPr>
          <w:szCs w:val="20"/>
        </w:rPr>
        <w:t>se</w:t>
      </w:r>
      <w:r w:rsidRPr="00E80435">
        <w:rPr>
          <w:szCs w:val="20"/>
        </w:rPr>
        <w:t xml:space="preserve"> regions have solidified their role in the European automotive industry with increas</w:t>
      </w:r>
      <w:r>
        <w:rPr>
          <w:szCs w:val="20"/>
        </w:rPr>
        <w:t>ed</w:t>
      </w:r>
      <w:r w:rsidRPr="00E80435">
        <w:rPr>
          <w:szCs w:val="20"/>
        </w:rPr>
        <w:t xml:space="preserve"> production and sales. A wide range of passenger cars and other vehicles </w:t>
      </w:r>
      <w:r>
        <w:rPr>
          <w:szCs w:val="20"/>
        </w:rPr>
        <w:t>are being</w:t>
      </w:r>
      <w:r w:rsidRPr="00E80435">
        <w:rPr>
          <w:szCs w:val="20"/>
        </w:rPr>
        <w:t xml:space="preserve"> produced by 2050. With industry innovations </w:t>
      </w:r>
      <w:r>
        <w:rPr>
          <w:szCs w:val="20"/>
        </w:rPr>
        <w:t>such as</w:t>
      </w:r>
      <w:r w:rsidRPr="00E80435">
        <w:rPr>
          <w:szCs w:val="20"/>
        </w:rPr>
        <w:t xml:space="preserve"> electric motors, hydrogen and other alternative fuels, the demand for new and hi-tech products </w:t>
      </w:r>
      <w:r>
        <w:rPr>
          <w:szCs w:val="20"/>
        </w:rPr>
        <w:t>from</w:t>
      </w:r>
      <w:r w:rsidRPr="00E80435">
        <w:rPr>
          <w:szCs w:val="20"/>
        </w:rPr>
        <w:t xml:space="preserve"> the region has remained high. The introduction of industry 4.0 and 5.0 in product development as well manufacturing technology has increased competitiveness compared to other regions in Europe. </w:t>
      </w:r>
      <w:r>
        <w:rPr>
          <w:szCs w:val="20"/>
        </w:rPr>
        <w:t>E</w:t>
      </w:r>
      <w:r w:rsidRPr="00E80435">
        <w:rPr>
          <w:szCs w:val="20"/>
        </w:rPr>
        <w:t xml:space="preserve">conomic development </w:t>
      </w:r>
      <w:r>
        <w:rPr>
          <w:szCs w:val="20"/>
        </w:rPr>
        <w:t>led to</w:t>
      </w:r>
      <w:r w:rsidRPr="00E80435">
        <w:rPr>
          <w:szCs w:val="20"/>
        </w:rPr>
        <w:t xml:space="preserve"> an extensive and solid supplier network. </w:t>
      </w:r>
      <w:r>
        <w:rPr>
          <w:szCs w:val="20"/>
        </w:rPr>
        <w:t>T</w:t>
      </w:r>
      <w:r w:rsidRPr="00E80435">
        <w:rPr>
          <w:szCs w:val="20"/>
        </w:rPr>
        <w:t xml:space="preserve">he </w:t>
      </w:r>
      <w:r>
        <w:rPr>
          <w:szCs w:val="20"/>
        </w:rPr>
        <w:t xml:space="preserve">increased </w:t>
      </w:r>
      <w:r w:rsidRPr="00E80435">
        <w:rPr>
          <w:szCs w:val="20"/>
        </w:rPr>
        <w:t xml:space="preserve">share of electronic parts and devices with higher added value increased the agglomeration of hi-tech manufacturers around assembly plants. </w:t>
      </w:r>
      <w:r>
        <w:rPr>
          <w:szCs w:val="20"/>
        </w:rPr>
        <w:t>There are n</w:t>
      </w:r>
      <w:r w:rsidRPr="00E80435">
        <w:rPr>
          <w:szCs w:val="20"/>
        </w:rPr>
        <w:t xml:space="preserve">ew and innovative SMEs as well as new large companies </w:t>
      </w:r>
      <w:r>
        <w:rPr>
          <w:szCs w:val="20"/>
        </w:rPr>
        <w:t>in</w:t>
      </w:r>
      <w:r w:rsidRPr="00E80435">
        <w:rPr>
          <w:szCs w:val="20"/>
        </w:rPr>
        <w:t xml:space="preserve"> the cross-border region. </w:t>
      </w:r>
      <w:r>
        <w:rPr>
          <w:szCs w:val="20"/>
        </w:rPr>
        <w:t>E</w:t>
      </w:r>
      <w:r w:rsidRPr="00E80435">
        <w:rPr>
          <w:szCs w:val="20"/>
        </w:rPr>
        <w:t xml:space="preserve">mployees of highly competitive SMEs and large companies have </w:t>
      </w:r>
      <w:r>
        <w:rPr>
          <w:szCs w:val="20"/>
        </w:rPr>
        <w:t>more</w:t>
      </w:r>
      <w:r w:rsidRPr="00E80435">
        <w:rPr>
          <w:szCs w:val="20"/>
        </w:rPr>
        <w:t xml:space="preserve"> income to spend </w:t>
      </w:r>
      <w:r>
        <w:rPr>
          <w:szCs w:val="20"/>
        </w:rPr>
        <w:t>in</w:t>
      </w:r>
      <w:r w:rsidRPr="00E80435">
        <w:rPr>
          <w:szCs w:val="20"/>
        </w:rPr>
        <w:t xml:space="preserve"> regional markets. Consequently, increased production and purchasing power </w:t>
      </w:r>
      <w:r>
        <w:rPr>
          <w:szCs w:val="20"/>
        </w:rPr>
        <w:t>help</w:t>
      </w:r>
      <w:r w:rsidRPr="00E80435">
        <w:rPr>
          <w:szCs w:val="20"/>
        </w:rPr>
        <w:t xml:space="preserve"> develop other sectors</w:t>
      </w:r>
      <w:r>
        <w:rPr>
          <w:szCs w:val="20"/>
        </w:rPr>
        <w:t>.</w:t>
      </w:r>
    </w:p>
    <w:p w14:paraId="0FBC18BD" w14:textId="7209D32F" w:rsidR="00E513AA" w:rsidRPr="00702488" w:rsidRDefault="00E513AA" w:rsidP="00E513AA">
      <w:r w:rsidRPr="00702488">
        <w:rPr>
          <w:b/>
          <w:bCs/>
        </w:rPr>
        <w:t>New employment mode 2: Never stop learning</w:t>
      </w:r>
      <w:r w:rsidRPr="00702488">
        <w:t xml:space="preserve">. Cognitive and non-cognitive skills and high-level education are two key components for employment in the Danube Region by 2050. Digital and data skills are essential for the new jobs created </w:t>
      </w:r>
      <w:r>
        <w:t>by</w:t>
      </w:r>
      <w:r w:rsidRPr="00702488">
        <w:t xml:space="preserve"> hyper-digitalisation. ICT and data specialists, high-performance computing, </w:t>
      </w:r>
      <w:r>
        <w:t>artificial intelligence</w:t>
      </w:r>
      <w:r w:rsidRPr="00702488">
        <w:t xml:space="preserve"> machine learning, engineers, </w:t>
      </w:r>
      <w:r>
        <w:t>a</w:t>
      </w:r>
      <w:r w:rsidRPr="00702488">
        <w:t xml:space="preserve">rtificial </w:t>
      </w:r>
      <w:r>
        <w:t>i</w:t>
      </w:r>
      <w:r w:rsidRPr="00702488">
        <w:t>ntelligence</w:t>
      </w:r>
      <w:r>
        <w:t xml:space="preserve"> </w:t>
      </w:r>
      <w:r w:rsidRPr="00702488">
        <w:t xml:space="preserve">trainers and </w:t>
      </w:r>
      <w:r>
        <w:t>experts as well as</w:t>
      </w:r>
      <w:r w:rsidRPr="00702488">
        <w:t xml:space="preserve"> data and systems </w:t>
      </w:r>
      <w:r>
        <w:t xml:space="preserve">experts </w:t>
      </w:r>
      <w:r w:rsidRPr="00702488">
        <w:t xml:space="preserve">are just a few examples </w:t>
      </w:r>
      <w:r w:rsidRPr="00702488">
        <w:rPr>
          <w:szCs w:val="20"/>
        </w:rPr>
        <w:fldChar w:fldCharType="begin"/>
      </w:r>
      <w:r w:rsidR="00F54737">
        <w:rPr>
          <w:szCs w:val="20"/>
        </w:rPr>
        <w:instrText xml:space="preserve"> ADDIN ZOTERO_ITEM CSL_CITATION {"citationID":"gGmTqWSm","properties":{"formattedCitation":"(Joint Research Centre, 2019)","plainCitation":"(Joint Research Centre, 2019)","noteIndex":0},"citationItems":[{"id":8053,"uris":["http://zotero.org/groups/4075961/items/53RUPNFX"],"itemData":{"id":8053,"type":"report","publisher":"European Commission","title":"The changing nature of work. And skills in the digital age","author":[{"family":"Joint Research Centre","given":""}],"issued":{"date-parts":[["2019",8]]}}}],"schema":"https://github.com/citation-style-language/schema/raw/master/csl-citation.json"} </w:instrText>
      </w:r>
      <w:r w:rsidRPr="00702488">
        <w:rPr>
          <w:szCs w:val="20"/>
        </w:rPr>
        <w:fldChar w:fldCharType="separate"/>
      </w:r>
      <w:r w:rsidR="00F54737">
        <w:rPr>
          <w:rFonts w:ascii="Arial" w:cs="Arial"/>
        </w:rPr>
        <w:t>(Joint Research Centre, 2019)</w:t>
      </w:r>
      <w:r w:rsidRPr="00702488">
        <w:rPr>
          <w:szCs w:val="20"/>
        </w:rPr>
        <w:fldChar w:fldCharType="end"/>
      </w:r>
      <w:r w:rsidRPr="00702488">
        <w:t xml:space="preserve">. </w:t>
      </w:r>
      <w:r>
        <w:t>In addition to</w:t>
      </w:r>
      <w:r w:rsidRPr="00702488">
        <w:t xml:space="preserve"> cognitive skills, non-cognitive skills are fundamental for a work environment where </w:t>
      </w:r>
      <w:r>
        <w:t>a</w:t>
      </w:r>
      <w:r w:rsidRPr="00702488">
        <w:t xml:space="preserve">rtificial </w:t>
      </w:r>
      <w:r>
        <w:t>i</w:t>
      </w:r>
      <w:r w:rsidRPr="00702488">
        <w:t xml:space="preserve">ntelligence mingles with humans. </w:t>
      </w:r>
      <w:r>
        <w:t>Such</w:t>
      </w:r>
      <w:r w:rsidRPr="00702488">
        <w:t xml:space="preserve"> skills</w:t>
      </w:r>
      <w:r>
        <w:t xml:space="preserve"> include</w:t>
      </w:r>
      <w:r w:rsidRPr="00702488">
        <w:t xml:space="preserve"> critical thinking, creativity, flexibility, good communication and people skills, resilience, sociability, empathy, initiative</w:t>
      </w:r>
      <w:r>
        <w:t xml:space="preserve"> and</w:t>
      </w:r>
      <w:r w:rsidRPr="00702488">
        <w:t xml:space="preserve"> teamwork </w:t>
      </w:r>
      <w:r w:rsidRPr="00702488">
        <w:rPr>
          <w:szCs w:val="20"/>
        </w:rPr>
        <w:fldChar w:fldCharType="begin"/>
      </w:r>
      <w:r w:rsidR="00F54737">
        <w:rPr>
          <w:szCs w:val="20"/>
        </w:rPr>
        <w:instrText xml:space="preserve"> ADDIN ZOTERO_ITEM CSL_CITATION {"citationID":"Kg52lyVw","properties":{"formattedCitation":"(Joint Research Centre, 2019)","plainCitation":"(Joint Research Centre, 2019)","noteIndex":0},"citationItems":[{"id":8053,"uris":["http://zotero.org/groups/4075961/items/53RUPNFX"],"itemData":{"id":8053,"type":"report","publisher":"European Commission","title":"The changing nature of work. And skills in the digital age","author":[{"family":"Joint Research Centre","given":""}],"issued":{"date-parts":[["2019",8]]}}}],"schema":"https://github.com/citation-style-language/schema/raw/master/csl-citation.json"} </w:instrText>
      </w:r>
      <w:r w:rsidRPr="00702488">
        <w:rPr>
          <w:szCs w:val="20"/>
        </w:rPr>
        <w:fldChar w:fldCharType="separate"/>
      </w:r>
      <w:r w:rsidR="00F54737">
        <w:rPr>
          <w:rFonts w:ascii="Arial" w:cs="Arial"/>
        </w:rPr>
        <w:t>(Joint Research Centre, 2019)</w:t>
      </w:r>
      <w:r w:rsidRPr="00702488">
        <w:rPr>
          <w:szCs w:val="20"/>
        </w:rPr>
        <w:fldChar w:fldCharType="end"/>
      </w:r>
      <w:r w:rsidRPr="00702488">
        <w:t xml:space="preserve">. People need to be </w:t>
      </w:r>
      <w:r>
        <w:t>able</w:t>
      </w:r>
      <w:r w:rsidRPr="00702488">
        <w:t xml:space="preserve">, more resilient and also adaptable to the speedy changes </w:t>
      </w:r>
      <w:r>
        <w:t>resulting from</w:t>
      </w:r>
      <w:r w:rsidRPr="00702488">
        <w:t xml:space="preserve"> technological advances.</w:t>
      </w:r>
    </w:p>
    <w:p w14:paraId="3E0DD5AA" w14:textId="02187820" w:rsidR="00E513AA" w:rsidRPr="00702488" w:rsidRDefault="00E513AA" w:rsidP="00E513AA">
      <w:r w:rsidRPr="00702488">
        <w:t xml:space="preserve">An important role in this </w:t>
      </w:r>
      <w:r>
        <w:t>is</w:t>
      </w:r>
      <w:r w:rsidRPr="00702488">
        <w:t xml:space="preserve"> education, as by 2050 education systems have expanded and become more flexible towards incorporating digital </w:t>
      </w:r>
      <w:r>
        <w:t>and</w:t>
      </w:r>
      <w:r w:rsidRPr="00702488">
        <w:t xml:space="preserve"> non-cognitive skills, </w:t>
      </w:r>
      <w:r>
        <w:t>helping people</w:t>
      </w:r>
      <w:r w:rsidRPr="00702488">
        <w:t xml:space="preserve"> to anticipate change and explor</w:t>
      </w:r>
      <w:r>
        <w:t>e</w:t>
      </w:r>
      <w:r w:rsidRPr="00702488">
        <w:t xml:space="preserve"> their critical thinking. In addition, employees need to be open to continuous learning. Lifelong learning </w:t>
      </w:r>
      <w:r>
        <w:t>with</w:t>
      </w:r>
      <w:r w:rsidRPr="00702488">
        <w:t xml:space="preserve"> continuous improvement and learning new skills is a prerequisite to be able </w:t>
      </w:r>
      <w:r>
        <w:t>to</w:t>
      </w:r>
      <w:r w:rsidRPr="00702488">
        <w:t xml:space="preserve"> cope with change </w:t>
      </w:r>
      <w:r w:rsidRPr="00702488">
        <w:rPr>
          <w:szCs w:val="20"/>
        </w:rPr>
        <w:fldChar w:fldCharType="begin"/>
      </w:r>
      <w:r w:rsidR="00F54737">
        <w:rPr>
          <w:szCs w:val="20"/>
        </w:rPr>
        <w:instrText xml:space="preserve"> ADDIN ZOTERO_ITEM CSL_CITATION {"citationID":"i5ooHtpP","properties":{"formattedCitation":"(Joint Research Centre, 2019)","plainCitation":"(Joint Research Centre, 2019)","noteIndex":0},"citationItems":[{"id":8053,"uris":["http://zotero.org/groups/4075961/items/53RUPNFX"],"itemData":{"id":8053,"type":"report","publisher":"European Commission","title":"The changing nature of work. And skills in the digital age","author":[{"family":"Joint Research Centre","given":""}],"issued":{"date-parts":[["2019",8]]}}}],"schema":"https://github.com/citation-style-language/schema/raw/master/csl-citation.json"} </w:instrText>
      </w:r>
      <w:r w:rsidRPr="00702488">
        <w:rPr>
          <w:szCs w:val="20"/>
        </w:rPr>
        <w:fldChar w:fldCharType="separate"/>
      </w:r>
      <w:r w:rsidR="00F54737">
        <w:rPr>
          <w:rFonts w:ascii="Arial" w:cs="Arial"/>
        </w:rPr>
        <w:t>(Joint Research Centre, 2019)</w:t>
      </w:r>
      <w:r w:rsidRPr="00702488">
        <w:rPr>
          <w:szCs w:val="20"/>
        </w:rPr>
        <w:fldChar w:fldCharType="end"/>
      </w:r>
      <w:r w:rsidRPr="00702488">
        <w:t xml:space="preserve">. Massive </w:t>
      </w:r>
      <w:r>
        <w:t xml:space="preserve">open </w:t>
      </w:r>
      <w:r w:rsidRPr="00702488">
        <w:t xml:space="preserve">online courses have made learning widespread. </w:t>
      </w:r>
    </w:p>
    <w:p w14:paraId="33CAADC8" w14:textId="2F079C8A" w:rsidR="00E513AA" w:rsidRPr="00702488" w:rsidRDefault="00E513AA" w:rsidP="00E513AA">
      <w:pPr>
        <w:rPr>
          <w:i/>
          <w:iCs/>
        </w:rPr>
      </w:pPr>
      <w:r w:rsidRPr="00702488">
        <w:rPr>
          <w:i/>
          <w:iCs/>
        </w:rPr>
        <w:t xml:space="preserve">Skills and education play an important role in the new employment profile </w:t>
      </w:r>
      <w:r>
        <w:rPr>
          <w:i/>
          <w:iCs/>
        </w:rPr>
        <w:t>for</w:t>
      </w:r>
      <w:r w:rsidRPr="00702488">
        <w:rPr>
          <w:i/>
          <w:iCs/>
        </w:rPr>
        <w:t xml:space="preserve"> 2050 in the Danube Region. Places with </w:t>
      </w:r>
      <w:r>
        <w:rPr>
          <w:i/>
          <w:iCs/>
        </w:rPr>
        <w:t xml:space="preserve">better educated </w:t>
      </w:r>
      <w:r w:rsidRPr="00702488">
        <w:rPr>
          <w:i/>
          <w:iCs/>
        </w:rPr>
        <w:t xml:space="preserve">people could capitalise on </w:t>
      </w:r>
      <w:r>
        <w:rPr>
          <w:i/>
          <w:iCs/>
        </w:rPr>
        <w:t>hyper-digitalisation</w:t>
      </w:r>
      <w:r w:rsidRPr="00702488">
        <w:rPr>
          <w:i/>
          <w:iCs/>
        </w:rPr>
        <w:t xml:space="preserve">. Examples are Budapest, Ljubljana and Sofia which have </w:t>
      </w:r>
      <w:r>
        <w:rPr>
          <w:i/>
          <w:iCs/>
        </w:rPr>
        <w:t xml:space="preserve">a </w:t>
      </w:r>
      <w:r w:rsidRPr="00702488">
        <w:rPr>
          <w:i/>
          <w:iCs/>
        </w:rPr>
        <w:t xml:space="preserve">high share of people in higher education. An interesting combination is </w:t>
      </w:r>
      <w:r>
        <w:rPr>
          <w:i/>
          <w:iCs/>
        </w:rPr>
        <w:t xml:space="preserve">where </w:t>
      </w:r>
      <w:r w:rsidRPr="00702488">
        <w:rPr>
          <w:i/>
          <w:iCs/>
        </w:rPr>
        <w:t xml:space="preserve">regions are home to skilled people and are also sending regions, i.e. regions sending skilled people to other regions. Examples </w:t>
      </w:r>
      <w:r>
        <w:rPr>
          <w:i/>
          <w:iCs/>
        </w:rPr>
        <w:t>include</w:t>
      </w:r>
      <w:r w:rsidRPr="00702488">
        <w:rPr>
          <w:i/>
          <w:iCs/>
        </w:rPr>
        <w:t xml:space="preserve"> Centru, Sud-Vest Oltenia, Sud-Muntenia, Bucharest and Sud-Est in Romania, all other regions in Bulgaria, most regions in south and east Hungary, most of Croatia, Severozapad, Stredni Morava and Moravskoslezsko regions in </w:t>
      </w:r>
      <w:r>
        <w:rPr>
          <w:i/>
          <w:iCs/>
        </w:rPr>
        <w:t>Czechia and</w:t>
      </w:r>
      <w:r w:rsidRPr="00702488">
        <w:rPr>
          <w:i/>
          <w:iCs/>
        </w:rPr>
        <w:t xml:space="preserve"> central and east Slovakia </w:t>
      </w:r>
      <w:r w:rsidRPr="00702488">
        <w:rPr>
          <w:i/>
          <w:iCs/>
        </w:rPr>
        <w:fldChar w:fldCharType="begin"/>
      </w:r>
      <w:r w:rsidR="001C3DA6">
        <w:rPr>
          <w:i/>
          <w:iCs/>
        </w:rPr>
        <w:instrText xml:space="preserve"> ADDIN ZOTERO_ITEM CSL_CITATION {"citationID":"a1d2s6bp3c9","properties":{"formattedCitation":"(ESPON, 2018f)","plainCitation":"(ESPON, 2018f)","noteIndex":0},"citationItems":[{"id":2727,"uris":["http://zotero.org/groups/21774/items/FNKYDIYV"],"itemData":{"id":2727,"type":"report","event-place":"Luxembourg","publisher":"ESPON EGTC","publisher-place":"Luxembourg","title":"The Geography of New Employment Dynamics in Europe","URL":"https://www.espon.eu/employment","author":[{"family":"ESPON","given":""}],"accessed":{"date-parts":[["2020",12,11]]},"issued":{"date-parts":[["2018"]]}}}],"schema":"https://github.com/citation-style-language/schema/raw/master/csl-citation.json"} </w:instrText>
      </w:r>
      <w:r w:rsidRPr="00702488">
        <w:rPr>
          <w:i/>
          <w:iCs/>
        </w:rPr>
        <w:fldChar w:fldCharType="separate"/>
      </w:r>
      <w:r w:rsidR="001C3DA6" w:rsidRPr="001C3DA6">
        <w:rPr>
          <w:rFonts w:ascii="Arial" w:cs="Arial"/>
        </w:rPr>
        <w:t>(ESPON, 2018f)</w:t>
      </w:r>
      <w:r w:rsidRPr="00702488">
        <w:rPr>
          <w:i/>
          <w:iCs/>
        </w:rPr>
        <w:fldChar w:fldCharType="end"/>
      </w:r>
      <w:r w:rsidRPr="00702488">
        <w:rPr>
          <w:i/>
          <w:iCs/>
        </w:rPr>
        <w:t xml:space="preserve">. </w:t>
      </w:r>
    </w:p>
    <w:p w14:paraId="01798F07" w14:textId="194FCFF6" w:rsidR="00E513AA" w:rsidRPr="00702488" w:rsidRDefault="00E513AA" w:rsidP="00E513AA">
      <w:pPr>
        <w:rPr>
          <w:i/>
          <w:iCs/>
        </w:rPr>
      </w:pPr>
      <w:r>
        <w:rPr>
          <w:i/>
          <w:iCs/>
        </w:rPr>
        <w:t>R</w:t>
      </w:r>
      <w:r w:rsidRPr="00702488">
        <w:rPr>
          <w:i/>
          <w:iCs/>
        </w:rPr>
        <w:t xml:space="preserve">egions which invest in </w:t>
      </w:r>
      <w:r>
        <w:rPr>
          <w:i/>
          <w:iCs/>
        </w:rPr>
        <w:t>R&amp;D</w:t>
      </w:r>
      <w:r w:rsidRPr="00702488">
        <w:rPr>
          <w:i/>
          <w:iCs/>
        </w:rPr>
        <w:t xml:space="preserve"> also invest in educating and training people, </w:t>
      </w:r>
      <w:r>
        <w:rPr>
          <w:i/>
          <w:iCs/>
        </w:rPr>
        <w:t>especially</w:t>
      </w:r>
      <w:r w:rsidRPr="00702488">
        <w:rPr>
          <w:i/>
          <w:iCs/>
        </w:rPr>
        <w:t xml:space="preserve"> the Sofia region in Bulgaria, Ljubljana</w:t>
      </w:r>
      <w:r>
        <w:rPr>
          <w:i/>
          <w:iCs/>
        </w:rPr>
        <w:t xml:space="preserve"> in Slovakia,</w:t>
      </w:r>
      <w:r w:rsidRPr="00727177">
        <w:rPr>
          <w:i/>
          <w:iCs/>
        </w:rPr>
        <w:t xml:space="preserve"> </w:t>
      </w:r>
      <w:r w:rsidRPr="00702488">
        <w:rPr>
          <w:i/>
          <w:iCs/>
        </w:rPr>
        <w:t>Budapest</w:t>
      </w:r>
      <w:r>
        <w:rPr>
          <w:i/>
          <w:iCs/>
        </w:rPr>
        <w:t xml:space="preserve"> and</w:t>
      </w:r>
      <w:r w:rsidRPr="00702488">
        <w:rPr>
          <w:i/>
          <w:iCs/>
        </w:rPr>
        <w:t xml:space="preserve"> North West region in Romania or Jihovychod in </w:t>
      </w:r>
      <w:r>
        <w:rPr>
          <w:i/>
          <w:iCs/>
        </w:rPr>
        <w:t>Czechia</w:t>
      </w:r>
      <w:r w:rsidRPr="00702488">
        <w:rPr>
          <w:i/>
          <w:iCs/>
        </w:rPr>
        <w:t xml:space="preserve"> </w:t>
      </w:r>
      <w:r w:rsidRPr="00702488">
        <w:rPr>
          <w:i/>
          <w:iCs/>
        </w:rPr>
        <w:fldChar w:fldCharType="begin"/>
      </w:r>
      <w:r w:rsidR="001C3DA6">
        <w:rPr>
          <w:i/>
          <w:iCs/>
        </w:rPr>
        <w:instrText xml:space="preserve"> ADDIN ZOTERO_ITEM CSL_CITATION {"citationID":"9ftWbpDE","properties":{"formattedCitation":"(ESPON, 2018f)","plainCitation":"(ESPON, 2018f)","noteIndex":0},"citationItems":[{"id":2727,"uris":["http://zotero.org/groups/21774/items/FNKYDIYV"],"itemData":{"id":2727,"type":"report","event-place":"Luxembourg","publisher":"ESPON EGTC","publisher-place":"Luxembourg","title":"The Geography of New Employment Dynamics in Europe","URL":"https://www.espon.eu/employment","author":[{"family":"ESPON","given":""}],"accessed":{"date-parts":[["2020",12,11]]},"issued":{"date-parts":[["2018"]]}}}],"schema":"https://github.com/citation-style-language/schema/raw/master/csl-citation.json"} </w:instrText>
      </w:r>
      <w:r w:rsidRPr="00702488">
        <w:rPr>
          <w:i/>
          <w:iCs/>
        </w:rPr>
        <w:fldChar w:fldCharType="separate"/>
      </w:r>
      <w:r w:rsidR="001C3DA6" w:rsidRPr="001C3DA6">
        <w:rPr>
          <w:rFonts w:ascii="Arial" w:cs="Arial"/>
        </w:rPr>
        <w:t>(ESPON, 2018f)</w:t>
      </w:r>
      <w:r w:rsidRPr="00702488">
        <w:rPr>
          <w:i/>
          <w:iCs/>
        </w:rPr>
        <w:fldChar w:fldCharType="end"/>
      </w:r>
      <w:r w:rsidRPr="00702488">
        <w:rPr>
          <w:i/>
          <w:iCs/>
        </w:rPr>
        <w:t xml:space="preserve">. </w:t>
      </w:r>
    </w:p>
    <w:p w14:paraId="2F70A9F4" w14:textId="28E66DA9" w:rsidR="00E513AA" w:rsidRPr="00702488" w:rsidRDefault="00E513AA" w:rsidP="00E513AA">
      <w:pPr>
        <w:rPr>
          <w:szCs w:val="20"/>
        </w:rPr>
      </w:pPr>
      <w:r w:rsidRPr="00702488">
        <w:rPr>
          <w:b/>
          <w:bCs/>
        </w:rPr>
        <w:t>Danube pole of attraction</w:t>
      </w:r>
      <w:r w:rsidRPr="00702488">
        <w:t>. The shift to digitalisation has shifted the industrial focus of the Danube Region, creating</w:t>
      </w:r>
      <w:r w:rsidRPr="00702488">
        <w:rPr>
          <w:szCs w:val="20"/>
        </w:rPr>
        <w:t xml:space="preserve"> new innovation and digitalisation hubs. This shift has brought changes in human capital with the knowledge economy increasing </w:t>
      </w:r>
      <w:r>
        <w:rPr>
          <w:szCs w:val="20"/>
        </w:rPr>
        <w:t>requiring different</w:t>
      </w:r>
      <w:r w:rsidRPr="00702488">
        <w:rPr>
          <w:szCs w:val="20"/>
        </w:rPr>
        <w:t xml:space="preserve"> skills. </w:t>
      </w:r>
      <w:r w:rsidRPr="00702488">
        <w:rPr>
          <w:szCs w:val="20"/>
        </w:rPr>
        <w:fldChar w:fldCharType="begin"/>
      </w:r>
      <w:r w:rsidR="001C3DA6">
        <w:rPr>
          <w:szCs w:val="20"/>
        </w:rPr>
        <w:instrText xml:space="preserve"> ADDIN ZOTERO_ITEM CSL_CITATION {"citationID":"agju16pk5d","properties":{"formattedCitation":"(ESPON, 2018f)","plainCitation":"(ESPON, 2018f)","noteIndex":0},"citationItems":[{"id":2727,"uris":["http://zotero.org/groups/21774/items/FNKYDIYV"],"itemData":{"id":2727,"type":"report","event-place":"Luxembourg","publisher":"ESPON EGTC","publisher-place":"Luxembourg","title":"The Geography of New Employment Dynamics in Europe","URL":"https://www.espon.eu/employment","author":[{"family":"ESPON","given":""}],"accessed":{"date-parts":[["2020",12,11]]},"issued":{"date-parts":[["2018"]]}}}],"schema":"https://github.com/citation-style-language/schema/raw/master/csl-citation.json"} </w:instrText>
      </w:r>
      <w:r w:rsidRPr="00702488">
        <w:rPr>
          <w:szCs w:val="20"/>
        </w:rPr>
        <w:fldChar w:fldCharType="separate"/>
      </w:r>
      <w:r w:rsidR="001C3DA6" w:rsidRPr="001C3DA6">
        <w:rPr>
          <w:rFonts w:ascii="Arial" w:cs="Arial"/>
        </w:rPr>
        <w:t>(ESPON, 2018f)</w:t>
      </w:r>
      <w:r w:rsidRPr="00702488">
        <w:rPr>
          <w:szCs w:val="20"/>
        </w:rPr>
        <w:fldChar w:fldCharType="end"/>
      </w:r>
      <w:r w:rsidRPr="00702488">
        <w:rPr>
          <w:szCs w:val="20"/>
        </w:rPr>
        <w:t xml:space="preserve">. The knowledge economy is </w:t>
      </w:r>
      <w:r>
        <w:rPr>
          <w:szCs w:val="20"/>
        </w:rPr>
        <w:t>part of</w:t>
      </w:r>
      <w:r w:rsidRPr="00702488">
        <w:rPr>
          <w:szCs w:val="20"/>
        </w:rPr>
        <w:t xml:space="preserve"> high tech manufacturing, financial and business services, creative industries </w:t>
      </w:r>
      <w:r>
        <w:rPr>
          <w:szCs w:val="20"/>
        </w:rPr>
        <w:t>and</w:t>
      </w:r>
      <w:r w:rsidRPr="00702488">
        <w:rPr>
          <w:szCs w:val="20"/>
        </w:rPr>
        <w:t xml:space="preserve"> high-level scientific institutions, high</w:t>
      </w:r>
      <w:r>
        <w:rPr>
          <w:szCs w:val="20"/>
        </w:rPr>
        <w:t>er</w:t>
      </w:r>
      <w:r w:rsidRPr="00702488">
        <w:rPr>
          <w:szCs w:val="20"/>
        </w:rPr>
        <w:t xml:space="preserve"> education </w:t>
      </w:r>
      <w:r>
        <w:rPr>
          <w:szCs w:val="20"/>
        </w:rPr>
        <w:t>and</w:t>
      </w:r>
      <w:r w:rsidRPr="00702488">
        <w:rPr>
          <w:szCs w:val="20"/>
        </w:rPr>
        <w:t xml:space="preserve"> innovation </w:t>
      </w:r>
      <w:r w:rsidRPr="00702488">
        <w:rPr>
          <w:szCs w:val="20"/>
        </w:rPr>
        <w:fldChar w:fldCharType="begin"/>
      </w:r>
      <w:r w:rsidR="001C3DA6">
        <w:rPr>
          <w:szCs w:val="20"/>
        </w:rPr>
        <w:instrText xml:space="preserve"> ADDIN ZOTERO_ITEM CSL_CITATION {"citationID":"DdozDWG3","properties":{"formattedCitation":"(ESPON, 2018f)","plainCitation":"(ESPON, 2018f)","noteIndex":0},"citationItems":[{"id":2727,"uris":["http://zotero.org/groups/21774/items/FNKYDIYV"],"itemData":{"id":2727,"type":"report","event-place":"Luxembourg","publisher":"ESPON EGTC","publisher-place":"Luxembourg","title":"The Geography of New Employment Dynamics in Europe","URL":"https://www.espon.eu/employment","author":[{"family":"ESPON","given":""}],"accessed":{"date-parts":[["2020",12,11]]},"issued":{"date-parts":[["2018"]]}}}],"schema":"https://github.com/citation-style-language/schema/raw/master/csl-citation.json"} </w:instrText>
      </w:r>
      <w:r w:rsidRPr="00702488">
        <w:rPr>
          <w:szCs w:val="20"/>
        </w:rPr>
        <w:fldChar w:fldCharType="separate"/>
      </w:r>
      <w:r w:rsidR="001C3DA6" w:rsidRPr="001C3DA6">
        <w:rPr>
          <w:rFonts w:ascii="Arial" w:cs="Arial"/>
        </w:rPr>
        <w:t>(ESPON, 2018f)</w:t>
      </w:r>
      <w:r w:rsidRPr="00702488">
        <w:rPr>
          <w:szCs w:val="20"/>
        </w:rPr>
        <w:fldChar w:fldCharType="end"/>
      </w:r>
      <w:r w:rsidRPr="00702488">
        <w:rPr>
          <w:szCs w:val="20"/>
        </w:rPr>
        <w:t xml:space="preserve">. As a result, the Danube region has become a pole of attraction not only for business angels and investments, but also for skilled and educated people who move to the region by 2050. This counterbalances population </w:t>
      </w:r>
      <w:r>
        <w:rPr>
          <w:szCs w:val="20"/>
        </w:rPr>
        <w:t>decline in</w:t>
      </w:r>
      <w:r w:rsidRPr="00702488">
        <w:rPr>
          <w:szCs w:val="20"/>
        </w:rPr>
        <w:t xml:space="preserve"> the region</w:t>
      </w:r>
      <w:r>
        <w:rPr>
          <w:szCs w:val="20"/>
        </w:rPr>
        <w:t xml:space="preserve"> with</w:t>
      </w:r>
      <w:r w:rsidRPr="00702488">
        <w:rPr>
          <w:szCs w:val="20"/>
        </w:rPr>
        <w:t xml:space="preserve"> migration from other countries in Europe, as well as from shrinking regions to places where ‘innovation happens’. Smart shrinking approaches are applied where possible, changing the profile of regions and using them </w:t>
      </w:r>
      <w:r>
        <w:rPr>
          <w:szCs w:val="20"/>
        </w:rPr>
        <w:t>to facilitate</w:t>
      </w:r>
      <w:r w:rsidRPr="00702488">
        <w:rPr>
          <w:szCs w:val="20"/>
        </w:rPr>
        <w:t xml:space="preserve"> the digital transition</w:t>
      </w:r>
      <w:r>
        <w:rPr>
          <w:szCs w:val="20"/>
        </w:rPr>
        <w:t xml:space="preserve"> by</w:t>
      </w:r>
      <w:r w:rsidRPr="00702488">
        <w:rPr>
          <w:szCs w:val="20"/>
        </w:rPr>
        <w:t xml:space="preserve"> </w:t>
      </w:r>
      <w:r>
        <w:rPr>
          <w:szCs w:val="20"/>
        </w:rPr>
        <w:t>storing</w:t>
      </w:r>
      <w:r w:rsidRPr="00702488">
        <w:rPr>
          <w:szCs w:val="20"/>
        </w:rPr>
        <w:t xml:space="preserve"> data and servers. </w:t>
      </w:r>
    </w:p>
    <w:p w14:paraId="1034C824" w14:textId="13799A24" w:rsidR="00E513AA" w:rsidRPr="00702488" w:rsidRDefault="00E513AA" w:rsidP="00E513AA">
      <w:pPr>
        <w:rPr>
          <w:i/>
          <w:iCs/>
        </w:rPr>
      </w:pPr>
      <w:r w:rsidRPr="00702488">
        <w:rPr>
          <w:i/>
          <w:iCs/>
        </w:rPr>
        <w:t xml:space="preserve">With the Danube Region increasingly being a pole of attraction for human capital, regions </w:t>
      </w:r>
      <w:r>
        <w:rPr>
          <w:i/>
          <w:iCs/>
        </w:rPr>
        <w:t>with</w:t>
      </w:r>
      <w:r w:rsidRPr="00702488">
        <w:rPr>
          <w:i/>
          <w:iCs/>
        </w:rPr>
        <w:t xml:space="preserve"> high shares of people in the technology and knowledge </w:t>
      </w:r>
      <w:r>
        <w:rPr>
          <w:i/>
          <w:iCs/>
        </w:rPr>
        <w:t>businesses</w:t>
      </w:r>
      <w:r w:rsidRPr="00702488">
        <w:rPr>
          <w:i/>
          <w:iCs/>
        </w:rPr>
        <w:t xml:space="preserve"> continue </w:t>
      </w:r>
      <w:r>
        <w:rPr>
          <w:i/>
          <w:iCs/>
        </w:rPr>
        <w:t>to lead</w:t>
      </w:r>
      <w:r w:rsidRPr="00702488">
        <w:rPr>
          <w:i/>
          <w:iCs/>
        </w:rPr>
        <w:t xml:space="preserve"> by 2050. Examples are the Sofia region in Bulgaria, Nord-Vest region in Romania, parts of Slovenia, Jihovychod, Severovychod and Prague in </w:t>
      </w:r>
      <w:r>
        <w:rPr>
          <w:i/>
          <w:iCs/>
        </w:rPr>
        <w:t>Czechia</w:t>
      </w:r>
      <w:r w:rsidRPr="00702488">
        <w:rPr>
          <w:i/>
          <w:iCs/>
        </w:rPr>
        <w:t xml:space="preserve">, Budapest and Eszak-Magyarorszag in Hungary, south Germany, north of Croatia and Niederösterreich and Vienna in Austria </w:t>
      </w:r>
      <w:r w:rsidRPr="00702488">
        <w:rPr>
          <w:i/>
          <w:iCs/>
        </w:rPr>
        <w:fldChar w:fldCharType="begin"/>
      </w:r>
      <w:r w:rsidR="001C3DA6">
        <w:rPr>
          <w:i/>
          <w:iCs/>
        </w:rPr>
        <w:instrText xml:space="preserve"> ADDIN ZOTERO_ITEM CSL_CITATION {"citationID":"zmnDnJ2n","properties":{"formattedCitation":"(ESPON, 2018f)","plainCitation":"(ESPON, 2018f)","noteIndex":0},"citationItems":[{"id":2727,"uris":["http://zotero.org/groups/21774/items/FNKYDIYV"],"itemData":{"id":2727,"type":"report","event-place":"Luxembourg","publisher":"ESPON EGTC","publisher-place":"Luxembourg","title":"The Geography of New Employment Dynamics in Europe","URL":"https://www.espon.eu/employment","author":[{"family":"ESPON","given":""}],"accessed":{"date-parts":[["2020",12,11]]},"issued":{"date-parts":[["2018"]]}}}],"schema":"https://github.com/citation-style-language/schema/raw/master/csl-citation.json"} </w:instrText>
      </w:r>
      <w:r w:rsidRPr="00702488">
        <w:rPr>
          <w:i/>
          <w:iCs/>
        </w:rPr>
        <w:fldChar w:fldCharType="separate"/>
      </w:r>
      <w:r w:rsidR="001C3DA6" w:rsidRPr="001C3DA6">
        <w:rPr>
          <w:rFonts w:ascii="Arial" w:cs="Arial"/>
        </w:rPr>
        <w:t>(ESPON, 2018f)</w:t>
      </w:r>
      <w:r w:rsidRPr="00702488">
        <w:rPr>
          <w:i/>
          <w:iCs/>
        </w:rPr>
        <w:fldChar w:fldCharType="end"/>
      </w:r>
      <w:r w:rsidRPr="00702488">
        <w:rPr>
          <w:i/>
          <w:iCs/>
        </w:rPr>
        <w:t>.</w:t>
      </w:r>
    </w:p>
    <w:p w14:paraId="53EECB88" w14:textId="0BC105C4" w:rsidR="00E513AA" w:rsidRPr="00702488" w:rsidRDefault="00E513AA" w:rsidP="00E513AA">
      <w:r w:rsidRPr="00702488">
        <w:rPr>
          <w:b/>
          <w:bCs/>
        </w:rPr>
        <w:t>Growth, trade and consumerism</w:t>
      </w:r>
      <w:r w:rsidRPr="00702488">
        <w:t xml:space="preserve">. The enthronement of hyper-digitalisation in the Danube Region by 2050 has brought rapid production </w:t>
      </w:r>
      <w:r>
        <w:t>increases</w:t>
      </w:r>
      <w:r w:rsidRPr="00702488">
        <w:t xml:space="preserve">, increasing trade and growth. </w:t>
      </w:r>
      <w:r>
        <w:t>T</w:t>
      </w:r>
      <w:r w:rsidRPr="00702488">
        <w:t xml:space="preserve">he wide use of </w:t>
      </w:r>
      <w:r>
        <w:t>a</w:t>
      </w:r>
      <w:r w:rsidRPr="00702488">
        <w:t xml:space="preserve">rtificial </w:t>
      </w:r>
      <w:r>
        <w:t>i</w:t>
      </w:r>
      <w:r w:rsidRPr="00702488">
        <w:t>ntelligence has shaped product design</w:t>
      </w:r>
      <w:r>
        <w:t xml:space="preserve">, </w:t>
      </w:r>
      <w:r w:rsidRPr="00702488">
        <w:t>enabl</w:t>
      </w:r>
      <w:r>
        <w:t>ing</w:t>
      </w:r>
      <w:r w:rsidRPr="00702488">
        <w:t xml:space="preserve"> companies to move </w:t>
      </w:r>
      <w:r>
        <w:t xml:space="preserve">to personalised </w:t>
      </w:r>
      <w:r w:rsidRPr="00702488">
        <w:t xml:space="preserve">mass manufacturing. Products are specifically designed to match peoples’ needs based on big data analytics. </w:t>
      </w:r>
      <w:r>
        <w:t>Each</w:t>
      </w:r>
      <w:r w:rsidRPr="00702488">
        <w:t xml:space="preserve"> product is tailor-made to the preferences and earlier purchases of customers, making customised production a norm by 2050. Consumers are willing to pay more for personalised products, freely sharing their personal data with big companies for this purpose </w:t>
      </w:r>
      <w:r w:rsidRPr="00702488">
        <w:fldChar w:fldCharType="begin"/>
      </w:r>
      <w:r w:rsidR="001C3DA6">
        <w:instrText xml:space="preserve"> ADDIN ZOTERO_ITEM CSL_CITATION {"citationID":"a17vthpesnb","properties":{"formattedCitation":"(Luke, 2017)","plainCitation":"(Luke, 2017)","noteIndex":0},"citationItems":[{"id":8496,"uris":["http://zotero.org/groups/4075961/items/ED422KFX"],"itemData":{"id":8496,"type":"webpage","container-title":"Medium","title":"From mass production to mass personalisazation","URL":"https://hpmegatrends.com/from-mass-production-to-mass-personalization-1ad6746dc24d","author":[{"family":"Luke","given":"Thomas"}],"accessed":{"date-parts":[["2022",3,22]]},"issued":{"date-parts":[["2017",2,27]]}}}],"schema":"https://github.com/citation-style-language/schema/raw/master/csl-citation.json"} </w:instrText>
      </w:r>
      <w:r w:rsidRPr="00702488">
        <w:fldChar w:fldCharType="separate"/>
      </w:r>
      <w:r w:rsidR="001C3DA6" w:rsidRPr="001C3DA6">
        <w:rPr>
          <w:rFonts w:ascii="Arial" w:cs="Arial"/>
        </w:rPr>
        <w:t>(Luke, 2017)</w:t>
      </w:r>
      <w:r w:rsidRPr="00702488">
        <w:fldChar w:fldCharType="end"/>
      </w:r>
      <w:r w:rsidRPr="00702488">
        <w:t xml:space="preserve">. Putting the consumer more in charge of tailor-made products and services has resulted in an apogee of consumerism </w:t>
      </w:r>
      <w:r w:rsidRPr="00702488">
        <w:fldChar w:fldCharType="begin"/>
      </w:r>
      <w:r w:rsidR="001C3DA6">
        <w:instrText xml:space="preserve"> ADDIN ZOTERO_ITEM CSL_CITATION {"citationID":"a5p9jt69k0","properties":{"formattedCitation":"(Devarajan, 2017)","plainCitation":"(Devarajan, 2017)","noteIndex":0},"citationItems":[{"id":8497,"uris":["http://zotero.org/groups/4075961/items/S3G2PLWA"],"itemData":{"id":8497,"type":"webpage","container-title":"World Economic Forum","title":"Hyper-personalized manufacturing can drive inclusive growth - here's how.","URL":"https://www.weforum.org/agenda/2017/06/hyper-personalised-manufacturing-can-drive-inclusive-growth-heres-how/","author":[{"family":"Devarajan","given":"Vittal"}],"accessed":{"date-parts":[["2021",3,22]]},"issued":{"date-parts":[["2017",6,21]]}}}],"schema":"https://github.com/citation-style-language/schema/raw/master/csl-citation.json"} </w:instrText>
      </w:r>
      <w:r w:rsidRPr="00702488">
        <w:fldChar w:fldCharType="separate"/>
      </w:r>
      <w:r w:rsidR="001C3DA6" w:rsidRPr="001C3DA6">
        <w:rPr>
          <w:rFonts w:ascii="Arial" w:cs="Arial"/>
        </w:rPr>
        <w:t>(Devarajan, 2017)</w:t>
      </w:r>
      <w:r w:rsidRPr="00702488">
        <w:fldChar w:fldCharType="end"/>
      </w:r>
      <w:r w:rsidRPr="00702488">
        <w:t xml:space="preserve">. Certainly, that comes with challenges such as overexploitation of resources and pollution. To </w:t>
      </w:r>
      <w:r>
        <w:t xml:space="preserve">counter </w:t>
      </w:r>
      <w:r w:rsidRPr="00702488">
        <w:t>this, Pigouvian taxes</w:t>
      </w:r>
      <w:r w:rsidRPr="00F54737">
        <w:rPr>
          <w:rStyle w:val="FootnoteReference"/>
        </w:rPr>
        <w:footnoteReference w:id="5"/>
      </w:r>
      <w:r w:rsidRPr="00702488">
        <w:t xml:space="preserve"> have </w:t>
      </w:r>
      <w:r>
        <w:t>been raised</w:t>
      </w:r>
      <w:r w:rsidRPr="00702488">
        <w:t xml:space="preserve"> for companies</w:t>
      </w:r>
      <w:r>
        <w:t>. Also</w:t>
      </w:r>
      <w:r w:rsidRPr="00702488">
        <w:t xml:space="preserve">, </w:t>
      </w:r>
      <w:r>
        <w:t xml:space="preserve">a </w:t>
      </w:r>
      <w:r w:rsidRPr="00702488">
        <w:t xml:space="preserve">stronger circular economy and policies have been implemented in different places, as recycling has become more important. </w:t>
      </w:r>
    </w:p>
    <w:p w14:paraId="0B02F651" w14:textId="77CB3C6D" w:rsidR="00E513AA" w:rsidRPr="00702488" w:rsidRDefault="00E513AA" w:rsidP="00E513AA">
      <w:pPr>
        <w:pStyle w:val="BodyText"/>
        <w:rPr>
          <w:rFonts w:ascii="Arial" w:hAnsi="Arial" w:cs="Arial"/>
          <w:i/>
          <w:iCs/>
          <w:color w:val="000000" w:themeColor="text1"/>
        </w:rPr>
      </w:pPr>
      <w:r w:rsidRPr="00702488">
        <w:rPr>
          <w:rFonts w:ascii="Arial" w:hAnsi="Arial" w:cs="Arial"/>
          <w:i/>
          <w:iCs/>
          <w:color w:val="000000" w:themeColor="text1"/>
        </w:rPr>
        <w:t xml:space="preserve">Regions that produced </w:t>
      </w:r>
      <w:r>
        <w:rPr>
          <w:rFonts w:ascii="Arial" w:hAnsi="Arial" w:cs="Arial"/>
          <w:i/>
          <w:iCs/>
          <w:color w:val="000000" w:themeColor="text1"/>
        </w:rPr>
        <w:t>a lot of</w:t>
      </w:r>
      <w:r w:rsidRPr="00702488">
        <w:rPr>
          <w:rFonts w:ascii="Arial" w:hAnsi="Arial" w:cs="Arial"/>
          <w:i/>
          <w:iCs/>
          <w:color w:val="000000" w:themeColor="text1"/>
        </w:rPr>
        <w:t xml:space="preserve"> municipal waste, </w:t>
      </w:r>
      <w:r>
        <w:rPr>
          <w:rFonts w:ascii="Arial" w:hAnsi="Arial" w:cs="Arial"/>
          <w:i/>
          <w:iCs/>
          <w:color w:val="000000" w:themeColor="text1"/>
        </w:rPr>
        <w:t>but</w:t>
      </w:r>
      <w:r w:rsidRPr="00702488">
        <w:rPr>
          <w:rFonts w:ascii="Arial" w:hAnsi="Arial" w:cs="Arial"/>
          <w:i/>
          <w:iCs/>
          <w:color w:val="000000" w:themeColor="text1"/>
        </w:rPr>
        <w:t xml:space="preserve"> recycl</w:t>
      </w:r>
      <w:r>
        <w:rPr>
          <w:rFonts w:ascii="Arial" w:hAnsi="Arial" w:cs="Arial"/>
          <w:i/>
          <w:iCs/>
          <w:color w:val="000000" w:themeColor="text1"/>
        </w:rPr>
        <w:t>ed little</w:t>
      </w:r>
      <w:r w:rsidRPr="00702488">
        <w:rPr>
          <w:rFonts w:ascii="Arial" w:hAnsi="Arial" w:cs="Arial"/>
          <w:i/>
          <w:iCs/>
          <w:color w:val="000000" w:themeColor="text1"/>
        </w:rPr>
        <w:t xml:space="preserve"> fac</w:t>
      </w:r>
      <w:r>
        <w:rPr>
          <w:rFonts w:ascii="Arial" w:hAnsi="Arial" w:cs="Arial"/>
          <w:i/>
          <w:iCs/>
          <w:color w:val="000000" w:themeColor="text1"/>
        </w:rPr>
        <w:t>ed</w:t>
      </w:r>
      <w:r w:rsidRPr="00702488">
        <w:rPr>
          <w:rFonts w:ascii="Arial" w:hAnsi="Arial" w:cs="Arial"/>
          <w:i/>
          <w:iCs/>
          <w:color w:val="000000" w:themeColor="text1"/>
        </w:rPr>
        <w:t xml:space="preserve"> the biggest challenge </w:t>
      </w:r>
      <w:r>
        <w:rPr>
          <w:rFonts w:ascii="Arial" w:hAnsi="Arial" w:cs="Arial"/>
          <w:i/>
          <w:iCs/>
          <w:color w:val="000000" w:themeColor="text1"/>
        </w:rPr>
        <w:t>to</w:t>
      </w:r>
      <w:r w:rsidRPr="00702488">
        <w:rPr>
          <w:rFonts w:ascii="Arial" w:hAnsi="Arial" w:cs="Arial"/>
          <w:i/>
          <w:iCs/>
          <w:color w:val="000000" w:themeColor="text1"/>
        </w:rPr>
        <w:t xml:space="preserve"> guilt-free consumerism, </w:t>
      </w:r>
      <w:r>
        <w:rPr>
          <w:rFonts w:ascii="Arial" w:hAnsi="Arial" w:cs="Arial"/>
          <w:i/>
          <w:iCs/>
          <w:color w:val="000000" w:themeColor="text1"/>
        </w:rPr>
        <w:t>such as</w:t>
      </w:r>
      <w:r w:rsidRPr="00702488">
        <w:rPr>
          <w:rFonts w:ascii="Arial" w:hAnsi="Arial" w:cs="Arial"/>
          <w:i/>
          <w:iCs/>
          <w:color w:val="000000" w:themeColor="text1"/>
        </w:rPr>
        <w:t xml:space="preserve"> Tirol, Salzburg, Oberösterreich, Niederösterreich and Vienna in Austria, Kozep-Dunantul and Eszak-Alfold in Hungary, Jadranska region in Croatia and Severoiztochen and Yugoiztochen in Bulgaria. </w:t>
      </w:r>
      <w:r w:rsidRPr="00702488">
        <w:rPr>
          <w:rFonts w:ascii="Arial" w:hAnsi="Arial" w:cs="Arial"/>
          <w:i/>
          <w:iCs/>
          <w:color w:val="000000" w:themeColor="text1"/>
        </w:rPr>
        <w:fldChar w:fldCharType="begin"/>
      </w:r>
      <w:r w:rsidR="001C3DA6">
        <w:rPr>
          <w:rFonts w:ascii="Arial" w:hAnsi="Arial" w:cs="Arial"/>
          <w:i/>
          <w:iCs/>
          <w:color w:val="000000" w:themeColor="text1"/>
        </w:rPr>
        <w:instrText xml:space="preserve"> ADDIN ZOTERO_ITEM CSL_CITATION {"citationID":"a15ugst9qh","properties":{"formattedCitation":"(ESPON, 2018b)","plainCitation":"(ESPON, 2018b)","noteIndex":0},"citationItems":[{"id":719,"uris":["http://zotero.org/groups/21774/items/AAJZ5VKS"],"itemData":{"id":719,"type":"report","event-place":"Luxembourg","publisher":"ESPON","publisher-place":"Luxembourg","title":"Possible European Territorial Futures. Volume D – Place Based Circular Economy.","URL":"https://www.espon.eu/territorial-futures","author":[{"family":"ESPON","given":""}],"accessed":{"date-parts":[["2018",10,19]]},"issued":{"date-parts":[["2018"]]}}}],"schema":"https://github.com/citation-style-language/schema/raw/master/csl-citation.json"} </w:instrText>
      </w:r>
      <w:r w:rsidRPr="00702488">
        <w:rPr>
          <w:rFonts w:ascii="Arial" w:hAnsi="Arial" w:cs="Arial"/>
          <w:i/>
          <w:iCs/>
          <w:color w:val="000000" w:themeColor="text1"/>
        </w:rPr>
        <w:fldChar w:fldCharType="separate"/>
      </w:r>
      <w:r w:rsidR="001C3DA6" w:rsidRPr="001C3DA6">
        <w:rPr>
          <w:rFonts w:ascii="Arial" w:hAnsi="Arial" w:cs="Arial"/>
          <w:color w:val="000000"/>
        </w:rPr>
        <w:t>(ESPON, 2018b)</w:t>
      </w:r>
      <w:r w:rsidRPr="00702488">
        <w:rPr>
          <w:rFonts w:ascii="Arial" w:hAnsi="Arial" w:cs="Arial"/>
          <w:i/>
          <w:iCs/>
          <w:color w:val="000000" w:themeColor="text1"/>
        </w:rPr>
        <w:fldChar w:fldCharType="end"/>
      </w:r>
      <w:r w:rsidRPr="00702488">
        <w:rPr>
          <w:rFonts w:ascii="Arial" w:hAnsi="Arial" w:cs="Arial"/>
          <w:i/>
          <w:iCs/>
          <w:color w:val="000000" w:themeColor="text1"/>
        </w:rPr>
        <w:t xml:space="preserve">. </w:t>
      </w:r>
    </w:p>
    <w:p w14:paraId="2A3446F4" w14:textId="396381CE" w:rsidR="009B068F" w:rsidRPr="00702488" w:rsidRDefault="00E513AA" w:rsidP="00E513AA">
      <w:pPr>
        <w:pStyle w:val="BodyText"/>
        <w:rPr>
          <w:rFonts w:ascii="Arial" w:hAnsi="Arial" w:cs="Arial"/>
          <w:i/>
          <w:iCs/>
          <w:color w:val="000000" w:themeColor="text1"/>
        </w:rPr>
      </w:pPr>
      <w:r>
        <w:rPr>
          <w:rFonts w:ascii="Arial" w:hAnsi="Arial" w:cs="Arial"/>
          <w:i/>
          <w:iCs/>
          <w:color w:val="000000" w:themeColor="text1"/>
        </w:rPr>
        <w:t>C</w:t>
      </w:r>
      <w:r w:rsidRPr="00702488">
        <w:rPr>
          <w:rFonts w:ascii="Arial" w:hAnsi="Arial" w:cs="Arial"/>
          <w:i/>
          <w:iCs/>
          <w:color w:val="000000" w:themeColor="text1"/>
        </w:rPr>
        <w:t xml:space="preserve">onsumerism is often linked to GDP where Slovakia, Austria, Slovenia and Croatia </w:t>
      </w:r>
      <w:r>
        <w:rPr>
          <w:rFonts w:ascii="Arial" w:hAnsi="Arial" w:cs="Arial"/>
          <w:i/>
          <w:iCs/>
          <w:color w:val="000000" w:themeColor="text1"/>
        </w:rPr>
        <w:t>do</w:t>
      </w:r>
      <w:r w:rsidRPr="00702488">
        <w:rPr>
          <w:rFonts w:ascii="Arial" w:hAnsi="Arial" w:cs="Arial"/>
          <w:i/>
          <w:iCs/>
          <w:color w:val="000000" w:themeColor="text1"/>
        </w:rPr>
        <w:t xml:space="preserve"> best </w:t>
      </w:r>
      <w:r w:rsidRPr="00702488">
        <w:rPr>
          <w:rFonts w:ascii="Arial" w:hAnsi="Arial" w:cs="Arial"/>
          <w:i/>
          <w:iCs/>
          <w:color w:val="000000" w:themeColor="text1"/>
        </w:rPr>
        <w:fldChar w:fldCharType="begin"/>
      </w:r>
      <w:r w:rsidR="001C3DA6">
        <w:rPr>
          <w:rFonts w:ascii="Arial" w:hAnsi="Arial" w:cs="Arial"/>
          <w:i/>
          <w:iCs/>
          <w:color w:val="000000" w:themeColor="text1"/>
        </w:rPr>
        <w:instrText xml:space="preserve"> ADDIN ZOTERO_ITEM CSL_CITATION {"citationID":"psfb2hGa","properties":{"formattedCitation":"(ESPON, 2018b)","plainCitation":"(ESPON, 2018b)","noteIndex":0},"citationItems":[{"id":719,"uris":["http://zotero.org/groups/21774/items/AAJZ5VKS"],"itemData":{"id":719,"type":"report","event-place":"Luxembourg","publisher":"ESPON","publisher-place":"Luxembourg","title":"Possible European Territorial Futures. Volume D – Place Based Circular Economy.","URL":"https://www.espon.eu/territorial-futures","author":[{"family":"ESPON","given":""}],"accessed":{"date-parts":[["2018",10,19]]},"issued":{"date-parts":[["2018"]]}}}],"schema":"https://github.com/citation-style-language/schema/raw/master/csl-citation.json"} </w:instrText>
      </w:r>
      <w:r w:rsidRPr="00702488">
        <w:rPr>
          <w:rFonts w:ascii="Arial" w:hAnsi="Arial" w:cs="Arial"/>
          <w:i/>
          <w:iCs/>
          <w:color w:val="000000" w:themeColor="text1"/>
        </w:rPr>
        <w:fldChar w:fldCharType="separate"/>
      </w:r>
      <w:r w:rsidR="001C3DA6" w:rsidRPr="001C3DA6">
        <w:rPr>
          <w:rFonts w:ascii="Arial" w:hAnsi="Arial" w:cs="Arial"/>
          <w:color w:val="000000"/>
        </w:rPr>
        <w:t>(ESPON, 2018b)</w:t>
      </w:r>
      <w:r w:rsidRPr="00702488">
        <w:rPr>
          <w:rFonts w:ascii="Arial" w:hAnsi="Arial" w:cs="Arial"/>
          <w:i/>
          <w:iCs/>
          <w:color w:val="000000" w:themeColor="text1"/>
        </w:rPr>
        <w:fldChar w:fldCharType="end"/>
      </w:r>
      <w:r w:rsidRPr="00702488">
        <w:rPr>
          <w:rFonts w:ascii="Arial" w:hAnsi="Arial" w:cs="Arial"/>
          <w:i/>
          <w:iCs/>
          <w:color w:val="000000" w:themeColor="text1"/>
        </w:rPr>
        <w:t>.</w:t>
      </w:r>
    </w:p>
    <w:p w14:paraId="4DCD0CE9" w14:textId="1302F855" w:rsidR="00C55587" w:rsidRPr="00702488" w:rsidRDefault="00C55587" w:rsidP="00C55587">
      <w:pPr>
        <w:pStyle w:val="BodyText"/>
      </w:pPr>
      <w:r w:rsidRPr="00702488">
        <w:rPr>
          <w:b/>
          <w:bCs/>
        </w:rPr>
        <w:t>Keeping the environment clean and tidy</w:t>
      </w:r>
      <w:r w:rsidRPr="00702488">
        <w:t xml:space="preserve">. Technological advancements have been pivotal in keeping </w:t>
      </w:r>
      <w:r>
        <w:t>to</w:t>
      </w:r>
      <w:r w:rsidRPr="00702488">
        <w:t xml:space="preserve"> EU environmental standards </w:t>
      </w:r>
      <w:r>
        <w:t>as much as</w:t>
      </w:r>
      <w:r w:rsidRPr="00702488">
        <w:t xml:space="preserve"> possible. Technologies such as carbon capture, </w:t>
      </w:r>
      <w:r>
        <w:t>use</w:t>
      </w:r>
      <w:r w:rsidRPr="00702488">
        <w:t xml:space="preserve"> and storage and better use of digital centres </w:t>
      </w:r>
      <w:r>
        <w:t>have been</w:t>
      </w:r>
      <w:r w:rsidRPr="00702488">
        <w:t xml:space="preserve"> tested in the Danube region by 2050. Investing in green technology and supporting recycling processes helps reduc</w:t>
      </w:r>
      <w:r>
        <w:t>e</w:t>
      </w:r>
      <w:r w:rsidRPr="00702488">
        <w:t xml:space="preserve"> CO</w:t>
      </w:r>
      <w:r w:rsidRPr="00702488">
        <w:rPr>
          <w:vertAlign w:val="subscript"/>
        </w:rPr>
        <w:t>2</w:t>
      </w:r>
      <w:r w:rsidRPr="00702488">
        <w:t xml:space="preserve"> emissions and waste. Nevertheless, as economic objectives prevail, sustainable development is not always a priority, with </w:t>
      </w:r>
      <w:r>
        <w:t xml:space="preserve">frequent </w:t>
      </w:r>
      <w:r w:rsidRPr="00702488">
        <w:t xml:space="preserve">greenwashing. EU policies to reduce single use plastics, as well as circular economy approaches reduce pollution and waste. </w:t>
      </w:r>
      <w:r>
        <w:t>Also</w:t>
      </w:r>
      <w:r w:rsidRPr="00702488">
        <w:t xml:space="preserve">, </w:t>
      </w:r>
      <w:r>
        <w:t xml:space="preserve">new </w:t>
      </w:r>
      <w:r w:rsidRPr="00702488">
        <w:t xml:space="preserve">technological discoveries support recycling and waste reduction. The discovery of recyclable thermoset plastics, for instance, where polymers can be </w:t>
      </w:r>
      <w:r>
        <w:t>reformed</w:t>
      </w:r>
      <w:r w:rsidRPr="00702488">
        <w:t xml:space="preserve"> multiple times and turned into new products can reduce landfill substantially </w:t>
      </w:r>
      <w:r w:rsidRPr="00702488">
        <w:fldChar w:fldCharType="begin"/>
      </w:r>
      <w:r w:rsidR="001C3DA6">
        <w:instrText xml:space="preserve"> ADDIN ZOTERO_ITEM CSL_CITATION {"citationID":"a2o00qsg12d","properties":{"formattedCitation":"(World Economic Forum, 2015)","plainCitation":"(World Economic Forum, 2015)","noteIndex":0},"citationItems":[{"id":615,"uris":["http://zotero.org/groups/21774/items/NPE6JJ2E"],"itemData":{"id":615,"type":"report","publisher":"World Economic Forum","title":"Top 10 Emerging Technologies of 2015","author":[{"literal":"World Economic Forum"}],"issued":{"date-parts":[["2015"]]}}}],"schema":"https://github.com/citation-style-language/schema/raw/master/csl-citation.json"} </w:instrText>
      </w:r>
      <w:r w:rsidRPr="00702488">
        <w:fldChar w:fldCharType="separate"/>
      </w:r>
      <w:r w:rsidR="001C3DA6" w:rsidRPr="001C3DA6">
        <w:rPr>
          <w:rFonts w:ascii="Arial" w:cs="Arial"/>
        </w:rPr>
        <w:t>(World Economic Forum, 2015)</w:t>
      </w:r>
      <w:r w:rsidRPr="00702488">
        <w:fldChar w:fldCharType="end"/>
      </w:r>
      <w:r w:rsidRPr="00702488">
        <w:t xml:space="preserve">. </w:t>
      </w:r>
    </w:p>
    <w:p w14:paraId="4E75384F" w14:textId="5ED57FBF" w:rsidR="00C55587" w:rsidRPr="00702488" w:rsidRDefault="00C55587" w:rsidP="00C55587">
      <w:pPr>
        <w:pStyle w:val="BodyText"/>
      </w:pPr>
      <w:r w:rsidRPr="00702488">
        <w:t>Digital decarbonisation has also been a priority</w:t>
      </w:r>
      <w:r>
        <w:t>, including recycling</w:t>
      </w:r>
      <w:r w:rsidRPr="00702488">
        <w:t xml:space="preserve"> electronic waste, </w:t>
      </w:r>
      <w:r>
        <w:t>as well as encouraging</w:t>
      </w:r>
      <w:r w:rsidRPr="00702488">
        <w:t xml:space="preserve"> robust, longer lasting and better quality products </w:t>
      </w:r>
      <w:r w:rsidRPr="00702488">
        <w:rPr>
          <w:szCs w:val="20"/>
        </w:rPr>
        <w:fldChar w:fldCharType="begin"/>
      </w:r>
      <w:r w:rsidR="001C3DA6">
        <w:rPr>
          <w:szCs w:val="20"/>
        </w:rPr>
        <w:instrText xml:space="preserve"> ADDIN ZOTERO_ITEM CSL_CITATION {"citationID":"wh42l2Yn","properties":{"formattedCitation":"(European Commission, 2020c)","plainCitation":"(European Commission, 2020c)","noteIndex":0},"citationItems":[{"id":8038,"uris":["http://zotero.org/groups/4075961/items/PKV4YS87"],"itemData":{"id":8038,"type":"document","title":"What's in it for me. Shaping Europe's digital future","author":[{"family":"European Commission","given":""}],"issued":{"date-parts":[["2020",2]]}}}],"schema":"https://github.com/citation-style-language/schema/raw/master/csl-citation.json"} </w:instrText>
      </w:r>
      <w:r w:rsidRPr="00702488">
        <w:rPr>
          <w:szCs w:val="20"/>
        </w:rPr>
        <w:fldChar w:fldCharType="separate"/>
      </w:r>
      <w:r w:rsidR="001C3DA6">
        <w:rPr>
          <w:noProof/>
          <w:szCs w:val="20"/>
        </w:rPr>
        <w:t>(European Commission, 2020c)</w:t>
      </w:r>
      <w:r w:rsidRPr="00702488">
        <w:rPr>
          <w:szCs w:val="20"/>
        </w:rPr>
        <w:fldChar w:fldCharType="end"/>
      </w:r>
      <w:r w:rsidRPr="00702488">
        <w:t xml:space="preserve">. In addition, increasing compatibility across devices, </w:t>
      </w:r>
      <w:r>
        <w:t>including</w:t>
      </w:r>
      <w:r w:rsidRPr="00702488">
        <w:t xml:space="preserve"> chargers has also gradually reduc</w:t>
      </w:r>
      <w:r>
        <w:t>ed</w:t>
      </w:r>
      <w:r w:rsidRPr="00702488">
        <w:t xml:space="preserve"> waste, while tracking emissions and using clean energy also contribute </w:t>
      </w:r>
      <w:r w:rsidRPr="00702488">
        <w:fldChar w:fldCharType="begin"/>
      </w:r>
      <w:r w:rsidR="001C3DA6">
        <w:instrText xml:space="preserve"> ADDIN ZOTERO_ITEM CSL_CITATION {"citationID":"a1tum0lukqf","properties":{"formattedCitation":"(Hughes, 2021)","plainCitation":"(Hughes, 2021)","noteIndex":0},"citationItems":[{"id":8498,"uris":["http://zotero.org/groups/4075961/items/C8KUNQQZ"],"itemData":{"id":8498,"type":"webpage","container-title":"Forbes","title":"Digital Waste doesn't have to undermine technology's status as a force for good","URL":"https://www.forbes.com/sites/mikehughes1/2021/08/31/digital-waste-doesnt-have-to-undermine-technologys-status-as-a-force-for-good/?sh=398737f64194","author":[{"family":"Hughes","given":"Mike"}],"accessed":{"date-parts":[["2022",3,22]]},"issued":{"date-parts":[["2021",8,31]]}}}],"schema":"https://github.com/citation-style-language/schema/raw/master/csl-citation.json"} </w:instrText>
      </w:r>
      <w:r w:rsidRPr="00702488">
        <w:fldChar w:fldCharType="separate"/>
      </w:r>
      <w:r w:rsidR="001C3DA6" w:rsidRPr="001C3DA6">
        <w:rPr>
          <w:rFonts w:ascii="Arial" w:cs="Arial"/>
        </w:rPr>
        <w:t>(Hughes, 2021)</w:t>
      </w:r>
      <w:r w:rsidRPr="00702488">
        <w:fldChar w:fldCharType="end"/>
      </w:r>
      <w:r w:rsidRPr="00702488">
        <w:t xml:space="preserve">. </w:t>
      </w:r>
    </w:p>
    <w:p w14:paraId="01FE1D99" w14:textId="2F46109B" w:rsidR="00C55587" w:rsidRPr="00702488" w:rsidRDefault="00C55587" w:rsidP="00C55587">
      <w:pPr>
        <w:pStyle w:val="BodyText"/>
        <w:rPr>
          <w:i/>
          <w:iCs/>
        </w:rPr>
      </w:pPr>
      <w:r w:rsidRPr="00702488">
        <w:rPr>
          <w:i/>
          <w:iCs/>
        </w:rPr>
        <w:t xml:space="preserve">Places that have invested in green technology </w:t>
      </w:r>
      <w:r>
        <w:rPr>
          <w:i/>
          <w:iCs/>
        </w:rPr>
        <w:t>can</w:t>
      </w:r>
      <w:r w:rsidRPr="00702488">
        <w:rPr>
          <w:i/>
          <w:iCs/>
        </w:rPr>
        <w:t xml:space="preserve"> be frontrunners in climate change adaptation. At the same time, industrial regions, highly depend</w:t>
      </w:r>
      <w:r>
        <w:rPr>
          <w:i/>
          <w:iCs/>
        </w:rPr>
        <w:t>ent</w:t>
      </w:r>
      <w:r w:rsidRPr="00702488">
        <w:rPr>
          <w:i/>
          <w:iCs/>
        </w:rPr>
        <w:t xml:space="preserve"> on coal with little transition to cleaner environmental policies may face more challenges in the future. </w:t>
      </w:r>
      <w:r>
        <w:rPr>
          <w:i/>
          <w:iCs/>
        </w:rPr>
        <w:t>G</w:t>
      </w:r>
      <w:r w:rsidRPr="00702488">
        <w:rPr>
          <w:i/>
          <w:iCs/>
        </w:rPr>
        <w:t>reen infrastructure could be found already in 2013 in most regions in Slovenia and Croatia, north and central Romania, east</w:t>
      </w:r>
      <w:r>
        <w:rPr>
          <w:i/>
          <w:iCs/>
        </w:rPr>
        <w:t>ern</w:t>
      </w:r>
      <w:r w:rsidRPr="00702488">
        <w:rPr>
          <w:i/>
          <w:iCs/>
        </w:rPr>
        <w:t>, central and south</w:t>
      </w:r>
      <w:r>
        <w:rPr>
          <w:i/>
          <w:iCs/>
        </w:rPr>
        <w:t>ern</w:t>
      </w:r>
      <w:r w:rsidRPr="00702488">
        <w:rPr>
          <w:i/>
          <w:iCs/>
        </w:rPr>
        <w:t xml:space="preserve"> parts of Bulgaria, in Montenegro and Bosnia and Herzegovina, in Vienna, parts of south-east Germany and central and east Slovakia </w:t>
      </w:r>
      <w:r w:rsidRPr="00702488">
        <w:rPr>
          <w:i/>
          <w:iCs/>
        </w:rPr>
        <w:fldChar w:fldCharType="begin"/>
      </w:r>
      <w:r w:rsidR="001C3DA6">
        <w:rPr>
          <w:i/>
          <w:iCs/>
        </w:rPr>
        <w:instrText xml:space="preserve"> ADDIN ZOTERO_ITEM CSL_CITATION {"citationID":"a1rqih2gkuf","properties":{"formattedCitation":"(ESPON, 2019b)","plainCitation":"(ESPON, 2019b)","noteIndex":0},"citationItems":[{"id":67,"uris":["http://zotero.org/groups/21774/items/BPCX7TJV"],"itemData":{"id":67,"type":"document","publisher":"ESPON EGTC","title":"State of the European Territory","URL":"https://soet.espon.eu/#","author":[{"family":"ESPON","given":""}],"accessed":{"date-parts":[["2021",6,30]]},"issued":{"date-parts":[["2019"]]}}}],"schema":"https://github.com/citation-style-language/schema/raw/master/csl-citation.json"} </w:instrText>
      </w:r>
      <w:r w:rsidRPr="00702488">
        <w:rPr>
          <w:i/>
          <w:iCs/>
        </w:rPr>
        <w:fldChar w:fldCharType="separate"/>
      </w:r>
      <w:r w:rsidR="001C3DA6" w:rsidRPr="001C3DA6">
        <w:rPr>
          <w:rFonts w:ascii="Arial" w:cs="Arial"/>
        </w:rPr>
        <w:t>(ESPON, 2019b)</w:t>
      </w:r>
      <w:r w:rsidRPr="00702488">
        <w:rPr>
          <w:i/>
          <w:iCs/>
        </w:rPr>
        <w:fldChar w:fldCharType="end"/>
      </w:r>
      <w:r w:rsidRPr="00702488">
        <w:rPr>
          <w:i/>
          <w:iCs/>
        </w:rPr>
        <w:t>.</w:t>
      </w:r>
    </w:p>
    <w:p w14:paraId="0CC22378" w14:textId="0706F1B2" w:rsidR="00C55587" w:rsidRPr="00702488" w:rsidRDefault="00C55587" w:rsidP="00C55587">
      <w:r w:rsidRPr="00702488">
        <w:rPr>
          <w:b/>
          <w:bCs/>
        </w:rPr>
        <w:t>Welcome to meta(verse)</w:t>
      </w:r>
      <w:r w:rsidRPr="00702488">
        <w:t xml:space="preserve">. </w:t>
      </w:r>
      <w:r w:rsidRPr="00702488">
        <w:rPr>
          <w:b/>
          <w:bCs/>
        </w:rPr>
        <w:t>Caught in virtual reality.</w:t>
      </w:r>
      <w:r w:rsidRPr="00702488">
        <w:t xml:space="preserve"> Hyper-digitalisation has also </w:t>
      </w:r>
      <w:r>
        <w:t>a</w:t>
      </w:r>
      <w:r w:rsidRPr="00702488">
        <w:t>ffect</w:t>
      </w:r>
      <w:r>
        <w:t>ed</w:t>
      </w:r>
      <w:r w:rsidRPr="00702488">
        <w:t xml:space="preserve"> peoples’ social lives. By 2050 the Danube Region has become a pioneer in using the metaverse</w:t>
      </w:r>
      <w:r>
        <w:t>,</w:t>
      </w:r>
      <w:r w:rsidRPr="00702488">
        <w:t xml:space="preserve"> whose first steps date back to the 2020s</w:t>
      </w:r>
      <w:r>
        <w:t>. O</w:t>
      </w:r>
      <w:r w:rsidRPr="00702488">
        <w:t xml:space="preserve">ver the next decades </w:t>
      </w:r>
      <w:r>
        <w:t xml:space="preserve">this </w:t>
      </w:r>
      <w:r w:rsidRPr="00702488">
        <w:t xml:space="preserve">evolved into </w:t>
      </w:r>
      <w:r>
        <w:t>a major</w:t>
      </w:r>
      <w:r w:rsidRPr="00702488">
        <w:t xml:space="preserve"> tool for social communication. The metaverse is a digital environment platform mingling with real life built </w:t>
      </w:r>
      <w:r>
        <w:t>on</w:t>
      </w:r>
      <w:r w:rsidRPr="00702488">
        <w:t xml:space="preserve"> two key ideas, virtual reality and digital second life </w:t>
      </w:r>
      <w:r w:rsidRPr="00702488">
        <w:fldChar w:fldCharType="begin"/>
      </w:r>
      <w:r w:rsidR="001C3DA6">
        <w:instrText xml:space="preserve"> ADDIN ZOTERO_ITEM CSL_CITATION {"citationID":"a2hqobehrup","properties":{"formattedCitation":"(Chen, 2022)","plainCitation":"(Chen, 2022)","noteIndex":0},"citationItems":[{"id":8499,"uris":["http://zotero.org/groups/4075961/items/45GKT6LR"],"itemData":{"id":8499,"type":"webpage","container-title":"The New York Times","title":"What's all the hype about the metaverse?","URL":"https://www.nytimes.com/2022/01/18/technology/personaltech/metaverse-gaming-definition.html","author":[{"family":"Chen","given":"X. Brian"}],"accessed":{"date-parts":[["2022",3,22]]},"issued":{"date-parts":[["2022",1,18]]}}}],"schema":"https://github.com/citation-style-language/schema/raw/master/csl-citation.json"} </w:instrText>
      </w:r>
      <w:r w:rsidRPr="00702488">
        <w:fldChar w:fldCharType="separate"/>
      </w:r>
      <w:r w:rsidR="001C3DA6" w:rsidRPr="001C3DA6">
        <w:rPr>
          <w:rFonts w:ascii="Arial" w:cs="Arial"/>
        </w:rPr>
        <w:t>(Chen, 2022)</w:t>
      </w:r>
      <w:r w:rsidRPr="00702488">
        <w:fldChar w:fldCharType="end"/>
      </w:r>
      <w:r w:rsidRPr="00702488">
        <w:t xml:space="preserve">. In the metaverse, </w:t>
      </w:r>
      <w:r>
        <w:t>access is not through a</w:t>
      </w:r>
      <w:r w:rsidRPr="00702488">
        <w:t xml:space="preserve"> computer, but rather through virtual reality glasses and special sensors, </w:t>
      </w:r>
      <w:r>
        <w:t>as</w:t>
      </w:r>
      <w:r w:rsidRPr="00702488">
        <w:t xml:space="preserve"> a virtual avatar </w:t>
      </w:r>
      <w:r w:rsidRPr="00702488">
        <w:fldChar w:fldCharType="begin"/>
      </w:r>
      <w:r w:rsidR="001C3DA6">
        <w:instrText xml:space="preserve"> ADDIN ZOTERO_ITEM CSL_CITATION {"citationID":"fCqkFrnZ","properties":{"formattedCitation":"(Chen, 2022)","plainCitation":"(Chen, 2022)","noteIndex":0},"citationItems":[{"id":8499,"uris":["http://zotero.org/groups/4075961/items/45GKT6LR"],"itemData":{"id":8499,"type":"webpage","container-title":"The New York Times","title":"What's all the hype about the metaverse?","URL":"https://www.nytimes.com/2022/01/18/technology/personaltech/metaverse-gaming-definition.html","author":[{"family":"Chen","given":"X. Brian"}],"accessed":{"date-parts":[["2022",3,22]]},"issued":{"date-parts":[["2022",1,18]]}}}],"schema":"https://github.com/citation-style-language/schema/raw/master/csl-citation.json"} </w:instrText>
      </w:r>
      <w:r w:rsidRPr="00702488">
        <w:fldChar w:fldCharType="separate"/>
      </w:r>
      <w:r w:rsidR="001C3DA6" w:rsidRPr="001C3DA6">
        <w:rPr>
          <w:rFonts w:ascii="Arial" w:cs="Arial"/>
        </w:rPr>
        <w:t>(Chen, 2022)</w:t>
      </w:r>
      <w:r w:rsidRPr="00702488">
        <w:fldChar w:fldCharType="end"/>
      </w:r>
      <w:r w:rsidRPr="00702488">
        <w:t xml:space="preserve">. </w:t>
      </w:r>
    </w:p>
    <w:p w14:paraId="0ED75E82" w14:textId="190B0649" w:rsidR="00C55587" w:rsidRPr="00702488" w:rsidRDefault="00C55587" w:rsidP="00C55587">
      <w:r>
        <w:t>The</w:t>
      </w:r>
      <w:r w:rsidRPr="00702488">
        <w:t xml:space="preserve"> metaverse has been used for telepresence working </w:t>
      </w:r>
      <w:r w:rsidRPr="00702488">
        <w:fldChar w:fldCharType="begin"/>
      </w:r>
      <w:r w:rsidR="001C3DA6">
        <w:instrText xml:space="preserve"> ADDIN ZOTERO_ITEM CSL_CITATION {"citationID":"a1htkcbjljk","properties":{"formattedCitation":"(World Economic Forum, 2019)","plainCitation":"(World Economic Forum, 2019)","noteIndex":0},"citationItems":[{"id":614,"uris":["http://zotero.org/groups/21774/items/S8Y9YL7W"],"itemData":{"id":614,"type":"document","title":"Top 10 Emerging Technologies 2019","author":[{"family":"World Economic Forum","given":""}],"issued":{"date-parts":[["2019",6]]}}}],"schema":"https://github.com/citation-style-language/schema/raw/master/csl-citation.json"} </w:instrText>
      </w:r>
      <w:r w:rsidRPr="00702488">
        <w:fldChar w:fldCharType="separate"/>
      </w:r>
      <w:r w:rsidR="001C3DA6" w:rsidRPr="001C3DA6">
        <w:rPr>
          <w:rFonts w:ascii="Arial" w:cs="Arial"/>
        </w:rPr>
        <w:t>(World Economic Forum, 2019)</w:t>
      </w:r>
      <w:r w:rsidRPr="00702488">
        <w:fldChar w:fldCharType="end"/>
      </w:r>
      <w:r w:rsidRPr="00702488">
        <w:t xml:space="preserve">. </w:t>
      </w:r>
      <w:r>
        <w:t>There are fewer b</w:t>
      </w:r>
      <w:r w:rsidRPr="00702488">
        <w:t xml:space="preserve">usiness trips, as people to meet in virtual offices and meeting rooms. </w:t>
      </w:r>
      <w:r>
        <w:t>M</w:t>
      </w:r>
      <w:r w:rsidRPr="00702488">
        <w:t xml:space="preserve">ost services </w:t>
      </w:r>
      <w:r>
        <w:t>have become</w:t>
      </w:r>
      <w:r w:rsidRPr="00702488">
        <w:t xml:space="preserve"> e-services</w:t>
      </w:r>
      <w:r>
        <w:t>,</w:t>
      </w:r>
      <w:r w:rsidRPr="00702488">
        <w:t xml:space="preserve"> </w:t>
      </w:r>
      <w:r>
        <w:t>most</w:t>
      </w:r>
      <w:r w:rsidRPr="00702488">
        <w:t xml:space="preserve"> people </w:t>
      </w:r>
      <w:r>
        <w:t>are</w:t>
      </w:r>
      <w:r w:rsidRPr="00702488">
        <w:t xml:space="preserve"> digital natives</w:t>
      </w:r>
      <w:r>
        <w:t xml:space="preserve"> and</w:t>
      </w:r>
      <w:r w:rsidRPr="00702488">
        <w:t xml:space="preserve"> new </w:t>
      </w:r>
      <w:r>
        <w:t xml:space="preserve">job </w:t>
      </w:r>
      <w:r w:rsidRPr="00702488">
        <w:t xml:space="preserve">opportunities have emerged in the metaverse. People travel less for work and despite different incentives to return to the office, employees work mainly from home in their virtual work environment, which allows some real-time interaction. </w:t>
      </w:r>
    </w:p>
    <w:p w14:paraId="77515643" w14:textId="77777777" w:rsidR="00C55587" w:rsidRPr="00702488" w:rsidRDefault="00C55587" w:rsidP="00C55587">
      <w:r w:rsidRPr="00702488">
        <w:t xml:space="preserve">This technological shift has </w:t>
      </w:r>
      <w:r>
        <w:t xml:space="preserve">greatly </w:t>
      </w:r>
      <w:r w:rsidRPr="00702488">
        <w:t>influenced social life. Augmented and virtual reality has become mainstream allowing people to meet in virtual homes or bars</w:t>
      </w:r>
      <w:r>
        <w:t>,</w:t>
      </w:r>
      <w:r w:rsidRPr="00702488">
        <w:t xml:space="preserve"> to play games in a virtual reality format, participate in global e-sports events, as well as attend virtual concerts. Real and virtual lives are blended with people socialising in multiple ways. </w:t>
      </w:r>
    </w:p>
    <w:p w14:paraId="06675060" w14:textId="75E66BE0" w:rsidR="00C55587" w:rsidRPr="00702488" w:rsidRDefault="00C55587" w:rsidP="00C55587">
      <w:r w:rsidRPr="00702488">
        <w:t xml:space="preserve">Nevertheless, </w:t>
      </w:r>
      <w:r>
        <w:t xml:space="preserve">the </w:t>
      </w:r>
      <w:r w:rsidRPr="00702488">
        <w:t xml:space="preserve">metaverse has not only influenced social life. </w:t>
      </w:r>
      <w:r>
        <w:t>It</w:t>
      </w:r>
      <w:r w:rsidRPr="00702488">
        <w:t xml:space="preserve"> is also a place for trade, investment and leisure. First indications of such a change were already popping up </w:t>
      </w:r>
      <w:r>
        <w:t>in</w:t>
      </w:r>
      <w:r w:rsidRPr="00702488">
        <w:t xml:space="preserve"> the 2020s regarding buying propert</w:t>
      </w:r>
      <w:r>
        <w:t>y</w:t>
      </w:r>
      <w:r w:rsidRPr="00702488">
        <w:t xml:space="preserve"> and land in the metaverse through virtual estate agencies. </w:t>
      </w:r>
      <w:r>
        <w:t>T</w:t>
      </w:r>
      <w:r w:rsidRPr="00702488">
        <w:t xml:space="preserve">his new virtual world has also affected blockchain technology, which increased over the years and in some case has been legitimised. The trend of non-fungible tokens (NFTs) which </w:t>
      </w:r>
      <w:r>
        <w:t>is</w:t>
      </w:r>
      <w:r w:rsidRPr="00702488">
        <w:t xml:space="preserve"> also based on blockchain technology, has become more commonplace, changing trade relations </w:t>
      </w:r>
      <w:r w:rsidRPr="00702488">
        <w:fldChar w:fldCharType="begin"/>
      </w:r>
      <w:r w:rsidR="001C3DA6">
        <w:instrText xml:space="preserve"> ADDIN ZOTERO_ITEM CSL_CITATION {"citationID":"a251niq8a4u","properties":{"formattedCitation":"(The Economist, 2021a)","plainCitation":"(The Economist, 2021a)","noteIndex":0},"citationItems":[{"id":8500,"uris":["http://zotero.org/groups/4075961/items/AFR73AHW"],"itemData":{"id":8500,"type":"webpage","container-title":"The Economist","title":"What is an NFT?","URL":"https://www.economist.com/the-economist-explains/2021/10/12/what-is-an-nft","author":[{"family":"The Economist","given":""}],"accessed":{"date-parts":[["2022",3,22]]},"issued":{"date-parts":[["2021",10,12]]}}}],"schema":"https://github.com/citation-style-language/schema/raw/master/csl-citation.json"} </w:instrText>
      </w:r>
      <w:r w:rsidRPr="00702488">
        <w:fldChar w:fldCharType="separate"/>
      </w:r>
      <w:r w:rsidR="001C3DA6" w:rsidRPr="001C3DA6">
        <w:rPr>
          <w:rFonts w:ascii="Arial" w:cs="Arial"/>
        </w:rPr>
        <w:t>(The Economist, 2021a)</w:t>
      </w:r>
      <w:r w:rsidRPr="00702488">
        <w:fldChar w:fldCharType="end"/>
      </w:r>
      <w:r w:rsidRPr="00702488">
        <w:t xml:space="preserve">. </w:t>
      </w:r>
    </w:p>
    <w:p w14:paraId="448330B1" w14:textId="77777777" w:rsidR="00C55587" w:rsidRPr="00702488" w:rsidRDefault="00C55587" w:rsidP="00C55587">
      <w:r w:rsidRPr="00702488">
        <w:t xml:space="preserve">Living the life of an avatar has taken social media to a new level. </w:t>
      </w:r>
      <w:r>
        <w:t>I</w:t>
      </w:r>
      <w:r w:rsidRPr="00702488">
        <w:t xml:space="preserve">ncreasing use by 2050 has turned them into the key </w:t>
      </w:r>
      <w:r>
        <w:t>source of</w:t>
      </w:r>
      <w:r w:rsidRPr="00702488">
        <w:t xml:space="preserve"> free, uncensored information by 2050. Although this allows for more exchanges</w:t>
      </w:r>
      <w:r>
        <w:t>,</w:t>
      </w:r>
      <w:r w:rsidRPr="00702488">
        <w:t xml:space="preserve"> open source applications and collective shared knowledge, it is often accompanied with consequences</w:t>
      </w:r>
      <w:r>
        <w:t>. F</w:t>
      </w:r>
      <w:r w:rsidRPr="00702488">
        <w:t xml:space="preserve">ake news and cyber-attacks </w:t>
      </w:r>
      <w:r>
        <w:t>are</w:t>
      </w:r>
      <w:r w:rsidRPr="00702488">
        <w:t xml:space="preserve"> frequent. In addition, personal data </w:t>
      </w:r>
      <w:r>
        <w:t>is</w:t>
      </w:r>
      <w:r w:rsidRPr="00702488">
        <w:t xml:space="preserve"> often at risk and with limited protection, often being </w:t>
      </w:r>
      <w:r>
        <w:t>sequestered</w:t>
      </w:r>
      <w:r w:rsidRPr="00702488">
        <w:t xml:space="preserve"> international digital behemoths. </w:t>
      </w:r>
    </w:p>
    <w:p w14:paraId="77EFCA84" w14:textId="12A28191" w:rsidR="00C55587" w:rsidRPr="00702488" w:rsidRDefault="00C55587" w:rsidP="00C55587">
      <w:pPr>
        <w:rPr>
          <w:i/>
          <w:iCs/>
        </w:rPr>
      </w:pPr>
      <w:r w:rsidRPr="00702488">
        <w:rPr>
          <w:i/>
          <w:iCs/>
        </w:rPr>
        <w:t>Broadband access and high-speed internet coverage are important for the metaverse experience. Although back in the 2020s the</w:t>
      </w:r>
      <w:r>
        <w:rPr>
          <w:i/>
          <w:iCs/>
        </w:rPr>
        <w:t>re were</w:t>
      </w:r>
      <w:r w:rsidRPr="00702488">
        <w:rPr>
          <w:i/>
          <w:iCs/>
        </w:rPr>
        <w:t xml:space="preserve"> broadband connectivity divides, especially between the east and west of the Danube Region, by 2050 with speedy global technological developments most of these divides have been bridged. Regions which already had high broadband access, such as regions in Austria, Bratislava, west</w:t>
      </w:r>
      <w:r>
        <w:rPr>
          <w:i/>
          <w:iCs/>
        </w:rPr>
        <w:t>ern</w:t>
      </w:r>
      <w:r w:rsidRPr="00702488">
        <w:rPr>
          <w:i/>
          <w:iCs/>
        </w:rPr>
        <w:t xml:space="preserve"> part of Hungary, Nord-Vest and Vest in Romania, most of </w:t>
      </w:r>
      <w:r>
        <w:rPr>
          <w:i/>
          <w:iCs/>
        </w:rPr>
        <w:t>Czechia</w:t>
      </w:r>
      <w:r w:rsidRPr="00702488">
        <w:rPr>
          <w:i/>
          <w:iCs/>
        </w:rPr>
        <w:t xml:space="preserve">, Croatia and Slovenia </w:t>
      </w:r>
      <w:r>
        <w:rPr>
          <w:i/>
          <w:iCs/>
        </w:rPr>
        <w:t>as well as</w:t>
      </w:r>
      <w:r w:rsidRPr="00702488">
        <w:rPr>
          <w:i/>
          <w:iCs/>
        </w:rPr>
        <w:t xml:space="preserve"> Bucharest. In addition, regions </w:t>
      </w:r>
      <w:r>
        <w:rPr>
          <w:i/>
          <w:iCs/>
        </w:rPr>
        <w:t>with</w:t>
      </w:r>
      <w:r w:rsidRPr="00702488">
        <w:rPr>
          <w:i/>
          <w:iCs/>
        </w:rPr>
        <w:t xml:space="preserve"> both high broadband access and high ultrafast broadband or next generation coverage, like Bucharest, Nord-Vest and Vest in Romania, Austria, Bratislava, west of Hungary and Slovenia were a further step ahead </w:t>
      </w:r>
      <w:r w:rsidRPr="00702488">
        <w:rPr>
          <w:i/>
          <w:iCs/>
        </w:rPr>
        <w:fldChar w:fldCharType="begin"/>
      </w:r>
      <w:r w:rsidR="001C3DA6">
        <w:rPr>
          <w:i/>
          <w:iCs/>
        </w:rPr>
        <w:instrText xml:space="preserve"> ADDIN ZOTERO_ITEM CSL_CITATION {"citationID":"a23vrqill8p","properties":{"formattedCitation":"(ESPON, 2019b)","plainCitation":"(ESPON, 2019b)","noteIndex":0},"citationItems":[{"id":67,"uris":["http://zotero.org/groups/21774/items/BPCX7TJV"],"itemData":{"id":67,"type":"document","publisher":"ESPON EGTC","title":"State of the European Territory","URL":"https://soet.espon.eu/#","author":[{"family":"ESPON","given":""}],"accessed":{"date-parts":[["2021",6,30]]},"issued":{"date-parts":[["2019"]]}}}],"schema":"https://github.com/citation-style-language/schema/raw/master/csl-citation.json"} </w:instrText>
      </w:r>
      <w:r w:rsidRPr="00702488">
        <w:rPr>
          <w:i/>
          <w:iCs/>
        </w:rPr>
        <w:fldChar w:fldCharType="separate"/>
      </w:r>
      <w:r w:rsidR="001C3DA6" w:rsidRPr="001C3DA6">
        <w:rPr>
          <w:rFonts w:ascii="Arial" w:cs="Arial"/>
        </w:rPr>
        <w:t>(ESPON, 2019b)</w:t>
      </w:r>
      <w:r w:rsidRPr="00702488">
        <w:rPr>
          <w:i/>
          <w:iCs/>
        </w:rPr>
        <w:fldChar w:fldCharType="end"/>
      </w:r>
      <w:r w:rsidRPr="00702488">
        <w:rPr>
          <w:i/>
          <w:iCs/>
        </w:rPr>
        <w:t xml:space="preserve">. </w:t>
      </w:r>
    </w:p>
    <w:p w14:paraId="2E67F95D" w14:textId="1F9DBADC" w:rsidR="004A55B6" w:rsidRDefault="00C55587" w:rsidP="00C55587">
      <w:pPr>
        <w:rPr>
          <w:i/>
          <w:iCs/>
        </w:rPr>
      </w:pPr>
      <w:r w:rsidRPr="00702488">
        <w:rPr>
          <w:i/>
          <w:iCs/>
        </w:rPr>
        <w:t>In addition, the share of people us</w:t>
      </w:r>
      <w:r>
        <w:rPr>
          <w:i/>
          <w:iCs/>
        </w:rPr>
        <w:t>ing</w:t>
      </w:r>
      <w:r w:rsidRPr="00702488">
        <w:rPr>
          <w:i/>
          <w:iCs/>
        </w:rPr>
        <w:t xml:space="preserve"> the internet for participating in social media gives an indication of where this could </w:t>
      </w:r>
      <w:r>
        <w:rPr>
          <w:i/>
          <w:iCs/>
        </w:rPr>
        <w:t>increase</w:t>
      </w:r>
      <w:r w:rsidRPr="00702488">
        <w:rPr>
          <w:i/>
          <w:iCs/>
        </w:rPr>
        <w:t xml:space="preserve"> by 2050. This share is above average in most regions in the Danube Region, </w:t>
      </w:r>
      <w:r>
        <w:rPr>
          <w:i/>
          <w:iCs/>
        </w:rPr>
        <w:t>especially</w:t>
      </w:r>
      <w:r w:rsidRPr="00702488">
        <w:rPr>
          <w:i/>
          <w:iCs/>
        </w:rPr>
        <w:t xml:space="preserve"> th</w:t>
      </w:r>
      <w:r>
        <w:rPr>
          <w:i/>
          <w:iCs/>
        </w:rPr>
        <w:t>e</w:t>
      </w:r>
      <w:r w:rsidRPr="00702488">
        <w:rPr>
          <w:i/>
          <w:iCs/>
        </w:rPr>
        <w:t xml:space="preserve"> east of Austria</w:t>
      </w:r>
      <w:r>
        <w:rPr>
          <w:i/>
          <w:iCs/>
        </w:rPr>
        <w:t xml:space="preserve"> and</w:t>
      </w:r>
      <w:r w:rsidRPr="00702488">
        <w:rPr>
          <w:i/>
          <w:iCs/>
        </w:rPr>
        <w:t xml:space="preserve"> regions in Hungary, Serbia, Bulgaria </w:t>
      </w:r>
      <w:r>
        <w:rPr>
          <w:i/>
          <w:iCs/>
        </w:rPr>
        <w:t>and</w:t>
      </w:r>
      <w:r w:rsidRPr="00702488">
        <w:rPr>
          <w:i/>
          <w:iCs/>
        </w:rPr>
        <w:t xml:space="preserve"> Romania </w:t>
      </w:r>
      <w:r w:rsidRPr="00702488">
        <w:rPr>
          <w:i/>
          <w:iCs/>
        </w:rPr>
        <w:fldChar w:fldCharType="begin"/>
      </w:r>
      <w:r w:rsidR="001C3DA6">
        <w:rPr>
          <w:i/>
          <w:iCs/>
        </w:rPr>
        <w:instrText xml:space="preserve"> ADDIN ZOTERO_ITEM CSL_CITATION {"citationID":"a1duds94bnn","properties":{"formattedCitation":"(BBSR &amp; ESPON, 2020)","plainCitation":"(BBSR &amp; ESPON, 2020)","noteIndex":0},"citationItems":[{"id":5019,"uris":["http://zotero.org/groups/21774/items/LH8PIJ6F"],"itemData":{"id":5019,"type":"book","event-place":"Berlin","publisher":"Federal Ministry fo the Interior, Building and Community","publisher-place":"Berlin","title":"Atlas for the Territorial Agenda 2030: Maps on European Territorial Development","author":[{"literal":"BBSR"},{"literal":"ESPON"}],"issued":{"date-parts":[["2020"]]}}}],"schema":"https://github.com/citation-style-language/schema/raw/master/csl-citation.json"} </w:instrText>
      </w:r>
      <w:r w:rsidRPr="00702488">
        <w:rPr>
          <w:i/>
          <w:iCs/>
        </w:rPr>
        <w:fldChar w:fldCharType="separate"/>
      </w:r>
      <w:r w:rsidR="001C3DA6" w:rsidRPr="001C3DA6">
        <w:rPr>
          <w:rFonts w:ascii="Arial" w:cs="Arial"/>
        </w:rPr>
        <w:t>(BBSR &amp; ESPON, 2020)</w:t>
      </w:r>
      <w:r w:rsidRPr="00702488">
        <w:rPr>
          <w:i/>
          <w:iCs/>
        </w:rPr>
        <w:fldChar w:fldCharType="end"/>
      </w:r>
      <w:r w:rsidRPr="00702488">
        <w:rPr>
          <w:i/>
          <w:iCs/>
        </w:rPr>
        <w:t>.</w:t>
      </w:r>
    </w:p>
    <w:p w14:paraId="7D76B6BC" w14:textId="77777777" w:rsidR="00551B45" w:rsidRPr="00A777BF" w:rsidRDefault="00551B45" w:rsidP="00551B45">
      <w:pPr>
        <w:shd w:val="clear" w:color="auto" w:fill="D9D9D9" w:themeFill="background1" w:themeFillShade="D9"/>
        <w:rPr>
          <w:b/>
          <w:bCs/>
        </w:rPr>
      </w:pPr>
      <w:r w:rsidRPr="00A777BF">
        <w:rPr>
          <w:b/>
          <w:bCs/>
        </w:rPr>
        <w:t>Terristory: The digital walk of life – Danube Region 2050</w:t>
      </w:r>
    </w:p>
    <w:p w14:paraId="78CC72B3" w14:textId="4E4D4268" w:rsidR="00F658AC" w:rsidRPr="00A777BF" w:rsidRDefault="00551B45" w:rsidP="00551B45">
      <w:pPr>
        <w:shd w:val="clear" w:color="auto" w:fill="D9D9D9" w:themeFill="background1" w:themeFillShade="D9"/>
      </w:pPr>
      <w:r w:rsidRPr="00A777BF">
        <w:t xml:space="preserve">In 2050, Bucharest is a highly digitalised metropolis. However, it had to play catch up with other cities, </w:t>
      </w:r>
      <w:r>
        <w:t xml:space="preserve">so </w:t>
      </w:r>
      <w:r w:rsidRPr="00A777BF">
        <w:t xml:space="preserve">digitalisation was abrupt and covered almost all walks of life during the 2020s and 30s. Young digital natives thrived and </w:t>
      </w:r>
      <w:r>
        <w:t>easily</w:t>
      </w:r>
      <w:r w:rsidRPr="00A777BF">
        <w:t xml:space="preserve"> jump</w:t>
      </w:r>
      <w:r>
        <w:t>ed</w:t>
      </w:r>
      <w:r w:rsidRPr="00A777BF">
        <w:t xml:space="preserve"> from one service provider to </w:t>
      </w:r>
      <w:r>
        <w:t>an</w:t>
      </w:r>
      <w:r w:rsidRPr="00A777BF">
        <w:t xml:space="preserve">other on a daily basis. Still, the older and less technologically inclined had to be </w:t>
      </w:r>
      <w:r>
        <w:t>helped</w:t>
      </w:r>
      <w:r w:rsidRPr="00A777BF">
        <w:t xml:space="preserve"> in the transition</w:t>
      </w:r>
      <w:r>
        <w:t xml:space="preserve"> </w:t>
      </w:r>
      <w:r w:rsidRPr="00A777BF">
        <w:t xml:space="preserve">so almost no one was left behind. </w:t>
      </w:r>
      <w:r>
        <w:t>With</w:t>
      </w:r>
      <w:r w:rsidRPr="00A777BF">
        <w:t xml:space="preserve"> more R&amp;D funding, services and digital products became more innovative, leaner and affordable. Governance was the biggest winner, as all citizens can now see and understand local decisions through specialised apps. The </w:t>
      </w:r>
      <w:r>
        <w:t>virtual reality</w:t>
      </w:r>
      <w:r w:rsidRPr="00A777BF">
        <w:t xml:space="preserve"> version of the City </w:t>
      </w:r>
      <w:r>
        <w:t>is</w:t>
      </w:r>
      <w:r w:rsidRPr="00A777BF">
        <w:t xml:space="preserve"> a meeting place for all citizens, where they can take part in council meetings. General voting on projects, legislature and referendums are common since organisational costs are close to </w:t>
      </w:r>
      <w:r>
        <w:t>zero</w:t>
      </w:r>
      <w:r w:rsidRPr="00A777BF">
        <w:t xml:space="preserve"> making decision-making more democratic. Old housing projects are now more cost-effective because IoT devices evaluate energy and water use to ensure low costs and a high quality of life.</w:t>
      </w:r>
    </w:p>
    <w:p w14:paraId="3427B0CB" w14:textId="3DE4DEB7" w:rsidR="00C021ED" w:rsidRPr="00702488" w:rsidRDefault="00C021ED" w:rsidP="00C021ED">
      <w:r w:rsidRPr="00702488">
        <w:rPr>
          <w:b/>
          <w:bCs/>
        </w:rPr>
        <w:t>Energy needs: achievement unlocked</w:t>
      </w:r>
      <w:r w:rsidRPr="00702488">
        <w:t>. Increas</w:t>
      </w:r>
      <w:r>
        <w:t>ed</w:t>
      </w:r>
      <w:r w:rsidRPr="00702488">
        <w:t xml:space="preserve"> production and </w:t>
      </w:r>
      <w:r>
        <w:t xml:space="preserve">the </w:t>
      </w:r>
      <w:r w:rsidRPr="00702488">
        <w:t xml:space="preserve">use of digital devices, as well as the use of blockchain technology and mining have also increased energy demand. Already data from the 2010s pointed out that energy consumption </w:t>
      </w:r>
      <w:r>
        <w:t>would</w:t>
      </w:r>
      <w:r w:rsidRPr="00702488">
        <w:t xml:space="preserve"> increas</w:t>
      </w:r>
      <w:r>
        <w:t>e</w:t>
      </w:r>
      <w:r w:rsidRPr="009068D4">
        <w:t xml:space="preserve"> </w:t>
      </w:r>
      <w:r w:rsidRPr="00702488">
        <w:t xml:space="preserve">even </w:t>
      </w:r>
      <w:r>
        <w:t xml:space="preserve">by </w:t>
      </w:r>
      <w:r w:rsidRPr="00702488">
        <w:t xml:space="preserve">about 50% by 2035, with natural gas playing a bigger role replacing coal and possibly oil </w:t>
      </w:r>
      <w:r w:rsidRPr="00702488">
        <w:fldChar w:fldCharType="begin"/>
      </w:r>
      <w:r w:rsidR="001C3DA6">
        <w:instrText xml:space="preserve"> ADDIN ZOTERO_ITEM CSL_CITATION {"citationID":"a2cgh8ntjgo","properties":{"formattedCitation":"(European Strategy and Policy Analysis System, 2015)","plainCitation":"(European Strategy and Policy Analysis System, 2015)","noteIndex":0},"citationItems":[{"id":3689,"uris":["http://zotero.org/groups/21774/items/S957QRP7"],"itemData":{"id":3689,"type":"report","publisher":"European Strategy and Policy Analysis System","title":"Global Trends to 2030: Can the EU meet the challenges ahead?","author":[{"literal":"European Strategy and Policy Analysis System"}],"issued":{"date-parts":[["2015"]]}}}],"schema":"https://github.com/citation-style-language/schema/raw/master/csl-citation.json"} </w:instrText>
      </w:r>
      <w:r w:rsidRPr="00702488">
        <w:fldChar w:fldCharType="separate"/>
      </w:r>
      <w:r w:rsidR="001C3DA6" w:rsidRPr="001C3DA6">
        <w:rPr>
          <w:rFonts w:ascii="Arial" w:cs="Arial"/>
        </w:rPr>
        <w:t>(European Strategy and Policy Analysis System, 2015)</w:t>
      </w:r>
      <w:r w:rsidRPr="00702488">
        <w:fldChar w:fldCharType="end"/>
      </w:r>
      <w:r w:rsidRPr="00702488">
        <w:t xml:space="preserve">. The energy crisis </w:t>
      </w:r>
      <w:r>
        <w:t>due to</w:t>
      </w:r>
      <w:r w:rsidRPr="00702488">
        <w:t xml:space="preserve"> the war in Ukraine accelerated the exploration of alternative resources that could support the increasing demand. Although Liquified Natural Gas and nuclear energy </w:t>
      </w:r>
      <w:r>
        <w:t>were early</w:t>
      </w:r>
      <w:r w:rsidRPr="00702488">
        <w:t xml:space="preserve"> solutions to cope with the crisis they </w:t>
      </w:r>
      <w:r>
        <w:t>did</w:t>
      </w:r>
      <w:r w:rsidRPr="00702488">
        <w:t xml:space="preserve"> not prove sufficient. </w:t>
      </w:r>
      <w:r>
        <w:t>T</w:t>
      </w:r>
      <w:r w:rsidRPr="00702488">
        <w:t xml:space="preserve">he EU </w:t>
      </w:r>
      <w:r>
        <w:t>even</w:t>
      </w:r>
      <w:r w:rsidRPr="00702488">
        <w:t xml:space="preserve"> labelled the gas and nuclear ‘green’ to speed up investments until the Green Deal </w:t>
      </w:r>
      <w:r>
        <w:t>kicked in</w:t>
      </w:r>
      <w:r w:rsidRPr="00702488">
        <w:t xml:space="preserve"> </w:t>
      </w:r>
      <w:r w:rsidRPr="00702488">
        <w:fldChar w:fldCharType="begin"/>
      </w:r>
      <w:r w:rsidR="001C3DA6">
        <w:instrText xml:space="preserve"> ADDIN ZOTERO_ITEM CSL_CITATION {"citationID":"ajoulg2lo8","properties":{"formattedCitation":"(Abnett &amp; Jessop, 2022)","plainCitation":"(Abnett &amp; Jessop, 2022)","noteIndex":0},"citationItems":[{"id":8501,"uris":["http://zotero.org/groups/4075961/items/T53UWUE9"],"itemData":{"id":8501,"type":"webpage","container-title":"Reuters","title":"EU drafts plan to label gas and nuclear investments as green","URL":"https://www.reuters.com/markets/commodities/eu-drafts-plan-label-gas-nuclear-investments-green-2022-01-01/","author":[{"family":"Abnett","given":"Kate"},{"family":"Jessop","given":"Simon"}],"accessed":{"date-parts":[["2022",3,22]]},"issued":{"date-parts":[["2022",1,1]]}}}],"schema":"https://github.com/citation-style-language/schema/raw/master/csl-citation.json"} </w:instrText>
      </w:r>
      <w:r w:rsidRPr="00702488">
        <w:fldChar w:fldCharType="separate"/>
      </w:r>
      <w:r w:rsidR="001C3DA6" w:rsidRPr="001C3DA6">
        <w:rPr>
          <w:rFonts w:ascii="Arial" w:cs="Arial"/>
        </w:rPr>
        <w:t>(Abnett &amp; Jessop, 2022)</w:t>
      </w:r>
      <w:r w:rsidRPr="00702488">
        <w:fldChar w:fldCharType="end"/>
      </w:r>
      <w:r w:rsidRPr="00702488">
        <w:t xml:space="preserve">. Discussions about nuclear energy and renewables emerged, which were expected to account for 24% of production and 40% of growth in energy demand by 2035 </w:t>
      </w:r>
      <w:r w:rsidRPr="00702488">
        <w:fldChar w:fldCharType="begin"/>
      </w:r>
      <w:r w:rsidR="001C3DA6">
        <w:instrText xml:space="preserve"> ADDIN ZOTERO_ITEM CSL_CITATION {"citationID":"06aIyVun","properties":{"formattedCitation":"(European Strategy and Policy Analysis System, 2015)","plainCitation":"(European Strategy and Policy Analysis System, 2015)","noteIndex":0},"citationItems":[{"id":3689,"uris":["http://zotero.org/groups/21774/items/S957QRP7"],"itemData":{"id":3689,"type":"report","publisher":"European Strategy and Policy Analysis System","title":"Global Trends to 2030: Can the EU meet the challenges ahead?","author":[{"literal":"European Strategy and Policy Analysis System"}],"issued":{"date-parts":[["2015"]]}}}],"schema":"https://github.com/citation-style-language/schema/raw/master/csl-citation.json"} </w:instrText>
      </w:r>
      <w:r w:rsidRPr="00702488">
        <w:fldChar w:fldCharType="separate"/>
      </w:r>
      <w:r w:rsidR="001C3DA6" w:rsidRPr="001C3DA6">
        <w:rPr>
          <w:rFonts w:ascii="Arial" w:cs="Arial"/>
        </w:rPr>
        <w:t>(European Strategy and Policy Analysis System, 2015)</w:t>
      </w:r>
      <w:r w:rsidRPr="00702488">
        <w:fldChar w:fldCharType="end"/>
      </w:r>
      <w:r w:rsidRPr="00702488">
        <w:t xml:space="preserve">. Nevertheless, nuclear energy has been often seen with </w:t>
      </w:r>
      <w:r>
        <w:t>scepticism</w:t>
      </w:r>
      <w:r w:rsidRPr="00702488">
        <w:t>, while energy savings and renewable energ</w:t>
      </w:r>
      <w:r>
        <w:t>y</w:t>
      </w:r>
      <w:r w:rsidRPr="00702488">
        <w:t xml:space="preserve"> have not </w:t>
      </w:r>
      <w:r>
        <w:t>been</w:t>
      </w:r>
      <w:r w:rsidRPr="00702488">
        <w:t xml:space="preserve"> enough to address needs and limit CO</w:t>
      </w:r>
      <w:r w:rsidRPr="00702488">
        <w:rPr>
          <w:vertAlign w:val="subscript"/>
        </w:rPr>
        <w:t>2</w:t>
      </w:r>
      <w:r w:rsidRPr="00702488">
        <w:t xml:space="preserve"> emissions. </w:t>
      </w:r>
      <w:r>
        <w:t>I</w:t>
      </w:r>
      <w:r w:rsidRPr="00702488">
        <w:t xml:space="preserve">nstead, breakthroughs in nuclear fusion technology changed the energy landscape and could cover needs, as well as be environmentally friendly enough to halt global warming. </w:t>
      </w:r>
      <w:r w:rsidRPr="00702488">
        <w:fldChar w:fldCharType="begin"/>
      </w:r>
      <w:r w:rsidR="001C3DA6">
        <w:instrText xml:space="preserve"> ADDIN ZOTERO_ITEM CSL_CITATION {"citationID":"C5nLPbWd","properties":{"formattedCitation":"(European Strategy and Policy Analysis System, 2015)","plainCitation":"(European Strategy and Policy Analysis System, 2015)","noteIndex":0},"citationItems":[{"id":3689,"uris":["http://zotero.org/groups/21774/items/S957QRP7"],"itemData":{"id":3689,"type":"report","publisher":"European Strategy and Policy Analysis System","title":"Global Trends to 2030: Can the EU meet the challenges ahead?","author":[{"literal":"European Strategy and Policy Analysis System"}],"issued":{"date-parts":[["2015"]]}}}],"schema":"https://github.com/citation-style-language/schema/raw/master/csl-citation.json"} </w:instrText>
      </w:r>
      <w:r w:rsidRPr="00702488">
        <w:fldChar w:fldCharType="separate"/>
      </w:r>
      <w:r w:rsidR="001C3DA6" w:rsidRPr="001C3DA6">
        <w:rPr>
          <w:rFonts w:ascii="Arial" w:cs="Arial"/>
        </w:rPr>
        <w:t>(European Strategy and Policy Analysis System, 2015)</w:t>
      </w:r>
      <w:r w:rsidRPr="00702488">
        <w:fldChar w:fldCharType="end"/>
      </w:r>
      <w:r w:rsidRPr="00702488">
        <w:t xml:space="preserve">. Another energy source, hydrogen </w:t>
      </w:r>
      <w:r>
        <w:t xml:space="preserve">is </w:t>
      </w:r>
      <w:r w:rsidRPr="00702488">
        <w:t>mainly used for clean transport,</w:t>
      </w:r>
      <w:r>
        <w:t xml:space="preserve"> as it</w:t>
      </w:r>
      <w:r w:rsidRPr="00702488">
        <w:t xml:space="preserve"> can be produced </w:t>
      </w:r>
      <w:r>
        <w:t>at</w:t>
      </w:r>
      <w:r w:rsidRPr="00702488">
        <w:t xml:space="preserve"> large scale</w:t>
      </w:r>
      <w:r>
        <w:t xml:space="preserve"> and</w:t>
      </w:r>
      <w:r w:rsidRPr="00702488">
        <w:t xml:space="preserve"> </w:t>
      </w:r>
      <w:r>
        <w:t>has</w:t>
      </w:r>
      <w:r w:rsidRPr="00702488">
        <w:t xml:space="preserve"> low carbon emissions </w:t>
      </w:r>
      <w:r w:rsidRPr="00702488">
        <w:fldChar w:fldCharType="begin"/>
      </w:r>
      <w:r w:rsidR="001C3DA6">
        <w:instrText xml:space="preserve"> ADDIN ZOTERO_ITEM CSL_CITATION {"citationID":"a2fan035m63","properties":{"formattedCitation":"(World Economic Forum, 2015)","plainCitation":"(World Economic Forum, 2015)","noteIndex":0},"citationItems":[{"id":615,"uris":["http://zotero.org/groups/21774/items/NPE6JJ2E"],"itemData":{"id":615,"type":"report","publisher":"World Economic Forum","title":"Top 10 Emerging Technologies of 2015","author":[{"literal":"World Economic Forum"}],"issued":{"date-parts":[["2015"]]}}}],"schema":"https://github.com/citation-style-language/schema/raw/master/csl-citation.json"} </w:instrText>
      </w:r>
      <w:r w:rsidRPr="00702488">
        <w:fldChar w:fldCharType="separate"/>
      </w:r>
      <w:r w:rsidR="001C3DA6" w:rsidRPr="001C3DA6">
        <w:rPr>
          <w:rFonts w:ascii="Arial" w:cs="Arial"/>
        </w:rPr>
        <w:t>(World Economic Forum, 2015)</w:t>
      </w:r>
      <w:r w:rsidRPr="00702488">
        <w:fldChar w:fldCharType="end"/>
      </w:r>
      <w:r w:rsidRPr="00702488">
        <w:t xml:space="preserve">. </w:t>
      </w:r>
    </w:p>
    <w:p w14:paraId="517854EF" w14:textId="247EC31E" w:rsidR="007E17DE" w:rsidRDefault="00C021ED" w:rsidP="00C021ED">
      <w:pPr>
        <w:rPr>
          <w:i/>
          <w:iCs/>
        </w:rPr>
      </w:pPr>
      <w:r w:rsidRPr="00702488">
        <w:rPr>
          <w:i/>
          <w:iCs/>
        </w:rPr>
        <w:t xml:space="preserve">Hydrogen networks </w:t>
      </w:r>
      <w:r>
        <w:rPr>
          <w:i/>
          <w:iCs/>
        </w:rPr>
        <w:t>have</w:t>
      </w:r>
      <w:r w:rsidRPr="00702488">
        <w:rPr>
          <w:i/>
          <w:iCs/>
        </w:rPr>
        <w:t xml:space="preserve"> to be further expanded and </w:t>
      </w:r>
      <w:r>
        <w:rPr>
          <w:i/>
          <w:iCs/>
        </w:rPr>
        <w:t>are</w:t>
      </w:r>
      <w:r w:rsidRPr="00702488">
        <w:rPr>
          <w:i/>
          <w:iCs/>
        </w:rPr>
        <w:t xml:space="preserve"> not fully operational by 2050. Nevertheless, an interesting indication would be to look at hydrogen and fuel cell networks in 2020 across Europe. Those were mainly in south Germany, central Europe and Romania </w:t>
      </w:r>
      <w:r w:rsidRPr="00702488">
        <w:rPr>
          <w:i/>
          <w:iCs/>
        </w:rPr>
        <w:fldChar w:fldCharType="begin"/>
      </w:r>
      <w:r w:rsidR="001C3DA6">
        <w:rPr>
          <w:i/>
          <w:iCs/>
        </w:rPr>
        <w:instrText xml:space="preserve"> ADDIN ZOTERO_ITEM CSL_CITATION {"citationID":"aoe2q6ci2q","properties":{"formattedCitation":"\\uldash{(S3Platform, n.d., p. 2)}","plainCitation":"(S3Platform, n.d., p. 2)","dontUpdate":true,"noteIndex":0},"citationItems":[{"id":8512,"uris":["http://zotero.org/groups/4075961/items/J3A25VND"],"itemData":{"id":8512,"type":"webpage","title":"What is H2&amp;Fuel Cells?","URL":"https://s3platform-legacy.jrc.ec.europa.eu/hydrogen-and-fuel-cells","author":[{"family":"S3Platform","given":""}],"accessed":{"date-parts":[["2022",3,23]]}},"locator":"2"}],"schema":"https://github.com/citation-style-language/schema/raw/master/csl-citation.json"} </w:instrText>
      </w:r>
      <w:r w:rsidRPr="00702488">
        <w:rPr>
          <w:i/>
          <w:iCs/>
        </w:rPr>
        <w:fldChar w:fldCharType="separate"/>
      </w:r>
      <w:r w:rsidRPr="00702488">
        <w:rPr>
          <w:rFonts w:ascii="Arial" w:cs="Arial"/>
          <w:u w:val="dash"/>
        </w:rPr>
        <w:t>(S3Platform, n.d.)</w:t>
      </w:r>
      <w:r w:rsidRPr="00702488">
        <w:rPr>
          <w:i/>
          <w:iCs/>
        </w:rPr>
        <w:fldChar w:fldCharType="end"/>
      </w:r>
      <w:r w:rsidRPr="00702488">
        <w:rPr>
          <w:i/>
          <w:iCs/>
        </w:rPr>
        <w:t xml:space="preserve">. Nuclear plants, like the Krsko Nuclear Power Plant, co-owned by Slovenian and Croatian state owned companies gradually faded in importance by 2050 </w:t>
      </w:r>
      <w:r w:rsidRPr="00702488">
        <w:rPr>
          <w:i/>
          <w:iCs/>
        </w:rPr>
        <w:fldChar w:fldCharType="begin"/>
      </w:r>
      <w:r w:rsidR="001C3DA6">
        <w:rPr>
          <w:i/>
          <w:iCs/>
        </w:rPr>
        <w:instrText xml:space="preserve"> ADDIN ZOTERO_ITEM CSL_CITATION {"citationID":"a1l8t29c45h","properties":{"formattedCitation":"(SITA-SOGES &amp; Osservatorio Balcani Caucaso Transeuropa, 2020)","plainCitation":"(SITA-SOGES &amp; Osservatorio Balcani Caucaso Transeuropa, 2020)","noteIndex":0},"citationItems":[{"id":98,"uris":["http://zotero.org/groups/21774/items/2VDHZKTW"],"itemData":{"id":98,"type":"report","title":"Analysis of the territorial challenges, needs and potentials of the Adriatic-Ionian region and strategic options for post-2020 ADRION Programme","author":[{"family":"SITA-SOGES","given":""},{"family":"Osservatorio Balcani Caucaso Transeuropa","given":""}],"issued":{"date-parts":[["2020",8]]}}}],"schema":"https://github.com/citation-style-language/schema/raw/master/csl-citation.json"} </w:instrText>
      </w:r>
      <w:r w:rsidRPr="00702488">
        <w:rPr>
          <w:i/>
          <w:iCs/>
        </w:rPr>
        <w:fldChar w:fldCharType="separate"/>
      </w:r>
      <w:r w:rsidR="001C3DA6" w:rsidRPr="001C3DA6">
        <w:rPr>
          <w:rFonts w:ascii="Arial" w:cs="Arial"/>
        </w:rPr>
        <w:t>(SITA-SOGES &amp; Osservatorio Balcani Caucaso Transeuropa, 2020)</w:t>
      </w:r>
      <w:r w:rsidRPr="00702488">
        <w:rPr>
          <w:i/>
          <w:iCs/>
        </w:rPr>
        <w:fldChar w:fldCharType="end"/>
      </w:r>
      <w:r w:rsidRPr="00702488">
        <w:rPr>
          <w:i/>
          <w:iCs/>
        </w:rPr>
        <w:t>.</w:t>
      </w:r>
    </w:p>
    <w:p w14:paraId="6AA9F601" w14:textId="77777777" w:rsidR="00432411" w:rsidRPr="00F2249E" w:rsidRDefault="00432411" w:rsidP="00432411">
      <w:pPr>
        <w:shd w:val="clear" w:color="auto" w:fill="D9D9D9" w:themeFill="background1" w:themeFillShade="D9"/>
        <w:rPr>
          <w:b/>
          <w:bCs/>
        </w:rPr>
      </w:pPr>
      <w:r w:rsidRPr="00F2249E">
        <w:rPr>
          <w:b/>
          <w:bCs/>
        </w:rPr>
        <w:t>Terristory: The no-more coal rule – Danube Region 2050</w:t>
      </w:r>
    </w:p>
    <w:p w14:paraId="15AB9481" w14:textId="154F8278" w:rsidR="00C04B61" w:rsidRPr="00A73E53" w:rsidRDefault="00432411" w:rsidP="00432411">
      <w:pPr>
        <w:shd w:val="clear" w:color="auto" w:fill="D9D9D9" w:themeFill="background1" w:themeFillShade="D9"/>
        <w:rPr>
          <w:rFonts w:ascii="Arial" w:cs="Arial"/>
        </w:rPr>
      </w:pPr>
      <w:r>
        <w:rPr>
          <w:rFonts w:ascii="Arial" w:cs="Arial"/>
        </w:rPr>
        <w:t>E</w:t>
      </w:r>
      <w:r w:rsidRPr="00A73E53">
        <w:rPr>
          <w:rFonts w:ascii="Arial" w:cs="Arial"/>
        </w:rPr>
        <w:t>nergy and energy storage markets are still surg</w:t>
      </w:r>
      <w:r>
        <w:rPr>
          <w:rFonts w:ascii="Arial" w:cs="Arial"/>
        </w:rPr>
        <w:t>ing</w:t>
      </w:r>
      <w:r w:rsidRPr="00A73E53">
        <w:rPr>
          <w:rFonts w:ascii="Arial" w:cs="Arial"/>
        </w:rPr>
        <w:t xml:space="preserve"> as more businesses start rely on electricity. </w:t>
      </w:r>
      <w:r>
        <w:rPr>
          <w:rFonts w:ascii="Arial" w:cs="Arial"/>
        </w:rPr>
        <w:t>Czechia</w:t>
      </w:r>
      <w:r w:rsidRPr="00A73E53">
        <w:rPr>
          <w:rFonts w:ascii="Arial" w:cs="Arial"/>
        </w:rPr>
        <w:t xml:space="preserve"> was hit by this surge, beginning </w:t>
      </w:r>
      <w:r>
        <w:rPr>
          <w:rFonts w:ascii="Arial" w:cs="Arial"/>
        </w:rPr>
        <w:t>in</w:t>
      </w:r>
      <w:r w:rsidRPr="00A73E53">
        <w:rPr>
          <w:rFonts w:ascii="Arial" w:cs="Arial"/>
        </w:rPr>
        <w:t xml:space="preserve"> the 2030s when its measures to phase out coal-based energy kicked in. </w:t>
      </w:r>
      <w:r>
        <w:rPr>
          <w:rFonts w:ascii="Arial" w:cs="Arial"/>
        </w:rPr>
        <w:t>E</w:t>
      </w:r>
      <w:r w:rsidRPr="00A73E53">
        <w:rPr>
          <w:rFonts w:ascii="Arial" w:cs="Arial"/>
        </w:rPr>
        <w:t xml:space="preserve">nergy costs started to rise in the 2020s </w:t>
      </w:r>
      <w:r>
        <w:rPr>
          <w:rFonts w:ascii="Arial" w:cs="Arial"/>
        </w:rPr>
        <w:t>but</w:t>
      </w:r>
      <w:r w:rsidRPr="00A73E53">
        <w:rPr>
          <w:rFonts w:ascii="Arial" w:cs="Arial"/>
        </w:rPr>
        <w:t xml:space="preserve"> coal-based energy was not feasible anymore</w:t>
      </w:r>
      <w:r>
        <w:rPr>
          <w:rFonts w:ascii="Arial" w:cs="Arial"/>
        </w:rPr>
        <w:t xml:space="preserve"> in Czechia</w:t>
      </w:r>
      <w:r w:rsidRPr="00A73E53">
        <w:rPr>
          <w:rFonts w:ascii="Arial" w:cs="Arial"/>
        </w:rPr>
        <w:t xml:space="preserve">. </w:t>
      </w:r>
      <w:r>
        <w:rPr>
          <w:rFonts w:ascii="Arial" w:cs="Arial"/>
        </w:rPr>
        <w:t>This encouraged</w:t>
      </w:r>
      <w:r w:rsidRPr="00A73E53">
        <w:rPr>
          <w:rFonts w:ascii="Arial" w:cs="Arial"/>
        </w:rPr>
        <w:t xml:space="preserve"> wind farms and micro-nuclear plants across the country. Early investments and sustained R&amp;D in nuclear fusion and energy storage made the micro-nuclear plants possible. The</w:t>
      </w:r>
      <w:r>
        <w:rPr>
          <w:rFonts w:ascii="Arial" w:cs="Arial"/>
        </w:rPr>
        <w:t>se</w:t>
      </w:r>
      <w:r w:rsidRPr="00A73E53">
        <w:rPr>
          <w:rFonts w:ascii="Arial" w:cs="Arial"/>
        </w:rPr>
        <w:t xml:space="preserve"> were built in partnership with Germany, Slovakia and Hungary. The current mesh of micro-power plants can self-manage and load-balance themselves, based on international agreements so no one overloads </w:t>
      </w:r>
      <w:r>
        <w:rPr>
          <w:rFonts w:ascii="Arial" w:cs="Arial"/>
        </w:rPr>
        <w:t>the</w:t>
      </w:r>
      <w:r w:rsidRPr="00A73E53">
        <w:rPr>
          <w:rFonts w:ascii="Arial" w:cs="Arial"/>
        </w:rPr>
        <w:t xml:space="preserve"> production capacity, costs </w:t>
      </w:r>
      <w:r>
        <w:rPr>
          <w:rFonts w:ascii="Arial" w:cs="Arial"/>
        </w:rPr>
        <w:t xml:space="preserve">are </w:t>
      </w:r>
      <w:r w:rsidRPr="00A73E53">
        <w:rPr>
          <w:rFonts w:ascii="Arial" w:cs="Arial"/>
        </w:rPr>
        <w:t>minimi</w:t>
      </w:r>
      <w:r>
        <w:rPr>
          <w:rFonts w:ascii="Arial" w:cs="Arial"/>
        </w:rPr>
        <w:t>s</w:t>
      </w:r>
      <w:r w:rsidRPr="00A73E53">
        <w:rPr>
          <w:rFonts w:ascii="Arial" w:cs="Arial"/>
        </w:rPr>
        <w:t xml:space="preserve">ed and </w:t>
      </w:r>
      <w:r>
        <w:rPr>
          <w:rFonts w:ascii="Arial" w:cs="Arial"/>
        </w:rPr>
        <w:t xml:space="preserve">risks </w:t>
      </w:r>
      <w:r w:rsidRPr="00A73E53">
        <w:rPr>
          <w:rFonts w:ascii="Arial" w:cs="Arial"/>
        </w:rPr>
        <w:t>reduce</w:t>
      </w:r>
      <w:r>
        <w:rPr>
          <w:rFonts w:ascii="Arial" w:cs="Arial"/>
        </w:rPr>
        <w:t>d</w:t>
      </w:r>
      <w:r w:rsidRPr="00A73E53">
        <w:rPr>
          <w:rFonts w:ascii="Arial" w:cs="Arial"/>
        </w:rPr>
        <w:t xml:space="preserve">. </w:t>
      </w:r>
      <w:r>
        <w:rPr>
          <w:rFonts w:ascii="Arial" w:cs="Arial"/>
        </w:rPr>
        <w:t>T</w:t>
      </w:r>
      <w:r w:rsidRPr="00A73E53">
        <w:rPr>
          <w:rFonts w:ascii="Arial" w:cs="Arial"/>
        </w:rPr>
        <w:t xml:space="preserve">he Czech government </w:t>
      </w:r>
      <w:r>
        <w:rPr>
          <w:rFonts w:ascii="Arial" w:cs="Arial"/>
        </w:rPr>
        <w:t xml:space="preserve">also </w:t>
      </w:r>
      <w:r w:rsidRPr="00A73E53">
        <w:rPr>
          <w:rFonts w:ascii="Arial" w:cs="Arial"/>
        </w:rPr>
        <w:t xml:space="preserve">introduced and promoted </w:t>
      </w:r>
      <w:r>
        <w:rPr>
          <w:rFonts w:ascii="Arial" w:cs="Arial"/>
        </w:rPr>
        <w:t>an</w:t>
      </w:r>
      <w:r w:rsidRPr="00A73E53">
        <w:rPr>
          <w:rFonts w:ascii="Arial" w:cs="Arial"/>
        </w:rPr>
        <w:t xml:space="preserve"> energy cooperative model to counterbalance large energy producers and reduce reliance on external actors.</w:t>
      </w:r>
    </w:p>
    <w:p w14:paraId="7304709B" w14:textId="5FC21605" w:rsidR="009E6C55" w:rsidRPr="00702488" w:rsidRDefault="009E6C55" w:rsidP="009E6C55">
      <w:r w:rsidRPr="00702488">
        <w:rPr>
          <w:b/>
          <w:bCs/>
        </w:rPr>
        <w:t>A new Danube transport era – down by the river</w:t>
      </w:r>
      <w:r w:rsidRPr="00702488">
        <w:t xml:space="preserve">. The Danube River has for years </w:t>
      </w:r>
      <w:r>
        <w:t>been</w:t>
      </w:r>
      <w:r w:rsidRPr="00702488">
        <w:t xml:space="preserve"> a key waterway for cargo transport. Data from 2014 indicate that more than 40 million tons of goods were carried, with 14 million tons on the Romanian-Black Sea channel. </w:t>
      </w:r>
      <w:r>
        <w:t>T</w:t>
      </w:r>
      <w:r w:rsidRPr="00702488">
        <w:t xml:space="preserve">he largest transport volumes </w:t>
      </w:r>
      <w:r>
        <w:t>were</w:t>
      </w:r>
      <w:r w:rsidRPr="00702488">
        <w:t xml:space="preserve"> in</w:t>
      </w:r>
      <w:r>
        <w:t xml:space="preserve"> </w:t>
      </w:r>
      <w:r w:rsidRPr="00702488">
        <w:t xml:space="preserve">Lower Danube, followed by Upper Danube </w:t>
      </w:r>
      <w:r w:rsidRPr="00702488">
        <w:fldChar w:fldCharType="begin"/>
      </w:r>
      <w:r w:rsidR="001C3DA6">
        <w:instrText xml:space="preserve"> ADDIN ZOTERO_ITEM CSL_CITATION {"citationID":"a2o1ad9pkib","properties":{"formattedCitation":"(ProDanube International, 2016)","plainCitation":"(ProDanube International, 2016)","noteIndex":0},"citationItems":[{"id":8508,"uris":["http://zotero.org/groups/4075961/items/YD7EVINM"],"itemData":{"id":8508,"type":"document","title":"Factsheet Danube Transportation","author":[{"family":"ProDanube International","given":""}],"issued":{"date-parts":[["2016",9]]}}}],"schema":"https://github.com/citation-style-language/schema/raw/master/csl-citation.json"} </w:instrText>
      </w:r>
      <w:r w:rsidRPr="00702488">
        <w:fldChar w:fldCharType="separate"/>
      </w:r>
      <w:r w:rsidR="001C3DA6" w:rsidRPr="001C3DA6">
        <w:rPr>
          <w:rFonts w:ascii="Arial" w:cs="Arial"/>
        </w:rPr>
        <w:t>(ProDanube International, 2016)</w:t>
      </w:r>
      <w:r w:rsidRPr="00702488">
        <w:fldChar w:fldCharType="end"/>
      </w:r>
      <w:r w:rsidRPr="00702488">
        <w:t xml:space="preserve">. The increase in industrial production </w:t>
      </w:r>
      <w:r>
        <w:t xml:space="preserve">up to </w:t>
      </w:r>
      <w:r w:rsidRPr="00702488">
        <w:t xml:space="preserve">2050, required more and faster connections across the river. In addition, ports </w:t>
      </w:r>
      <w:r>
        <w:t xml:space="preserve">have been made </w:t>
      </w:r>
      <w:r w:rsidRPr="00702488">
        <w:t xml:space="preserve">more sustainable by 2050. Therefore, the Danube Region decided to increase its focus and investments </w:t>
      </w:r>
      <w:r>
        <w:t>o</w:t>
      </w:r>
      <w:r w:rsidRPr="00702488">
        <w:t>n waterway transport possibilities instead of rail. By 2050, increased integration across the EUSDR has reduce</w:t>
      </w:r>
      <w:r>
        <w:t>d</w:t>
      </w:r>
      <w:r w:rsidRPr="00702488">
        <w:t xml:space="preserve"> administrative transport barriers and increase</w:t>
      </w:r>
      <w:r>
        <w:t>d</w:t>
      </w:r>
      <w:r w:rsidRPr="00702488">
        <w:t xml:space="preserve"> the </w:t>
      </w:r>
      <w:r>
        <w:t xml:space="preserve">use of </w:t>
      </w:r>
      <w:r w:rsidRPr="00702488">
        <w:t xml:space="preserve">inland river waterways all across the </w:t>
      </w:r>
      <w:r>
        <w:t>region</w:t>
      </w:r>
      <w:r w:rsidRPr="00702488">
        <w:t>. The river has become a key trade transport node in the region, increasing carriage and the importance of port cities</w:t>
      </w:r>
      <w:r>
        <w:t xml:space="preserve"> </w:t>
      </w:r>
      <w:r w:rsidR="00AD0EEE" w:rsidRPr="00AD0EEE">
        <w:t>(Map 7-1)</w:t>
      </w:r>
      <w:r w:rsidRPr="00AD0EEE">
        <w:t>.</w:t>
      </w:r>
      <w:r w:rsidRPr="00702488">
        <w:t xml:space="preserve"> Bottlenecks have been resolved</w:t>
      </w:r>
      <w:r>
        <w:t xml:space="preserve"> and</w:t>
      </w:r>
      <w:r w:rsidRPr="00702488">
        <w:t xml:space="preserve"> sustainable solutions, such as hydrogen, implemented</w:t>
      </w:r>
      <w:r>
        <w:t>. A</w:t>
      </w:r>
      <w:r w:rsidRPr="00702488">
        <w:t xml:space="preserve">n enhanced network of multi-modal ports has been gradually developed and more agreements between countries have </w:t>
      </w:r>
      <w:r>
        <w:t>made</w:t>
      </w:r>
      <w:r w:rsidRPr="00702488">
        <w:t xml:space="preserve"> transportation</w:t>
      </w:r>
      <w:r>
        <w:t xml:space="preserve"> easier</w:t>
      </w:r>
      <w:r w:rsidRPr="00702488">
        <w:t xml:space="preserve">. </w:t>
      </w:r>
      <w:r>
        <w:t>H</w:t>
      </w:r>
      <w:r w:rsidRPr="00702488">
        <w:t>armonising the administrative procedure</w:t>
      </w:r>
      <w:r>
        <w:t>,</w:t>
      </w:r>
      <w:r w:rsidRPr="00702488">
        <w:t xml:space="preserve"> following the concept of ‘same river-same rules’ along the river </w:t>
      </w:r>
      <w:r>
        <w:t xml:space="preserve">has </w:t>
      </w:r>
      <w:r w:rsidRPr="00702488">
        <w:t xml:space="preserve">decreased costs and time </w:t>
      </w:r>
      <w:r w:rsidRPr="00702488">
        <w:fldChar w:fldCharType="begin"/>
      </w:r>
      <w:r w:rsidR="001C3DA6">
        <w:instrText xml:space="preserve"> ADDIN ZOTERO_ITEM CSL_CITATION {"citationID":"Xk3fvEkv","properties":{"formattedCitation":"(ProDanube International, 2016)","plainCitation":"(ProDanube International, 2016)","noteIndex":0},"citationItems":[{"id":8508,"uris":["http://zotero.org/groups/4075961/items/YD7EVINM"],"itemData":{"id":8508,"type":"document","title":"Factsheet Danube Transportation","author":[{"family":"ProDanube International","given":""}],"issued":{"date-parts":[["2016",9]]}}}],"schema":"https://github.com/citation-style-language/schema/raw/master/csl-citation.json"} </w:instrText>
      </w:r>
      <w:r w:rsidRPr="00702488">
        <w:fldChar w:fldCharType="separate"/>
      </w:r>
      <w:r w:rsidR="001C3DA6" w:rsidRPr="001C3DA6">
        <w:rPr>
          <w:rFonts w:ascii="Arial" w:cs="Arial"/>
        </w:rPr>
        <w:t>(ProDanube International, 2016)</w:t>
      </w:r>
      <w:r w:rsidRPr="00702488">
        <w:fldChar w:fldCharType="end"/>
      </w:r>
      <w:r w:rsidRPr="00702488">
        <w:t xml:space="preserve">. </w:t>
      </w:r>
    </w:p>
    <w:p w14:paraId="0C60EE43" w14:textId="26D23C4E" w:rsidR="009E6C55" w:rsidRPr="00702488" w:rsidRDefault="009E6C55" w:rsidP="009E6C55">
      <w:r w:rsidRPr="00702488">
        <w:rPr>
          <w:b/>
          <w:bCs/>
        </w:rPr>
        <w:t>Flying logistics</w:t>
      </w:r>
      <w:r w:rsidRPr="00702488">
        <w:t xml:space="preserve">. </w:t>
      </w:r>
      <w:r>
        <w:t>D</w:t>
      </w:r>
      <w:r w:rsidRPr="00702488">
        <w:t>igitalisation</w:t>
      </w:r>
      <w:r>
        <w:t>,</w:t>
      </w:r>
      <w:r w:rsidRPr="00702488">
        <w:t xml:space="preserve"> e-services</w:t>
      </w:r>
      <w:r>
        <w:t xml:space="preserve"> and especially e-commerce stimulated during</w:t>
      </w:r>
      <w:r w:rsidRPr="00702488">
        <w:t xml:space="preserve"> the COVID-19 pandemic </w:t>
      </w:r>
      <w:r>
        <w:t>have</w:t>
      </w:r>
      <w:r w:rsidRPr="00702488">
        <w:t xml:space="preserve"> entered into a new era </w:t>
      </w:r>
      <w:r w:rsidRPr="00702488">
        <w:fldChar w:fldCharType="begin"/>
      </w:r>
      <w:r w:rsidR="001C3DA6">
        <w:instrText xml:space="preserve"> ADDIN ZOTERO_ITEM CSL_CITATION {"citationID":"a16ib3nj1o0","properties":{"formattedCitation":"(DHL, 2020)","plainCitation":"(DHL, 2020)","noteIndex":0},"citationItems":[{"id":8502,"uris":["http://zotero.org/groups/4075961/items/FC8EYLFX"],"itemData":{"id":8502,"type":"document","title":"E-Commerce is growing. Are you growing with it?","author":[{"family":"DHL","given":""}],"issued":{"date-parts":[["2020"]]}}}],"schema":"https://github.com/citation-style-language/schema/raw/master/csl-citation.json"} </w:instrText>
      </w:r>
      <w:r w:rsidRPr="00702488">
        <w:fldChar w:fldCharType="separate"/>
      </w:r>
      <w:r w:rsidR="001C3DA6" w:rsidRPr="001C3DA6">
        <w:rPr>
          <w:rFonts w:ascii="Arial" w:cs="Arial"/>
        </w:rPr>
        <w:t>(DHL, 2020)</w:t>
      </w:r>
      <w:r w:rsidRPr="00702488">
        <w:fldChar w:fldCharType="end"/>
      </w:r>
      <w:r w:rsidRPr="00702488">
        <w:t xml:space="preserve">. </w:t>
      </w:r>
      <w:r>
        <w:t>Although</w:t>
      </w:r>
      <w:r w:rsidRPr="00702488">
        <w:t xml:space="preserve"> many things </w:t>
      </w:r>
      <w:r>
        <w:t>are</w:t>
      </w:r>
      <w:r w:rsidRPr="00702488">
        <w:t xml:space="preserve"> available virtually in the metaverse, logistics play a </w:t>
      </w:r>
      <w:r>
        <w:t xml:space="preserve">major </w:t>
      </w:r>
      <w:r w:rsidRPr="00702488">
        <w:t xml:space="preserve">role and have adjusted to the new needs. </w:t>
      </w:r>
      <w:r>
        <w:t>D</w:t>
      </w:r>
      <w:r w:rsidRPr="00702488">
        <w:t xml:space="preserve">rones </w:t>
      </w:r>
      <w:r>
        <w:t>and</w:t>
      </w:r>
      <w:r w:rsidRPr="00702488">
        <w:t xml:space="preserve"> other autonomous robots</w:t>
      </w:r>
      <w:r>
        <w:t xml:space="preserve"> mean</w:t>
      </w:r>
      <w:r w:rsidRPr="00702488">
        <w:t xml:space="preserve"> the delivery of good</w:t>
      </w:r>
      <w:r>
        <w:t>s</w:t>
      </w:r>
      <w:r w:rsidRPr="00702488">
        <w:t xml:space="preserve"> home has never been faster </w:t>
      </w:r>
      <w:r>
        <w:t>or</w:t>
      </w:r>
      <w:r w:rsidRPr="00702488">
        <w:t xml:space="preserve"> easier. </w:t>
      </w:r>
    </w:p>
    <w:p w14:paraId="7DA12EDE" w14:textId="278DB57F" w:rsidR="009E6C55" w:rsidRPr="00702488" w:rsidRDefault="009E6C55" w:rsidP="009E6C55">
      <w:r w:rsidRPr="00702488">
        <w:rPr>
          <w:b/>
          <w:bCs/>
        </w:rPr>
        <w:t>People’s travels</w:t>
      </w:r>
      <w:r w:rsidRPr="00702488">
        <w:t xml:space="preserve">. Hyper-digitalisation has </w:t>
      </w:r>
      <w:r>
        <w:t>reduced</w:t>
      </w:r>
      <w:r w:rsidRPr="00702488">
        <w:t xml:space="preserve"> travel and people transport </w:t>
      </w:r>
      <w:r>
        <w:t>in a major way</w:t>
      </w:r>
      <w:r w:rsidRPr="00702488">
        <w:t xml:space="preserve">. Physical meetings have been largely replaced by digital ones. Nevertheless, people </w:t>
      </w:r>
      <w:r>
        <w:t xml:space="preserve">can </w:t>
      </w:r>
      <w:r w:rsidRPr="00702488">
        <w:t>use electric self-driving cars</w:t>
      </w:r>
      <w:r>
        <w:t xml:space="preserve"> with lower</w:t>
      </w:r>
      <w:r w:rsidRPr="00702488">
        <w:t xml:space="preserve"> CO</w:t>
      </w:r>
      <w:r w:rsidRPr="00702488">
        <w:rPr>
          <w:vertAlign w:val="subscript"/>
        </w:rPr>
        <w:t>2</w:t>
      </w:r>
      <w:r w:rsidRPr="00702488">
        <w:t xml:space="preserve"> emissions. Public transport has also been modernised, using clean energy and technology. Improved road connections, especially cross-border, </w:t>
      </w:r>
      <w:r>
        <w:t>along with</w:t>
      </w:r>
      <w:r w:rsidRPr="00702488">
        <w:t xml:space="preserve"> a multimodal TEN-T core and extended network have by 2050 gradually facilitat</w:t>
      </w:r>
      <w:r>
        <w:t>ed</w:t>
      </w:r>
      <w:r w:rsidRPr="00702488">
        <w:t xml:space="preserve"> trade, logistics and travel </w:t>
      </w:r>
      <w:r w:rsidRPr="00702488">
        <w:fldChar w:fldCharType="begin"/>
      </w:r>
      <w:r w:rsidR="001C3DA6">
        <w:instrText xml:space="preserve"> ADDIN ZOTERO_ITEM CSL_CITATION {"citationID":"a1jlvir5ffs","properties":{"formattedCitation":"(Interreg Danube Transnational Programme &amp; EUSDR, 2018)","plainCitation":"(Interreg Danube Transnational Programme &amp; EUSDR, 2018)","noteIndex":0},"citationItems":[{"id":8517,"uris":["http://zotero.org/groups/4075961/items/KYW397BQ"],"itemData":{"id":8517,"type":"report","title":"Transport Infrastructure in the Danube Region - Road Links. Project Report.","author":[{"family":"Interreg Danube Transnational Programme","given":""},{"family":"EUSDR","given":""}],"issued":{"date-parts":[["2018"]]}}}],"schema":"https://github.com/citation-style-language/schema/raw/master/csl-citation.json"} </w:instrText>
      </w:r>
      <w:r w:rsidRPr="00702488">
        <w:fldChar w:fldCharType="separate"/>
      </w:r>
      <w:r w:rsidR="001C3DA6" w:rsidRPr="001C3DA6">
        <w:rPr>
          <w:rFonts w:ascii="Arial" w:cs="Arial"/>
        </w:rPr>
        <w:t>(Interreg Danube Transnational Programme &amp; EUSDR, 2018)</w:t>
      </w:r>
      <w:r w:rsidRPr="00702488">
        <w:fldChar w:fldCharType="end"/>
      </w:r>
      <w:r w:rsidRPr="00702488">
        <w:t xml:space="preserve">. </w:t>
      </w:r>
    </w:p>
    <w:p w14:paraId="0D6E2B31" w14:textId="2B8FF322" w:rsidR="00C52F29" w:rsidRDefault="009E6C55" w:rsidP="009E6C55">
      <w:pPr>
        <w:rPr>
          <w:i/>
          <w:iCs/>
        </w:rPr>
      </w:pPr>
      <w:r w:rsidRPr="00702488">
        <w:rPr>
          <w:i/>
          <w:iCs/>
        </w:rPr>
        <w:t xml:space="preserve">Transport hubs play an important role by 2050 and ports </w:t>
      </w:r>
      <w:r>
        <w:rPr>
          <w:i/>
          <w:iCs/>
        </w:rPr>
        <w:t>on</w:t>
      </w:r>
      <w:r w:rsidRPr="00702488">
        <w:rPr>
          <w:i/>
          <w:iCs/>
        </w:rPr>
        <w:t xml:space="preserve"> the Danube River have taken over this role. Serbia, Romania and Hungary </w:t>
      </w:r>
      <w:r>
        <w:rPr>
          <w:i/>
          <w:iCs/>
        </w:rPr>
        <w:t>have</w:t>
      </w:r>
      <w:r w:rsidRPr="00702488">
        <w:rPr>
          <w:i/>
          <w:iCs/>
        </w:rPr>
        <w:t xml:space="preserve"> the majority of ports</w:t>
      </w:r>
      <w:r>
        <w:rPr>
          <w:i/>
          <w:iCs/>
        </w:rPr>
        <w:t xml:space="preserve"> and</w:t>
      </w:r>
      <w:r w:rsidRPr="00702488">
        <w:rPr>
          <w:i/>
          <w:iCs/>
        </w:rPr>
        <w:t xml:space="preserve"> port cities </w:t>
      </w:r>
      <w:r>
        <w:rPr>
          <w:i/>
          <w:iCs/>
        </w:rPr>
        <w:t>are</w:t>
      </w:r>
      <w:r w:rsidRPr="00702488">
        <w:rPr>
          <w:i/>
          <w:iCs/>
        </w:rPr>
        <w:t xml:space="preserve"> more importan</w:t>
      </w:r>
      <w:r>
        <w:rPr>
          <w:i/>
          <w:iCs/>
        </w:rPr>
        <w:t>t</w:t>
      </w:r>
      <w:r w:rsidRPr="00702488">
        <w:rPr>
          <w:i/>
          <w:iCs/>
        </w:rPr>
        <w:t>, serving key transport corridors and connections.</w:t>
      </w:r>
      <w:r w:rsidR="00E54003" w:rsidRPr="00702488">
        <w:rPr>
          <w:i/>
          <w:iCs/>
        </w:rPr>
        <w:t xml:space="preserve"> </w:t>
      </w:r>
    </w:p>
    <w:p w14:paraId="2445267D" w14:textId="77777777" w:rsidR="0060636E" w:rsidRPr="00F24DBB" w:rsidRDefault="0060636E" w:rsidP="0060636E">
      <w:pPr>
        <w:shd w:val="clear" w:color="auto" w:fill="D9D9D9" w:themeFill="background1" w:themeFillShade="D9"/>
        <w:rPr>
          <w:b/>
          <w:bCs/>
        </w:rPr>
      </w:pPr>
      <w:r w:rsidRPr="00F24DBB">
        <w:rPr>
          <w:b/>
          <w:bCs/>
        </w:rPr>
        <w:t>Terristory: River of Internet of Things – Danube 2050</w:t>
      </w:r>
    </w:p>
    <w:p w14:paraId="6AD618E1" w14:textId="0BE25CA9" w:rsidR="00F24DBB" w:rsidRPr="00BF0071" w:rsidRDefault="0060636E" w:rsidP="0060636E">
      <w:pPr>
        <w:shd w:val="clear" w:color="auto" w:fill="D9D9D9" w:themeFill="background1" w:themeFillShade="D9"/>
      </w:pPr>
      <w:r w:rsidRPr="00F24DBB">
        <w:t>The Danube River is one of the most high-tech transport routes in the EU, link</w:t>
      </w:r>
      <w:r>
        <w:t>ing</w:t>
      </w:r>
      <w:r w:rsidRPr="00F24DBB">
        <w:t xml:space="preserve"> inland-EU territories and the Black Sea. Several checkpoints along the river ensure that boats move in the most efficient manner, and automated response mechanisms can stop or speed up their movement. All the ports along the river are almost entirely automated, with robots loading and unloading with surgical precision while keeping very tight schedules. All boats and docks </w:t>
      </w:r>
      <w:r>
        <w:t>have</w:t>
      </w:r>
      <w:r w:rsidRPr="00F24DBB">
        <w:t xml:space="preserve"> multiple sensors that record a plethora of data points, which along with waterbed data, are fed into digital twin models powered by </w:t>
      </w:r>
      <w:r>
        <w:t>artificial intelligence</w:t>
      </w:r>
      <w:r w:rsidRPr="00F24DBB">
        <w:t xml:space="preserve">. These models process vast amounts of data to ensure that supply chains run efficiently while </w:t>
      </w:r>
      <w:r>
        <w:t>considering</w:t>
      </w:r>
      <w:r w:rsidRPr="00F24DBB">
        <w:t xml:space="preserve"> the complexity of warehouses, transport routes, delivery companies and end-users.</w:t>
      </w:r>
    </w:p>
    <w:p w14:paraId="09B48FD4" w14:textId="43E3C295" w:rsidR="006B7EEE" w:rsidRPr="00702488" w:rsidRDefault="006B7EEE" w:rsidP="006B7EEE">
      <w:pPr>
        <w:pStyle w:val="BodyText"/>
      </w:pPr>
      <w:r w:rsidRPr="00702488">
        <w:rPr>
          <w:b/>
          <w:bCs/>
        </w:rPr>
        <w:t>Niche and virtual tourism</w:t>
      </w:r>
      <w:r w:rsidRPr="00702488">
        <w:t xml:space="preserve">. By 2050, virtual tourism has increased offering tailored tourism solutions with virtual reality tours in places and cultural sites. Tourism products are tailored to the new users. Smart solutions </w:t>
      </w:r>
      <w:r>
        <w:t>and</w:t>
      </w:r>
      <w:r w:rsidRPr="00702488">
        <w:t xml:space="preserve"> alternative sustainable tourism make places and activities more ‘instagramable’. Virtual tours decrease inequalities and </w:t>
      </w:r>
      <w:r>
        <w:t>cater</w:t>
      </w:r>
      <w:r w:rsidRPr="00702488">
        <w:t xml:space="preserve"> to a wider range of people. </w:t>
      </w:r>
      <w:r>
        <w:t>There are</w:t>
      </w:r>
      <w:r w:rsidRPr="00702488">
        <w:t xml:space="preserve"> new solutions and approaches to long distance travel </w:t>
      </w:r>
      <w:r w:rsidRPr="00702488">
        <w:fldChar w:fldCharType="begin"/>
      </w:r>
      <w:r w:rsidR="001C3DA6">
        <w:instrText xml:space="preserve"> ADDIN ZOTERO_ITEM CSL_CITATION {"citationID":"aunhd2f0gr","properties":{"formattedCitation":"(European Commission, 2021d)","plainCitation":"(European Commission, 2021d)","noteIndex":0},"citationItems":[{"id":8474,"uris":["http://zotero.org/groups/4075961/items/3FMLRCTC"],"itemData":{"id":8474,"type":"report","title":"Regional impacts of the COVID-19 crisis on the tourist sector. Final Report.","author":[{"family":"European Commission","given":""}],"issued":{"date-parts":[["2021"]]}}}],"schema":"https://github.com/citation-style-language/schema/raw/master/csl-citation.json"} </w:instrText>
      </w:r>
      <w:r w:rsidRPr="00702488">
        <w:fldChar w:fldCharType="separate"/>
      </w:r>
      <w:r w:rsidR="001C3DA6" w:rsidRPr="001C3DA6">
        <w:rPr>
          <w:rFonts w:ascii="Arial" w:cs="Arial"/>
        </w:rPr>
        <w:t>(European Commission, 2021d)</w:t>
      </w:r>
      <w:r w:rsidRPr="00702488">
        <w:fldChar w:fldCharType="end"/>
      </w:r>
      <w:r w:rsidRPr="00702488">
        <w:t xml:space="preserve">. Hyper-digitalisation has not only increased tourism products, but also the need for upskilling personnel and adjusting businesses to cope with the changes. At the same time, richer </w:t>
      </w:r>
      <w:r>
        <w:t>people</w:t>
      </w:r>
      <w:r w:rsidRPr="00702488">
        <w:t xml:space="preserve"> still travel physically to pristine tourism hotspots in the Danube region and beyond, or experiment with commercial tourism space travel.</w:t>
      </w:r>
    </w:p>
    <w:p w14:paraId="6EFE7C93" w14:textId="77777777" w:rsidR="006B7EEE" w:rsidRPr="00702488" w:rsidRDefault="006B7EEE" w:rsidP="006B7EEE">
      <w:pPr>
        <w:rPr>
          <w:i/>
          <w:iCs/>
        </w:rPr>
      </w:pPr>
      <w:r w:rsidRPr="00702488">
        <w:rPr>
          <w:i/>
          <w:iCs/>
        </w:rPr>
        <w:t xml:space="preserve">Regions offering high quality tourism products and tourism hotspots in the region welcoming </w:t>
      </w:r>
      <w:r>
        <w:rPr>
          <w:i/>
          <w:iCs/>
        </w:rPr>
        <w:t xml:space="preserve">the </w:t>
      </w:r>
      <w:r w:rsidRPr="00702488">
        <w:rPr>
          <w:i/>
          <w:iCs/>
        </w:rPr>
        <w:t xml:space="preserve">most tourists. Urban tourism also gains ground </w:t>
      </w:r>
      <w:r>
        <w:rPr>
          <w:i/>
          <w:iCs/>
        </w:rPr>
        <w:t>with many</w:t>
      </w:r>
      <w:r w:rsidRPr="00702488">
        <w:rPr>
          <w:i/>
          <w:iCs/>
        </w:rPr>
        <w:t xml:space="preserve"> digital tourism offers in urban areas, while other tourism regions also adapt to the changing tourism profile.</w:t>
      </w:r>
    </w:p>
    <w:p w14:paraId="2016FB4D" w14:textId="12FEFFB7" w:rsidR="00855FFD" w:rsidRDefault="006B7EEE" w:rsidP="006B7EEE">
      <w:pPr>
        <w:rPr>
          <w:i/>
          <w:iCs/>
        </w:rPr>
      </w:pPr>
      <w:r w:rsidRPr="00702488">
        <w:rPr>
          <w:i/>
          <w:iCs/>
        </w:rPr>
        <w:t xml:space="preserve">Although digital connectivity has largely improved by 2050, including </w:t>
      </w:r>
      <w:r>
        <w:rPr>
          <w:i/>
          <w:iCs/>
        </w:rPr>
        <w:t>in</w:t>
      </w:r>
      <w:r w:rsidRPr="00702488">
        <w:rPr>
          <w:i/>
          <w:iCs/>
        </w:rPr>
        <w:t xml:space="preserve"> rural areas, the tourism profile </w:t>
      </w:r>
      <w:r>
        <w:rPr>
          <w:i/>
          <w:iCs/>
        </w:rPr>
        <w:t>in</w:t>
      </w:r>
      <w:r w:rsidRPr="00702488">
        <w:rPr>
          <w:i/>
          <w:iCs/>
        </w:rPr>
        <w:t xml:space="preserve"> the </w:t>
      </w:r>
      <w:r>
        <w:rPr>
          <w:i/>
          <w:iCs/>
        </w:rPr>
        <w:t>macro-</w:t>
      </w:r>
      <w:r w:rsidRPr="00702488">
        <w:rPr>
          <w:i/>
          <w:iCs/>
        </w:rPr>
        <w:t xml:space="preserve">region had to undergo substantial changes. </w:t>
      </w:r>
      <w:r>
        <w:rPr>
          <w:i/>
          <w:iCs/>
        </w:rPr>
        <w:t>T</w:t>
      </w:r>
      <w:r w:rsidRPr="00702488">
        <w:rPr>
          <w:i/>
          <w:iCs/>
        </w:rPr>
        <w:t xml:space="preserve">ourism </w:t>
      </w:r>
      <w:r>
        <w:rPr>
          <w:i/>
          <w:iCs/>
        </w:rPr>
        <w:t>remains</w:t>
      </w:r>
      <w:r w:rsidRPr="00702488">
        <w:rPr>
          <w:i/>
          <w:iCs/>
        </w:rPr>
        <w:t xml:space="preserve"> </w:t>
      </w:r>
      <w:r>
        <w:rPr>
          <w:i/>
          <w:iCs/>
        </w:rPr>
        <w:t>mainly</w:t>
      </w:r>
      <w:r w:rsidRPr="00702488">
        <w:rPr>
          <w:i/>
          <w:iCs/>
        </w:rPr>
        <w:t xml:space="preserve"> rural and mountain / nature tourism, e.g. in most of Romania, east and south of Hungary, most of Slovakia. </w:t>
      </w:r>
      <w:r>
        <w:rPr>
          <w:i/>
          <w:iCs/>
        </w:rPr>
        <w:t>Places wh</w:t>
      </w:r>
      <w:r w:rsidRPr="00702488">
        <w:rPr>
          <w:i/>
          <w:iCs/>
        </w:rPr>
        <w:t xml:space="preserve">ere digital access has long been higher, i.e. in cities, would profit more from this shift in tourism. These are places like capital cities in the region, as well as Botosani or Timisoara in Romania. </w:t>
      </w:r>
      <w:r w:rsidRPr="00702488">
        <w:rPr>
          <w:i/>
          <w:iCs/>
        </w:rPr>
        <w:fldChar w:fldCharType="begin"/>
      </w:r>
      <w:r w:rsidR="001C3DA6">
        <w:rPr>
          <w:i/>
          <w:iCs/>
        </w:rPr>
        <w:instrText xml:space="preserve"> ADDIN ZOTERO_ITEM CSL_CITATION {"citationID":"a2qdi5no4h7","properties":{"formattedCitation":"(European Commission, 2021d)","plainCitation":"(European Commission, 2021d)","noteIndex":0},"citationItems":[{"id":8474,"uris":["http://zotero.org/groups/4075961/items/3FMLRCTC"],"itemData":{"id":8474,"type":"report","title":"Regional impacts of the COVID-19 crisis on the tourist sector. Final Report.","author":[{"family":"European Commission","given":""}],"issued":{"date-parts":[["2021"]]}}}],"schema":"https://github.com/citation-style-language/schema/raw/master/csl-citation.json"} </w:instrText>
      </w:r>
      <w:r w:rsidRPr="00702488">
        <w:rPr>
          <w:i/>
          <w:iCs/>
        </w:rPr>
        <w:fldChar w:fldCharType="separate"/>
      </w:r>
      <w:r w:rsidR="001C3DA6" w:rsidRPr="001C3DA6">
        <w:rPr>
          <w:rFonts w:ascii="Arial" w:cs="Arial"/>
        </w:rPr>
        <w:t>(European Commission, 2021d)</w:t>
      </w:r>
      <w:r w:rsidRPr="00702488">
        <w:rPr>
          <w:i/>
          <w:iCs/>
        </w:rPr>
        <w:fldChar w:fldCharType="end"/>
      </w:r>
    </w:p>
    <w:p w14:paraId="75EA8625" w14:textId="77777777" w:rsidR="003178F8" w:rsidRPr="005C00E8" w:rsidRDefault="003178F8" w:rsidP="003178F8">
      <w:pPr>
        <w:shd w:val="clear" w:color="auto" w:fill="D9D9D9" w:themeFill="background1" w:themeFillShade="D9"/>
        <w:rPr>
          <w:b/>
          <w:bCs/>
        </w:rPr>
      </w:pPr>
      <w:r w:rsidRPr="005C00E8">
        <w:rPr>
          <w:b/>
          <w:bCs/>
        </w:rPr>
        <w:t>Terristory: Digi-Green Iron Gate cross border tourism – Danube Region 2050</w:t>
      </w:r>
    </w:p>
    <w:p w14:paraId="412921E4" w14:textId="77777777" w:rsidR="003178F8" w:rsidRPr="005C00E8" w:rsidRDefault="003178F8" w:rsidP="003178F8">
      <w:pPr>
        <w:shd w:val="clear" w:color="auto" w:fill="D9D9D9" w:themeFill="background1" w:themeFillShade="D9"/>
      </w:pPr>
      <w:r w:rsidRPr="005C00E8">
        <w:t xml:space="preserve">By the end of 2050 </w:t>
      </w:r>
      <w:r>
        <w:t xml:space="preserve">the </w:t>
      </w:r>
      <w:r w:rsidRPr="005C00E8">
        <w:t xml:space="preserve">cross-border area of Danube Iron Gate </w:t>
      </w:r>
      <w:r>
        <w:t>is</w:t>
      </w:r>
      <w:r w:rsidRPr="005C00E8">
        <w:t xml:space="preserve"> offering eco-friendly tourism products. </w:t>
      </w:r>
      <w:r>
        <w:t>T</w:t>
      </w:r>
      <w:r w:rsidRPr="005C00E8">
        <w:t>ourism niches are hiking, camping, sailing, cycling, rural, eco and work-tourism. The region capitalised on hyper-digitalisation using smart solution</w:t>
      </w:r>
      <w:r>
        <w:t>s</w:t>
      </w:r>
      <w:r w:rsidRPr="005C00E8">
        <w:t xml:space="preserve"> to sustain eco-friendly on-site tourism and offering 3D virtual tours of historical, cultural and natural sites. Transport between towns and villages in the region </w:t>
      </w:r>
      <w:r>
        <w:t>uses</w:t>
      </w:r>
      <w:r w:rsidRPr="005C00E8">
        <w:t xml:space="preserve"> electric and hydrogen vehicles, and most cruise ships are powered </w:t>
      </w:r>
      <w:r>
        <w:t>by</w:t>
      </w:r>
      <w:r w:rsidRPr="005C00E8">
        <w:t xml:space="preserve"> hydrogen. As the population declines, most production and services are digitalised and robotised. </w:t>
      </w:r>
      <w:r>
        <w:t>F</w:t>
      </w:r>
      <w:r w:rsidRPr="005C00E8">
        <w:t>ood, drinks and other goods are delivered to tourists by drone, and preparation is robotised except in households offering rural tourism experience</w:t>
      </w:r>
      <w:r>
        <w:t>s</w:t>
      </w:r>
      <w:r w:rsidRPr="005C00E8">
        <w:t xml:space="preserve">. The region became </w:t>
      </w:r>
      <w:r>
        <w:t>an</w:t>
      </w:r>
      <w:r w:rsidRPr="005C00E8">
        <w:t xml:space="preserve"> oasis for digital nomads </w:t>
      </w:r>
      <w:r>
        <w:t>and a</w:t>
      </w:r>
      <w:r w:rsidRPr="005C00E8">
        <w:t>s a result of h</w:t>
      </w:r>
      <w:r>
        <w:t>y</w:t>
      </w:r>
      <w:r w:rsidRPr="005C00E8">
        <w:t>per-digitalisation, the region's energy demand increased.</w:t>
      </w:r>
    </w:p>
    <w:p w14:paraId="620609C2" w14:textId="77777777" w:rsidR="003178F8" w:rsidRPr="005C00E8" w:rsidRDefault="003178F8" w:rsidP="003178F8">
      <w:pPr>
        <w:shd w:val="clear" w:color="auto" w:fill="D9D9D9" w:themeFill="background1" w:themeFillShade="D9"/>
        <w:rPr>
          <w:b/>
          <w:bCs/>
        </w:rPr>
      </w:pPr>
      <w:r w:rsidRPr="005C00E8">
        <w:rPr>
          <w:b/>
          <w:bCs/>
        </w:rPr>
        <w:t>Terristory: Delta3.0 – Danube Delta 2050</w:t>
      </w:r>
    </w:p>
    <w:p w14:paraId="158388D7" w14:textId="1CB140D4" w:rsidR="005C00E8" w:rsidRPr="005C00E8" w:rsidRDefault="003178F8" w:rsidP="003178F8">
      <w:pPr>
        <w:shd w:val="clear" w:color="auto" w:fill="D9D9D9" w:themeFill="background1" w:themeFillShade="D9"/>
      </w:pPr>
      <w:r w:rsidRPr="005C00E8">
        <w:t>The Danube Delta has become a centre of attention due to its remoteness and early technology adoption. VR start</w:t>
      </w:r>
      <w:r>
        <w:t>-</w:t>
      </w:r>
      <w:r w:rsidRPr="005C00E8">
        <w:t>ups, encouraged by environmental NGOs, create</w:t>
      </w:r>
      <w:r>
        <w:t>d</w:t>
      </w:r>
      <w:r w:rsidRPr="005C00E8">
        <w:t xml:space="preserve"> virtual tours of the Danube Delta to promot</w:t>
      </w:r>
      <w:r>
        <w:t>e</w:t>
      </w:r>
      <w:r w:rsidRPr="005C00E8">
        <w:t xml:space="preserve"> its natural wonders to the world </w:t>
      </w:r>
      <w:r>
        <w:t>while</w:t>
      </w:r>
      <w:r w:rsidRPr="005C00E8">
        <w:t xml:space="preserve"> protecting it from excessive tourism. The creation of the Virtual Danube Delta required drones and robots that flew and walked around the </w:t>
      </w:r>
      <w:r>
        <w:t>area</w:t>
      </w:r>
      <w:r w:rsidRPr="005C00E8">
        <w:t xml:space="preserve"> scanning every inch, every plant and all wildlife. Today travelling to the Danube Delta is relatively expensive since it involves several means of transport and still takes almost a full day from Bucharest Airport. This is mainly because speedboats were banned, and large ships move slow</w:t>
      </w:r>
      <w:r>
        <w:t>ly</w:t>
      </w:r>
      <w:r w:rsidRPr="005C00E8">
        <w:t xml:space="preserve"> to protect wildlife. As a result, real-life tours of the Delta are still outstanding but also costly experiences. However, VR tours </w:t>
      </w:r>
      <w:r>
        <w:t>are a</w:t>
      </w:r>
      <w:r w:rsidRPr="005C00E8">
        <w:t xml:space="preserve"> significant innovation </w:t>
      </w:r>
      <w:r>
        <w:t>for visiting</w:t>
      </w:r>
      <w:r w:rsidRPr="005C00E8">
        <w:t xml:space="preserve"> the Delta without long-distance travel. Several surreal options are available, such as underwater swimming in the canals (impossible in real life due to the vegetation) or flying over the Delta with a birds-eye view, making it a more entertaining experience.</w:t>
      </w:r>
    </w:p>
    <w:p w14:paraId="552669F5" w14:textId="72C3DE42" w:rsidR="009A70CB" w:rsidRPr="00702488" w:rsidRDefault="009A70CB" w:rsidP="009A70CB">
      <w:r w:rsidRPr="00702488">
        <w:rPr>
          <w:b/>
          <w:bCs/>
        </w:rPr>
        <w:t>Agriculture getting from smart to intelligent</w:t>
      </w:r>
      <w:r w:rsidRPr="00702488">
        <w:t xml:space="preserve">. Intelligent agriculture has been the outcome of digitalisation </w:t>
      </w:r>
      <w:r>
        <w:t>for</w:t>
      </w:r>
      <w:r w:rsidRPr="00702488">
        <w:t xml:space="preserve"> agricultural practices</w:t>
      </w:r>
      <w:r>
        <w:t xml:space="preserve"> </w:t>
      </w:r>
      <w:r w:rsidR="00AD0EEE" w:rsidRPr="00AD0EEE">
        <w:t>(Map 7-1)</w:t>
      </w:r>
      <w:r w:rsidRPr="00AD0EEE">
        <w:t>.</w:t>
      </w:r>
      <w:r w:rsidRPr="00702488">
        <w:t xml:space="preserve"> </w:t>
      </w:r>
      <w:r>
        <w:t>A</w:t>
      </w:r>
      <w:r w:rsidRPr="00702488">
        <w:t xml:space="preserve">griculture has </w:t>
      </w:r>
      <w:r>
        <w:t xml:space="preserve">long </w:t>
      </w:r>
      <w:r w:rsidRPr="00702488">
        <w:t xml:space="preserve">been </w:t>
      </w:r>
      <w:r>
        <w:t>a</w:t>
      </w:r>
      <w:r w:rsidRPr="00702488">
        <w:t xml:space="preserve"> key sector responsible for pollution and carbon emissions. By 2050 the Danube Region, </w:t>
      </w:r>
      <w:r>
        <w:t>with</w:t>
      </w:r>
      <w:r w:rsidRPr="00702488">
        <w:t xml:space="preserve"> a long experience </w:t>
      </w:r>
      <w:r>
        <w:t>of</w:t>
      </w:r>
      <w:r w:rsidRPr="00702488">
        <w:t xml:space="preserve"> agriculture and the support of digitalisation have changed food production, adapting to technological developments</w:t>
      </w:r>
      <w:r>
        <w:t xml:space="preserve"> and</w:t>
      </w:r>
      <w:r w:rsidRPr="00702488">
        <w:t xml:space="preserve"> new food trends. Precision agriculture, automation and robots, virtual services, new breeding technologies, alternative protein sources as well as challenges from </w:t>
      </w:r>
      <w:r>
        <w:t>a</w:t>
      </w:r>
      <w:r w:rsidRPr="00702488">
        <w:t xml:space="preserve"> lack </w:t>
      </w:r>
      <w:r>
        <w:t>of</w:t>
      </w:r>
      <w:r w:rsidRPr="00702488">
        <w:t xml:space="preserve"> natural resources have shaped the changes in agriculture </w:t>
      </w:r>
      <w:r w:rsidRPr="00702488">
        <w:fldChar w:fldCharType="begin"/>
      </w:r>
      <w:r w:rsidR="001C3DA6">
        <w:instrText xml:space="preserve"> ADDIN ZOTERO_ITEM CSL_CITATION {"citationID":"a12gr64nuah","properties":{"formattedCitation":"(Joint Research Centre, 2021a)","plainCitation":"(Joint Research Centre, 2021a)","noteIndex":0},"citationItems":[{"id":8476,"uris":["http://zotero.org/groups/4075961/items/4RNF2Y84"],"itemData":{"id":8476,"type":"report","title":"Farmers of the Future","author":[{"family":"Joint Research Centre","given":""}],"issued":{"date-parts":[["2021"]]}}}],"schema":"https://github.com/citation-style-language/schema/raw/master/csl-citation.json"} </w:instrText>
      </w:r>
      <w:r w:rsidRPr="00702488">
        <w:fldChar w:fldCharType="separate"/>
      </w:r>
      <w:r w:rsidR="001C3DA6" w:rsidRPr="001C3DA6">
        <w:rPr>
          <w:rFonts w:ascii="Arial" w:cs="Arial"/>
        </w:rPr>
        <w:t>(Joint Research Centre, 2021a)</w:t>
      </w:r>
      <w:r w:rsidRPr="00702488">
        <w:fldChar w:fldCharType="end"/>
      </w:r>
      <w:r w:rsidRPr="00702488">
        <w:t xml:space="preserve">. By 2050 farming is a highly qualified profession where profit is the key driver. Intensive farming prevails, being technology intensive, with high automation and technical skills, facilitating certification and </w:t>
      </w:r>
      <w:r>
        <w:t>as</w:t>
      </w:r>
      <w:r w:rsidRPr="00702488">
        <w:t xml:space="preserve"> the basis for harvesting or livestock care </w:t>
      </w:r>
      <w:r w:rsidRPr="00702488">
        <w:fldChar w:fldCharType="begin"/>
      </w:r>
      <w:r w:rsidR="001C3DA6">
        <w:instrText xml:space="preserve"> ADDIN ZOTERO_ITEM CSL_CITATION {"citationID":"6PMrAya4","properties":{"formattedCitation":"(Joint Research Centre, 2021a)","plainCitation":"(Joint Research Centre, 2021a)","noteIndex":0},"citationItems":[{"id":8476,"uris":["http://zotero.org/groups/4075961/items/4RNF2Y84"],"itemData":{"id":8476,"type":"report","title":"Farmers of the Future","author":[{"family":"Joint Research Centre","given":""}],"issued":{"date-parts":[["2021"]]}}}],"schema":"https://github.com/citation-style-language/schema/raw/master/csl-citation.json"} </w:instrText>
      </w:r>
      <w:r w:rsidRPr="00702488">
        <w:fldChar w:fldCharType="separate"/>
      </w:r>
      <w:r w:rsidR="001C3DA6" w:rsidRPr="001C3DA6">
        <w:rPr>
          <w:rFonts w:ascii="Arial" w:cs="Arial"/>
        </w:rPr>
        <w:t>(Joint Research Centre, 2021a)</w:t>
      </w:r>
      <w:r w:rsidRPr="00702488">
        <w:fldChar w:fldCharType="end"/>
      </w:r>
      <w:r w:rsidRPr="00702488">
        <w:t xml:space="preserve">. There is sustainable intensification, reducing environmental consequences </w:t>
      </w:r>
      <w:r>
        <w:t>where</w:t>
      </w:r>
      <w:r w:rsidRPr="00702488">
        <w:t xml:space="preserve"> possible, while production is certified to meet market requirements. </w:t>
      </w:r>
      <w:r w:rsidRPr="00702488">
        <w:fldChar w:fldCharType="begin"/>
      </w:r>
      <w:r w:rsidR="001C3DA6">
        <w:instrText xml:space="preserve"> ADDIN ZOTERO_ITEM CSL_CITATION {"citationID":"UZhZyk25","properties":{"formattedCitation":"(Joint Research Centre, 2021a)","plainCitation":"(Joint Research Centre, 2021a)","noteIndex":0},"citationItems":[{"id":8476,"uris":["http://zotero.org/groups/4075961/items/4RNF2Y84"],"itemData":{"id":8476,"type":"report","title":"Farmers of the Future","author":[{"family":"Joint Research Centre","given":""}],"issued":{"date-parts":[["2021"]]}}}],"schema":"https://github.com/citation-style-language/schema/raw/master/csl-citation.json"} </w:instrText>
      </w:r>
      <w:r w:rsidRPr="00702488">
        <w:fldChar w:fldCharType="separate"/>
      </w:r>
      <w:r w:rsidR="001C3DA6" w:rsidRPr="001C3DA6">
        <w:rPr>
          <w:rFonts w:ascii="Arial" w:cs="Arial"/>
        </w:rPr>
        <w:t>(Joint Research Centre, 2021a)</w:t>
      </w:r>
      <w:r w:rsidRPr="00702488">
        <w:fldChar w:fldCharType="end"/>
      </w:r>
      <w:r w:rsidRPr="00702488">
        <w:t xml:space="preserve"> In addition, smart fertilisers reduce pollution and become more sustainable </w:t>
      </w:r>
      <w:r w:rsidRPr="00702488">
        <w:fldChar w:fldCharType="begin"/>
      </w:r>
      <w:r w:rsidR="001C3DA6">
        <w:instrText xml:space="preserve"> ADDIN ZOTERO_ITEM CSL_CITATION {"citationID":"a262t691nb1","properties":{"formattedCitation":"(World Economic Forum, 2019)","plainCitation":"(World Economic Forum, 2019)","noteIndex":0},"citationItems":[{"id":614,"uris":["http://zotero.org/groups/21774/items/S8Y9YL7W"],"itemData":{"id":614,"type":"document","title":"Top 10 Emerging Technologies 2019","author":[{"family":"World Economic Forum","given":""}],"issued":{"date-parts":[["2019",6]]}}}],"schema":"https://github.com/citation-style-language/schema/raw/master/csl-citation.json"} </w:instrText>
      </w:r>
      <w:r w:rsidRPr="00702488">
        <w:fldChar w:fldCharType="separate"/>
      </w:r>
      <w:r w:rsidR="001C3DA6" w:rsidRPr="001C3DA6">
        <w:rPr>
          <w:rFonts w:ascii="Arial" w:cs="Arial"/>
        </w:rPr>
        <w:t>(World Economic Forum, 2019)</w:t>
      </w:r>
      <w:r w:rsidRPr="00702488">
        <w:fldChar w:fldCharType="end"/>
      </w:r>
      <w:r w:rsidRPr="00702488">
        <w:t xml:space="preserve">. </w:t>
      </w:r>
    </w:p>
    <w:p w14:paraId="3DBBC069" w14:textId="39465437" w:rsidR="009A70CB" w:rsidRPr="00702488" w:rsidRDefault="009A70CB" w:rsidP="009A70CB">
      <w:r w:rsidRPr="00702488">
        <w:t xml:space="preserve">Nevertheless, given the increasing demand </w:t>
      </w:r>
      <w:r>
        <w:t>for</w:t>
      </w:r>
      <w:r w:rsidRPr="00702488">
        <w:t xml:space="preserve"> food, changing diet</w:t>
      </w:r>
      <w:r>
        <w:t>ary</w:t>
      </w:r>
      <w:r w:rsidRPr="00702488">
        <w:t xml:space="preserve"> habits </w:t>
      </w:r>
      <w:r>
        <w:t>and</w:t>
      </w:r>
      <w:r w:rsidRPr="00702488">
        <w:t xml:space="preserve"> opportunities that digitalisation offers, new, alternative foods are introduced by 2050. Cellular agriculture, where cell cultures from animals or micro-organisms </w:t>
      </w:r>
      <w:r>
        <w:t xml:space="preserve">are </w:t>
      </w:r>
      <w:r w:rsidRPr="00702488">
        <w:t xml:space="preserve">grown in bioreactors, </w:t>
      </w:r>
      <w:r>
        <w:t xml:space="preserve">are </w:t>
      </w:r>
      <w:r w:rsidRPr="00702488">
        <w:t>importan</w:t>
      </w:r>
      <w:r>
        <w:t>t</w:t>
      </w:r>
      <w:r w:rsidRPr="00702488">
        <w:t xml:space="preserve">. As a result, there is more ‘animal-free’ food production, respecting both animal welfare and vegan diets. Combining biotechnology with food technology skills, farmers have by 2050 been able to produce synthetic animal protein, cultured meat and other synthetic dairy products, all tailored to consumer needs, opening up new market opportunities of the ‘beyond meat’ business. </w:t>
      </w:r>
      <w:r w:rsidRPr="00702488">
        <w:fldChar w:fldCharType="begin"/>
      </w:r>
      <w:r w:rsidR="001C3DA6">
        <w:instrText xml:space="preserve"> ADDIN ZOTERO_ITEM CSL_CITATION {"citationID":"mAJ37TVU","properties":{"formattedCitation":"(Joint Research Centre, 2021a)","plainCitation":"(Joint Research Centre, 2021a)","noteIndex":0},"citationItems":[{"id":8476,"uris":["http://zotero.org/groups/4075961/items/4RNF2Y84"],"itemData":{"id":8476,"type":"report","title":"Farmers of the Future","author":[{"family":"Joint Research Centre","given":""}],"issued":{"date-parts":[["2021"]]}}}],"schema":"https://github.com/citation-style-language/schema/raw/master/csl-citation.json"} </w:instrText>
      </w:r>
      <w:r w:rsidRPr="00702488">
        <w:fldChar w:fldCharType="separate"/>
      </w:r>
      <w:r w:rsidR="001C3DA6" w:rsidRPr="001C3DA6">
        <w:rPr>
          <w:rFonts w:ascii="Arial" w:cs="Arial"/>
        </w:rPr>
        <w:t>(Joint Research Centre, 2021a)</w:t>
      </w:r>
      <w:r w:rsidRPr="00702488">
        <w:fldChar w:fldCharType="end"/>
      </w:r>
      <w:r w:rsidRPr="00702488">
        <w:t xml:space="preserve"> Agricultural production </w:t>
      </w:r>
      <w:r>
        <w:t>is</w:t>
      </w:r>
      <w:r w:rsidRPr="00702488">
        <w:t xml:space="preserve"> largely developed based on personal habits, beliefs about food, nurture and sustainability</w:t>
      </w:r>
      <w:r>
        <w:t>. P</w:t>
      </w:r>
      <w:r w:rsidRPr="00702488">
        <w:t xml:space="preserve">eople decide the person they want to be and food production </w:t>
      </w:r>
      <w:r>
        <w:t>is</w:t>
      </w:r>
      <w:r w:rsidRPr="00702488">
        <w:t xml:space="preserve"> based on this </w:t>
      </w:r>
      <w:r w:rsidRPr="00702488">
        <w:fldChar w:fldCharType="begin"/>
      </w:r>
      <w:r w:rsidR="001C3DA6">
        <w:instrText xml:space="preserve"> ADDIN ZOTERO_ITEM CSL_CITATION {"citationID":"a6corooduq","properties":{"formattedCitation":"(The Economist, 2021b)","plainCitation":"(The Economist, 2021b)","noteIndex":0},"citationItems":[{"id":8503,"uris":["http://zotero.org/groups/4075961/items/82BTBRX9"],"itemData":{"id":8503,"type":"webpage","container-title":"The Economist","title":"Technology can help deliver cleaner, greener delicious food","URL":"https://www.economist.com/technology-quarterly/2021/09/28/technology-can-help-deliver-cleaner-greener-delicious-food","author":[{"family":"The Economist","given":""}],"issued":{"date-parts":[["2021",10,2]]}}}],"schema":"https://github.com/citation-style-language/schema/raw/master/csl-citation.json"} </w:instrText>
      </w:r>
      <w:r w:rsidRPr="00702488">
        <w:fldChar w:fldCharType="separate"/>
      </w:r>
      <w:r w:rsidR="001C3DA6" w:rsidRPr="001C3DA6">
        <w:rPr>
          <w:rFonts w:ascii="Arial" w:cs="Arial"/>
        </w:rPr>
        <w:t>(The Economist, 2021b)</w:t>
      </w:r>
      <w:r w:rsidRPr="00702488">
        <w:fldChar w:fldCharType="end"/>
      </w:r>
      <w:r w:rsidRPr="00702488">
        <w:t xml:space="preserve">. </w:t>
      </w:r>
    </w:p>
    <w:p w14:paraId="66D13EE7" w14:textId="12DA93EE" w:rsidR="009A70CB" w:rsidRPr="00702488" w:rsidRDefault="009A70CB" w:rsidP="009A70CB">
      <w:pPr>
        <w:rPr>
          <w:i/>
          <w:iCs/>
        </w:rPr>
      </w:pPr>
      <w:r w:rsidRPr="00702488">
        <w:rPr>
          <w:i/>
          <w:iCs/>
        </w:rPr>
        <w:t xml:space="preserve">Although all territories are affected by the transition in agricultural practices by 2050, they mainly concern places with agricultural land and rural areas. Areas, </w:t>
      </w:r>
      <w:r>
        <w:rPr>
          <w:i/>
          <w:iCs/>
        </w:rPr>
        <w:t>with</w:t>
      </w:r>
      <w:r w:rsidRPr="00702488">
        <w:rPr>
          <w:i/>
          <w:iCs/>
        </w:rPr>
        <w:t xml:space="preserve"> extensive and intensive use of arable land have </w:t>
      </w:r>
      <w:r>
        <w:rPr>
          <w:i/>
          <w:iCs/>
        </w:rPr>
        <w:t xml:space="preserve">been </w:t>
      </w:r>
      <w:r w:rsidRPr="00702488">
        <w:rPr>
          <w:i/>
          <w:iCs/>
        </w:rPr>
        <w:t>primarily affected by the changes in agricultural practices</w:t>
      </w:r>
      <w:r>
        <w:rPr>
          <w:i/>
          <w:iCs/>
        </w:rPr>
        <w:t>. These include</w:t>
      </w:r>
      <w:r w:rsidRPr="00702488">
        <w:rPr>
          <w:i/>
          <w:iCs/>
        </w:rPr>
        <w:t xml:space="preserve"> most regions in Hungary, like Del-Dunantul, Del-Alfold, Eszak-Alfold, Nyugat-Dunantul, the region Zlapadne Slovensko in Slovakia, south west Oltenia, Sud-Muntenia Sud-Est, Nord-Est, Nord-Vest and Vest in Romania, most regions in central </w:t>
      </w:r>
      <w:r>
        <w:rPr>
          <w:i/>
          <w:iCs/>
        </w:rPr>
        <w:t xml:space="preserve">Czechia and </w:t>
      </w:r>
      <w:r w:rsidRPr="00702488">
        <w:rPr>
          <w:i/>
          <w:iCs/>
        </w:rPr>
        <w:t>east</w:t>
      </w:r>
      <w:r>
        <w:rPr>
          <w:i/>
          <w:iCs/>
        </w:rPr>
        <w:t>ern</w:t>
      </w:r>
      <w:r w:rsidRPr="00702488">
        <w:rPr>
          <w:i/>
          <w:iCs/>
        </w:rPr>
        <w:t xml:space="preserve"> Slovenia. </w:t>
      </w:r>
      <w:r w:rsidRPr="00702488">
        <w:rPr>
          <w:rFonts w:ascii="Arial" w:hAnsi="Arial" w:cs="Arial"/>
          <w:i/>
          <w:iCs/>
          <w:color w:val="000000" w:themeColor="text1"/>
          <w:szCs w:val="20"/>
        </w:rPr>
        <w:t xml:space="preserve">Places with high innovation and R&amp;D are also important to develop the relevant technologies </w:t>
      </w:r>
      <w:r>
        <w:rPr>
          <w:rFonts w:ascii="Arial" w:hAnsi="Arial" w:cs="Arial"/>
          <w:i/>
          <w:iCs/>
          <w:color w:val="000000" w:themeColor="text1"/>
          <w:szCs w:val="20"/>
        </w:rPr>
        <w:t>as are</w:t>
      </w:r>
      <w:r w:rsidRPr="00702488">
        <w:rPr>
          <w:rFonts w:ascii="Arial" w:hAnsi="Arial" w:cs="Arial"/>
          <w:i/>
          <w:iCs/>
          <w:color w:val="000000" w:themeColor="text1"/>
          <w:szCs w:val="20"/>
        </w:rPr>
        <w:t xml:space="preserve"> those </w:t>
      </w:r>
      <w:r>
        <w:rPr>
          <w:rFonts w:ascii="Arial" w:hAnsi="Arial" w:cs="Arial"/>
          <w:i/>
          <w:iCs/>
          <w:color w:val="000000" w:themeColor="text1"/>
          <w:szCs w:val="20"/>
        </w:rPr>
        <w:t>with</w:t>
      </w:r>
      <w:r w:rsidRPr="00702488">
        <w:rPr>
          <w:rFonts w:ascii="Arial" w:hAnsi="Arial" w:cs="Arial"/>
          <w:i/>
          <w:iCs/>
          <w:color w:val="000000" w:themeColor="text1"/>
          <w:szCs w:val="20"/>
        </w:rPr>
        <w:t xml:space="preserve"> the know-how </w:t>
      </w:r>
      <w:r>
        <w:rPr>
          <w:rFonts w:ascii="Arial" w:hAnsi="Arial" w:cs="Arial"/>
          <w:i/>
          <w:iCs/>
          <w:color w:val="000000" w:themeColor="text1"/>
          <w:szCs w:val="20"/>
        </w:rPr>
        <w:t>to</w:t>
      </w:r>
      <w:r w:rsidRPr="00702488">
        <w:rPr>
          <w:rFonts w:ascii="Arial" w:hAnsi="Arial" w:cs="Arial"/>
          <w:i/>
          <w:iCs/>
          <w:color w:val="000000" w:themeColor="text1"/>
          <w:szCs w:val="20"/>
        </w:rPr>
        <w:t xml:space="preserve"> transmitting smart farming to rural areas. </w:t>
      </w:r>
      <w:r w:rsidRPr="00702488">
        <w:rPr>
          <w:rFonts w:ascii="Arial" w:hAnsi="Arial" w:cs="Arial"/>
          <w:i/>
          <w:iCs/>
          <w:color w:val="000000" w:themeColor="text1"/>
          <w:szCs w:val="20"/>
        </w:rPr>
        <w:fldChar w:fldCharType="begin"/>
      </w:r>
      <w:r w:rsidR="001C3DA6">
        <w:rPr>
          <w:rFonts w:ascii="Arial" w:hAnsi="Arial" w:cs="Arial"/>
          <w:i/>
          <w:iCs/>
          <w:color w:val="000000" w:themeColor="text1"/>
          <w:szCs w:val="20"/>
        </w:rPr>
        <w:instrText xml:space="preserve"> ADDIN ZOTERO_ITEM CSL_CITATION {"citationID":"0m9XgeHF","properties":{"formattedCitation":"(EEA, 2017)","plainCitation":"(EEA, 2017)","noteIndex":0},"citationItems":[{"id":8490,"uris":["http://zotero.org/groups/4075961/items/K6ZDCE6R"],"itemData":{"id":8490,"type":"map","title":"Agricultural land use intensity","author":[{"family":"EEA","given":""}],"issued":{"date-parts":[["2017"]]}}}],"schema":"https://github.com/citation-style-language/schema/raw/master/csl-citation.json"} </w:instrText>
      </w:r>
      <w:r w:rsidRPr="00702488">
        <w:rPr>
          <w:rFonts w:ascii="Arial" w:hAnsi="Arial" w:cs="Arial"/>
          <w:i/>
          <w:iCs/>
          <w:color w:val="000000" w:themeColor="text1"/>
          <w:szCs w:val="20"/>
        </w:rPr>
        <w:fldChar w:fldCharType="separate"/>
      </w:r>
      <w:r w:rsidR="001C3DA6" w:rsidRPr="001C3DA6">
        <w:rPr>
          <w:rFonts w:ascii="Arial" w:hAnsi="Arial" w:cs="Arial"/>
          <w:color w:val="000000"/>
        </w:rPr>
        <w:t>(EEA, 2017)</w:t>
      </w:r>
      <w:r w:rsidRPr="00702488">
        <w:rPr>
          <w:rFonts w:ascii="Arial" w:hAnsi="Arial" w:cs="Arial"/>
          <w:i/>
          <w:iCs/>
          <w:color w:val="000000" w:themeColor="text1"/>
          <w:szCs w:val="20"/>
        </w:rPr>
        <w:fldChar w:fldCharType="end"/>
      </w:r>
    </w:p>
    <w:p w14:paraId="04671E0E" w14:textId="77777777" w:rsidR="009A70CB" w:rsidRPr="00702488" w:rsidRDefault="009A70CB" w:rsidP="009A70CB">
      <w:r w:rsidRPr="00702488">
        <w:rPr>
          <w:b/>
          <w:bCs/>
        </w:rPr>
        <w:t>It’s always been the digital-economy</w:t>
      </w:r>
      <w:r w:rsidRPr="00702488">
        <w:t xml:space="preserve">. </w:t>
      </w:r>
      <w:r>
        <w:t>H</w:t>
      </w:r>
      <w:r w:rsidRPr="00702488">
        <w:t xml:space="preserve">yper-digitalisation in the Danube region has brought tectonic shifts in the way </w:t>
      </w:r>
      <w:r>
        <w:t xml:space="preserve">the </w:t>
      </w:r>
      <w:r w:rsidRPr="00702488">
        <w:t xml:space="preserve">economy has developed. </w:t>
      </w:r>
      <w:r>
        <w:t>H</w:t>
      </w:r>
      <w:r w:rsidRPr="00702488">
        <w:t xml:space="preserve">yper-digitalisation in the Danube region </w:t>
      </w:r>
      <w:r>
        <w:t>has led to</w:t>
      </w:r>
      <w:r w:rsidRPr="00702488">
        <w:t xml:space="preserve"> industry 5.0, focusing on the human factor</w:t>
      </w:r>
      <w:r>
        <w:t>. It</w:t>
      </w:r>
      <w:r w:rsidRPr="00702488">
        <w:t xml:space="preserve"> bring</w:t>
      </w:r>
      <w:r>
        <w:t>s</w:t>
      </w:r>
      <w:r w:rsidRPr="00702488">
        <w:t xml:space="preserve"> a paradigm shift in industrial policy as it refers to people working alongside smart machines and robots, deploying better technologies in the service of people. GDP </w:t>
      </w:r>
      <w:r>
        <w:t xml:space="preserve">has </w:t>
      </w:r>
      <w:r w:rsidRPr="00702488">
        <w:t>increas</w:t>
      </w:r>
      <w:r>
        <w:t>ed</w:t>
      </w:r>
      <w:r w:rsidRPr="00702488">
        <w:t xml:space="preserve"> over the decades, </w:t>
      </w:r>
      <w:r>
        <w:t xml:space="preserve">and </w:t>
      </w:r>
      <w:r w:rsidRPr="00702488">
        <w:t xml:space="preserve">the Danube Region </w:t>
      </w:r>
      <w:r>
        <w:t>is a</w:t>
      </w:r>
      <w:r w:rsidRPr="00702488">
        <w:t xml:space="preserve"> leader in digitalisation and trade, as well as in promoting an economy that works for people. Intensive growth consequences have been addressed with strong policies and </w:t>
      </w:r>
      <w:r>
        <w:t>an involved</w:t>
      </w:r>
      <w:r w:rsidRPr="00702488">
        <w:t xml:space="preserve"> civil society. </w:t>
      </w:r>
    </w:p>
    <w:p w14:paraId="02F8B56A" w14:textId="181D02C1" w:rsidR="009A70CB" w:rsidRPr="00702488" w:rsidRDefault="009A70CB" w:rsidP="009A70CB">
      <w:pPr>
        <w:rPr>
          <w:i/>
          <w:iCs/>
        </w:rPr>
      </w:pPr>
      <w:r w:rsidRPr="00702488">
        <w:rPr>
          <w:i/>
          <w:iCs/>
        </w:rPr>
        <w:t>Th</w:t>
      </w:r>
      <w:r>
        <w:rPr>
          <w:i/>
          <w:iCs/>
        </w:rPr>
        <w:t>e</w:t>
      </w:r>
      <w:r w:rsidRPr="00702488">
        <w:rPr>
          <w:i/>
          <w:iCs/>
        </w:rPr>
        <w:t xml:space="preserve"> shift to hyper-digitalisation has gradually happened in the Danube Region by 2050</w:t>
      </w:r>
      <w:r>
        <w:rPr>
          <w:i/>
          <w:iCs/>
        </w:rPr>
        <w:t xml:space="preserve"> and</w:t>
      </w:r>
      <w:r w:rsidRPr="00702488">
        <w:rPr>
          <w:i/>
          <w:iCs/>
        </w:rPr>
        <w:t xml:space="preserve"> the </w:t>
      </w:r>
      <w:r>
        <w:rPr>
          <w:i/>
          <w:iCs/>
        </w:rPr>
        <w:t xml:space="preserve">economic </w:t>
      </w:r>
      <w:r w:rsidRPr="00702488">
        <w:rPr>
          <w:i/>
          <w:iCs/>
        </w:rPr>
        <w:t xml:space="preserve">effects have been visible. In principle, the key aim of this shift has been </w:t>
      </w:r>
      <w:r>
        <w:rPr>
          <w:i/>
          <w:iCs/>
        </w:rPr>
        <w:t>for</w:t>
      </w:r>
      <w:r w:rsidRPr="00702488">
        <w:rPr>
          <w:i/>
          <w:iCs/>
        </w:rPr>
        <w:t xml:space="preserve"> economic growth across the macro-region and </w:t>
      </w:r>
      <w:r>
        <w:rPr>
          <w:i/>
          <w:iCs/>
        </w:rPr>
        <w:t>an</w:t>
      </w:r>
      <w:r w:rsidRPr="00702488">
        <w:rPr>
          <w:i/>
          <w:iCs/>
        </w:rPr>
        <w:t xml:space="preserve"> increase </w:t>
      </w:r>
      <w:r>
        <w:rPr>
          <w:i/>
          <w:iCs/>
        </w:rPr>
        <w:t>in</w:t>
      </w:r>
      <w:r w:rsidRPr="00702488">
        <w:rPr>
          <w:i/>
          <w:iCs/>
        </w:rPr>
        <w:t xml:space="preserve"> GDP. Over the years, regions </w:t>
      </w:r>
      <w:r>
        <w:rPr>
          <w:i/>
          <w:iCs/>
        </w:rPr>
        <w:t>with</w:t>
      </w:r>
      <w:r w:rsidRPr="00702488">
        <w:rPr>
          <w:i/>
          <w:iCs/>
        </w:rPr>
        <w:t xml:space="preserve"> had relatively low regional GDP in purchasing power standards, like most regions in the east part of Danube Region and </w:t>
      </w:r>
      <w:r>
        <w:rPr>
          <w:i/>
          <w:iCs/>
        </w:rPr>
        <w:t>the</w:t>
      </w:r>
      <w:r w:rsidRPr="00702488">
        <w:rPr>
          <w:i/>
          <w:iCs/>
        </w:rPr>
        <w:t xml:space="preserve"> Western Balkans have seen an increase in </w:t>
      </w:r>
      <w:r>
        <w:rPr>
          <w:i/>
          <w:iCs/>
        </w:rPr>
        <w:t>GDP</w:t>
      </w:r>
      <w:r w:rsidRPr="00702488">
        <w:rPr>
          <w:i/>
          <w:iCs/>
        </w:rPr>
        <w:t xml:space="preserve"> by 2050. In addition, places that already had high regional GDP, such as Bucharest, Bratislava, most parts of Austria and particularly Salzburg, </w:t>
      </w:r>
      <w:r>
        <w:rPr>
          <w:i/>
          <w:iCs/>
        </w:rPr>
        <w:t xml:space="preserve">and </w:t>
      </w:r>
      <w:r w:rsidRPr="00702488">
        <w:rPr>
          <w:i/>
          <w:iCs/>
        </w:rPr>
        <w:t>south</w:t>
      </w:r>
      <w:r>
        <w:rPr>
          <w:i/>
          <w:iCs/>
        </w:rPr>
        <w:t>ern</w:t>
      </w:r>
      <w:r w:rsidRPr="00702488">
        <w:rPr>
          <w:i/>
          <w:iCs/>
        </w:rPr>
        <w:t xml:space="preserve"> parts of Germany</w:t>
      </w:r>
      <w:r>
        <w:rPr>
          <w:i/>
          <w:iCs/>
        </w:rPr>
        <w:t>,</w:t>
      </w:r>
      <w:r w:rsidRPr="00702488">
        <w:rPr>
          <w:i/>
          <w:iCs/>
        </w:rPr>
        <w:t xml:space="preserve"> particularly Oberbayern</w:t>
      </w:r>
      <w:r>
        <w:rPr>
          <w:i/>
          <w:iCs/>
        </w:rPr>
        <w:t>,</w:t>
      </w:r>
      <w:r w:rsidRPr="00702488">
        <w:rPr>
          <w:i/>
          <w:iCs/>
        </w:rPr>
        <w:t xml:space="preserve"> </w:t>
      </w:r>
      <w:r>
        <w:rPr>
          <w:i/>
          <w:iCs/>
        </w:rPr>
        <w:t>saw</w:t>
      </w:r>
      <w:r w:rsidRPr="00702488">
        <w:rPr>
          <w:i/>
          <w:iCs/>
        </w:rPr>
        <w:t xml:space="preserve"> an even </w:t>
      </w:r>
      <w:r>
        <w:rPr>
          <w:i/>
          <w:iCs/>
        </w:rPr>
        <w:t>bigger</w:t>
      </w:r>
      <w:r w:rsidRPr="00702488">
        <w:rPr>
          <w:i/>
          <w:iCs/>
        </w:rPr>
        <w:t xml:space="preserve"> increase by 2050 </w:t>
      </w:r>
      <w:r w:rsidRPr="00702488">
        <w:rPr>
          <w:i/>
          <w:iCs/>
        </w:rPr>
        <w:fldChar w:fldCharType="begin"/>
      </w:r>
      <w:r w:rsidR="001C3DA6">
        <w:rPr>
          <w:i/>
          <w:iCs/>
        </w:rPr>
        <w:instrText xml:space="preserve"> ADDIN ZOTERO_ITEM CSL_CITATION {"citationID":"a2ejbhkvvgo","properties":{"formattedCitation":"(BBSR &amp; ESPON, 2020)","plainCitation":"(BBSR &amp; ESPON, 2020)","noteIndex":0},"citationItems":[{"id":5019,"uris":["http://zotero.org/groups/21774/items/LH8PIJ6F"],"itemData":{"id":5019,"type":"book","event-place":"Berlin","publisher":"Federal Ministry fo the Interior, Building and Community","publisher-place":"Berlin","title":"Atlas for the Territorial Agenda 2030: Maps on European Territorial Development","author":[{"literal":"BBSR"},{"literal":"ESPON"}],"issued":{"date-parts":[["2020"]]}}}],"schema":"https://github.com/citation-style-language/schema/raw/master/csl-citation.json"} </w:instrText>
      </w:r>
      <w:r w:rsidRPr="00702488">
        <w:rPr>
          <w:i/>
          <w:iCs/>
        </w:rPr>
        <w:fldChar w:fldCharType="separate"/>
      </w:r>
      <w:r w:rsidR="001C3DA6" w:rsidRPr="001C3DA6">
        <w:rPr>
          <w:rFonts w:ascii="Arial" w:cs="Arial"/>
        </w:rPr>
        <w:t>(BBSR &amp; ESPON, 2020)</w:t>
      </w:r>
      <w:r w:rsidRPr="00702488">
        <w:rPr>
          <w:i/>
          <w:iCs/>
        </w:rPr>
        <w:fldChar w:fldCharType="end"/>
      </w:r>
      <w:r w:rsidRPr="00702488">
        <w:rPr>
          <w:i/>
          <w:iCs/>
        </w:rPr>
        <w:t xml:space="preserve">. </w:t>
      </w:r>
    </w:p>
    <w:p w14:paraId="6371E14F" w14:textId="45B2C2C9" w:rsidR="00FF71DE" w:rsidRPr="00702488" w:rsidRDefault="009A70CB" w:rsidP="009A70CB">
      <w:r w:rsidRPr="00702488">
        <w:rPr>
          <w:b/>
          <w:bCs/>
        </w:rPr>
        <w:t>Lives in fast forward</w:t>
      </w:r>
      <w:r w:rsidRPr="00702488">
        <w:t xml:space="preserve">. </w:t>
      </w:r>
      <w:r>
        <w:t>F</w:t>
      </w:r>
      <w:r w:rsidRPr="00702488">
        <w:t>ast-paced developments have led to fast paced lives. Although economic growth across the Danube Region is visible in most regions, people have been challenged by the rapid changes. Keeping up with new professional</w:t>
      </w:r>
      <w:r>
        <w:t xml:space="preserve"> and </w:t>
      </w:r>
      <w:r w:rsidRPr="00702488">
        <w:t xml:space="preserve">social technological developments </w:t>
      </w:r>
      <w:r>
        <w:t>added</w:t>
      </w:r>
      <w:r w:rsidRPr="00702488">
        <w:t xml:space="preserve"> pressure. Phenomena of ‘Fear Of Missing Out’, the ‘hustle culture’, overworking and burnouts have increased, especially among young people who struggle to </w:t>
      </w:r>
      <w:r>
        <w:t>keep</w:t>
      </w:r>
      <w:r w:rsidRPr="00702488">
        <w:t xml:space="preserve"> up. High stress levels due to digital addiction and falsified messages </w:t>
      </w:r>
      <w:r>
        <w:t>on</w:t>
      </w:r>
      <w:r w:rsidRPr="00702488">
        <w:t xml:space="preserve"> social media have increased attention </w:t>
      </w:r>
      <w:r>
        <w:t>on</w:t>
      </w:r>
      <w:r w:rsidRPr="00702488">
        <w:t xml:space="preserve"> mental health and wellbeing. At the same time, lack of human interaction has challenge</w:t>
      </w:r>
      <w:r>
        <w:t>d</w:t>
      </w:r>
      <w:r w:rsidRPr="00702488">
        <w:t xml:space="preserve"> people some</w:t>
      </w:r>
      <w:r>
        <w:t>times</w:t>
      </w:r>
      <w:r w:rsidRPr="00702488">
        <w:t xml:space="preserve"> </w:t>
      </w:r>
      <w:r>
        <w:t>leading to</w:t>
      </w:r>
      <w:r w:rsidRPr="00702488">
        <w:t xml:space="preserve"> depression. This particularly affects disconnected youth in the region who may feel more lonely and distanced </w:t>
      </w:r>
      <w:r>
        <w:t>from</w:t>
      </w:r>
      <w:r w:rsidRPr="00702488">
        <w:t xml:space="preserve"> human interactions </w:t>
      </w:r>
      <w:r w:rsidRPr="00702488">
        <w:fldChar w:fldCharType="begin"/>
      </w:r>
      <w:r w:rsidR="001C3DA6">
        <w:instrText xml:space="preserve"> ADDIN ZOTERO_ITEM CSL_CITATION {"citationID":"aAScRDJM","properties":{"formattedCitation":"(Joint Research Centre, 2021)","plainCitation":"(Joint Research Centre, 2021)","dontUpdate":true,"noteIndex":0},"citationItems":[{"id":8036,"uris":["http://zotero.org/groups/4075961/items/YSZKQ892"],"itemData":{"id":8036,"type":"report","title":"Loneliness in the EU Insights from surveys and online media data","author":[{"family":"Joint Research Centre","given":""}],"issued":{"date-parts":[["2021"]]}}}],"schema":"https://github.com/citation-style-language/schema/raw/master/csl-citation.json"} </w:instrText>
      </w:r>
      <w:r w:rsidRPr="00702488">
        <w:fldChar w:fldCharType="separate"/>
      </w:r>
      <w:r w:rsidRPr="00702488">
        <w:rPr>
          <w:rFonts w:ascii="Arial" w:cs="Arial"/>
          <w:u w:val="dash"/>
        </w:rPr>
        <w:t>(Griffith, 2019)</w:t>
      </w:r>
      <w:r w:rsidRPr="00702488">
        <w:fldChar w:fldCharType="end"/>
      </w:r>
      <w:r w:rsidRPr="00702488">
        <w:t>, which has become even more pronounced</w:t>
      </w:r>
      <w:r w:rsidRPr="00503F18">
        <w:t xml:space="preserve"> </w:t>
      </w:r>
      <w:r w:rsidRPr="00702488">
        <w:t>especially after the COVID-19 pandemic. Last but not least, new ‘virtual values’ raise dilemmas regarding ethical and societal values and questions on what is ‘right’ or ‘wrong’, ranging from the virtual assistant technology devices, to smart home appliance</w:t>
      </w:r>
      <w:r>
        <w:t>s</w:t>
      </w:r>
      <w:r w:rsidRPr="00702488">
        <w:t xml:space="preserve"> and self-driving cars.</w:t>
      </w:r>
    </w:p>
    <w:p w14:paraId="7BABEABF" w14:textId="062B8476" w:rsidR="00FB1B42" w:rsidRPr="00702488" w:rsidRDefault="00FB1B42" w:rsidP="00FB1B42">
      <w:r w:rsidRPr="00702488">
        <w:rPr>
          <w:b/>
          <w:bCs/>
        </w:rPr>
        <w:t>Civil society: the guardian angel</w:t>
      </w:r>
      <w:r w:rsidRPr="00702488">
        <w:t>. Digital transformation also go</w:t>
      </w:r>
      <w:r>
        <w:t>es</w:t>
      </w:r>
      <w:r w:rsidRPr="00702488">
        <w:t xml:space="preserve"> beyond material wealth. </w:t>
      </w:r>
      <w:r>
        <w:t>It</w:t>
      </w:r>
      <w:r w:rsidRPr="00702488">
        <w:t xml:space="preserve"> has brought several societal challenges, from social inequalities between haves and have nots, well connected people and those not</w:t>
      </w:r>
      <w:r>
        <w:t xml:space="preserve"> and </w:t>
      </w:r>
      <w:r w:rsidRPr="00702488">
        <w:t xml:space="preserve">between skilled </w:t>
      </w:r>
      <w:r>
        <w:t>and</w:t>
      </w:r>
      <w:r w:rsidRPr="00702488">
        <w:t xml:space="preserve"> unskilled personnel. The inequalities vary, while at the same time risks such as cyber threats and digital disruptions, as well as ethical dilemmas </w:t>
      </w:r>
      <w:r>
        <w:t>o</w:t>
      </w:r>
      <w:r w:rsidRPr="00702488">
        <w:t xml:space="preserve">n automation </w:t>
      </w:r>
      <w:r>
        <w:t>in</w:t>
      </w:r>
      <w:r w:rsidRPr="00702488">
        <w:t xml:space="preserve"> everyday life, health and security are around the corner. In 2050, the technological developments need to be coupled with societal adaptation </w:t>
      </w:r>
      <w:r w:rsidRPr="00702488">
        <w:fldChar w:fldCharType="begin"/>
      </w:r>
      <w:r w:rsidR="001C3DA6">
        <w:instrText xml:space="preserve"> ADDIN ZOTERO_ITEM CSL_CITATION {"citationID":"a2dl7q2kk03","properties":{"formattedCitation":"(World Economic Forum, 2018)","plainCitation":"(World Economic Forum, 2018)","noteIndex":0},"citationItems":[{"id":3035,"uris":["http://zotero.org/groups/21774/items/CLSTKHVX"],"itemData":{"id":3035,"type":"report","title":"Our Shared Digital Future. Building an Inclusive, Trustworthy and Sustainable Digital Society. Insight Report.","author":[{"family":"World Economic Forum","given":""}],"issued":{"date-parts":[["2018",12]]}}}],"schema":"https://github.com/citation-style-language/schema/raw/master/csl-citation.json"} </w:instrText>
      </w:r>
      <w:r w:rsidRPr="00702488">
        <w:fldChar w:fldCharType="separate"/>
      </w:r>
      <w:r w:rsidR="001C3DA6" w:rsidRPr="001C3DA6">
        <w:rPr>
          <w:rFonts w:ascii="Arial" w:cs="Arial"/>
        </w:rPr>
        <w:t>(World Economic Forum, 2018)</w:t>
      </w:r>
      <w:r w:rsidRPr="00702488">
        <w:fldChar w:fldCharType="end"/>
      </w:r>
      <w:r w:rsidRPr="00702488">
        <w:t xml:space="preserve">. Here is where civil society </w:t>
      </w:r>
      <w:r>
        <w:t>can</w:t>
      </w:r>
      <w:r w:rsidRPr="00702488">
        <w:t xml:space="preserve"> play </w:t>
      </w:r>
      <w:r>
        <w:t>a</w:t>
      </w:r>
      <w:r w:rsidRPr="00702488">
        <w:t xml:space="preserve"> leading role. </w:t>
      </w:r>
    </w:p>
    <w:p w14:paraId="0D599D65" w14:textId="0AE6A653" w:rsidR="00FB1B42" w:rsidRPr="00702488" w:rsidRDefault="00FB1B42" w:rsidP="00FB1B42">
      <w:r w:rsidRPr="00702488">
        <w:t xml:space="preserve">E-governance, digital and more agile governments </w:t>
      </w:r>
      <w:r>
        <w:t>have been a</w:t>
      </w:r>
      <w:r w:rsidRPr="00702488">
        <w:t xml:space="preserve"> focus of the Danube Region </w:t>
      </w:r>
      <w:r>
        <w:t>with an</w:t>
      </w:r>
      <w:r w:rsidRPr="00702488">
        <w:t xml:space="preserve"> increased role </w:t>
      </w:r>
      <w:r>
        <w:t>for</w:t>
      </w:r>
      <w:r w:rsidRPr="00702488">
        <w:t xml:space="preserve"> civil society </w:t>
      </w:r>
      <w:r>
        <w:t>and</w:t>
      </w:r>
      <w:r w:rsidRPr="00702488">
        <w:t xml:space="preserve"> NGOs playing an important role in decision making. The state is no longer the key player, </w:t>
      </w:r>
      <w:r>
        <w:t>there is</w:t>
      </w:r>
      <w:r w:rsidRPr="00702488">
        <w:t xml:space="preserve"> network governance. NGOs contribute actively </w:t>
      </w:r>
      <w:r>
        <w:t>to</w:t>
      </w:r>
      <w:r w:rsidRPr="00702488">
        <w:t xml:space="preserve"> addressing societal challenges, traditional </w:t>
      </w:r>
      <w:r>
        <w:t>lines</w:t>
      </w:r>
      <w:r w:rsidRPr="00702488">
        <w:t xml:space="preserve"> between the state, people and civil society </w:t>
      </w:r>
      <w:r>
        <w:t>are</w:t>
      </w:r>
      <w:r w:rsidRPr="00702488">
        <w:t xml:space="preserve"> blurred</w:t>
      </w:r>
      <w:r>
        <w:t xml:space="preserve"> and there are</w:t>
      </w:r>
      <w:r w:rsidRPr="00702488">
        <w:t xml:space="preserve"> new cooperation frameworks </w:t>
      </w:r>
      <w:r w:rsidRPr="00702488">
        <w:fldChar w:fldCharType="begin"/>
      </w:r>
      <w:r w:rsidR="001C3DA6">
        <w:instrText xml:space="preserve"> ADDIN ZOTERO_ITEM CSL_CITATION {"citationID":"4e8BylVT","properties":{"formattedCitation":"(World Economic Forum, 2013)","plainCitation":"(World Economic Forum, 2013)","noteIndex":0},"citationItems":[{"id":3100,"uris":["http://zotero.org/groups/21774/items/WJF9SQQM"],"itemData":{"id":3100,"type":"document","title":"World Scenario Series. The Future role of civil society","author":[{"family":"World Economic Forum","given":""}],"issued":{"date-parts":[["2013",1]]}}}],"schema":"https://github.com/citation-style-language/schema/raw/master/csl-citation.json"} </w:instrText>
      </w:r>
      <w:r w:rsidRPr="00702488">
        <w:fldChar w:fldCharType="separate"/>
      </w:r>
      <w:r w:rsidRPr="00702488">
        <w:rPr>
          <w:noProof/>
        </w:rPr>
        <w:t>(World Economic Forum, 2013)</w:t>
      </w:r>
      <w:r w:rsidRPr="00702488">
        <w:fldChar w:fldCharType="end"/>
      </w:r>
      <w:r w:rsidRPr="00702488">
        <w:t xml:space="preserve">. Citizens have direct access to decision making and influence policy making, as the nation state is weakened. </w:t>
      </w:r>
      <w:r>
        <w:t>N</w:t>
      </w:r>
      <w:r w:rsidRPr="00702488">
        <w:t>etworked communications facilitat</w:t>
      </w:r>
      <w:r>
        <w:t>e</w:t>
      </w:r>
      <w:r w:rsidRPr="00702488">
        <w:t xml:space="preserve"> the shift from traditional mass media to ‘mass self-communication’ through social media, strengthening social movements </w:t>
      </w:r>
      <w:r w:rsidRPr="00702488">
        <w:fldChar w:fldCharType="begin"/>
      </w:r>
      <w:r w:rsidR="001C3DA6">
        <w:instrText xml:space="preserve"> ADDIN ZOTERO_ITEM CSL_CITATION {"citationID":"VvCoNglP","properties":{"formattedCitation":"(European Union Institute for Security Studies, 2012)","plainCitation":"(European Union Institute for Security Studies, 2012)","noteIndex":0},"citationItems":[{"id":8095,"uris":["http://zotero.org/groups/4075961/items/4L3MCXNZ"],"itemData":{"id":8095,"type":"report","publisher":"ESPAS","title":"Citizens in an Interconnected and Polycentric World. Global Trends 2030.","author":[{"family":"European Union Institute for Security Studies","given":""}],"issued":{"date-parts":[["2012"]]}}}],"schema":"https://github.com/citation-style-language/schema/raw/master/csl-citation.json"} </w:instrText>
      </w:r>
      <w:r w:rsidRPr="00702488">
        <w:fldChar w:fldCharType="separate"/>
      </w:r>
      <w:r w:rsidRPr="00702488">
        <w:rPr>
          <w:noProof/>
        </w:rPr>
        <w:t>(European Union Institute for Security Studies, 2012)</w:t>
      </w:r>
      <w:r w:rsidRPr="00702488">
        <w:fldChar w:fldCharType="end"/>
      </w:r>
      <w:r w:rsidRPr="00702488">
        <w:t xml:space="preserve">. </w:t>
      </w:r>
      <w:r>
        <w:t>This</w:t>
      </w:r>
      <w:r w:rsidRPr="00702488">
        <w:t xml:space="preserve"> network society does not recognise borders, </w:t>
      </w:r>
      <w:r>
        <w:t xml:space="preserve">but </w:t>
      </w:r>
      <w:r w:rsidRPr="00702488">
        <w:t>empowers individual</w:t>
      </w:r>
      <w:r>
        <w:t>s</w:t>
      </w:r>
      <w:r w:rsidRPr="00702488">
        <w:t xml:space="preserve"> and the</w:t>
      </w:r>
      <w:r>
        <w:t>ir</w:t>
      </w:r>
      <w:r w:rsidRPr="00702488">
        <w:t xml:space="preserve"> sense of belonging to a community, also </w:t>
      </w:r>
      <w:r>
        <w:t>encouraging</w:t>
      </w:r>
      <w:r w:rsidRPr="00702488">
        <w:t xml:space="preserve"> a stronger civil society </w:t>
      </w:r>
      <w:r w:rsidRPr="00702488">
        <w:rPr>
          <w:noProof/>
        </w:rPr>
        <w:t>(European Union Institute for Security Studies, 2012)</w:t>
      </w:r>
      <w:r w:rsidRPr="00702488">
        <w:t>.</w:t>
      </w:r>
    </w:p>
    <w:p w14:paraId="78697F87" w14:textId="28E2AC51" w:rsidR="00785CDE" w:rsidRPr="00702488" w:rsidRDefault="00FB1B42" w:rsidP="00FB1B42">
      <w:r w:rsidRPr="00702488">
        <w:t xml:space="preserve">Civil society organisations are the key structures for building trust, the foundation of interactions and information exchange, ensuring high quality internet access for all places and people, making business work for people through responsible models, building safe digital identities for people, safeguarding their rights and personal data, keeping people safe and secure through cyber security mechanisms </w:t>
      </w:r>
      <w:r w:rsidRPr="00702488">
        <w:fldChar w:fldCharType="begin"/>
      </w:r>
      <w:r w:rsidR="001C3DA6">
        <w:instrText xml:space="preserve"> ADDIN ZOTERO_ITEM CSL_CITATION {"citationID":"4waQ7tE8","properties":{"formattedCitation":"(World Economic Forum, 2018)","plainCitation":"(World Economic Forum, 2018)","noteIndex":0},"citationItems":[{"id":3035,"uris":["http://zotero.org/groups/21774/items/CLSTKHVX"],"itemData":{"id":3035,"type":"report","title":"Our Shared Digital Future. Building an Inclusive, Trustworthy and Sustainable Digital Society. Insight Report.","author":[{"family":"World Economic Forum","given":""}],"issued":{"date-parts":[["2018",12]]}}}],"schema":"https://github.com/citation-style-language/schema/raw/master/csl-citation.json"} </w:instrText>
      </w:r>
      <w:r w:rsidRPr="00702488">
        <w:fldChar w:fldCharType="separate"/>
      </w:r>
      <w:r w:rsidR="001C3DA6" w:rsidRPr="001C3DA6">
        <w:rPr>
          <w:rFonts w:ascii="Arial" w:cs="Arial"/>
        </w:rPr>
        <w:t>(World Economic Forum, 2018)</w:t>
      </w:r>
      <w:r w:rsidRPr="00702488">
        <w:fldChar w:fldCharType="end"/>
      </w:r>
      <w:r w:rsidRPr="00702488">
        <w:t>.</w:t>
      </w:r>
    </w:p>
    <w:p w14:paraId="37FA0568" w14:textId="3072E3B3" w:rsidR="001B58B2" w:rsidRPr="00702488" w:rsidRDefault="00421937" w:rsidP="001B58B2">
      <w:pPr>
        <w:rPr>
          <w:i/>
          <w:iCs/>
        </w:rPr>
      </w:pPr>
      <w:r w:rsidRPr="00702488">
        <w:rPr>
          <w:i/>
          <w:iCs/>
        </w:rPr>
        <w:t xml:space="preserve">Regions with a high </w:t>
      </w:r>
      <w:r w:rsidR="007103E5" w:rsidRPr="00702488">
        <w:rPr>
          <w:i/>
          <w:iCs/>
        </w:rPr>
        <w:t>quality on government were those with the biggest potential to initiate civil society organisations</w:t>
      </w:r>
      <w:r w:rsidR="00FB1B42">
        <w:rPr>
          <w:i/>
          <w:iCs/>
        </w:rPr>
        <w:t>’</w:t>
      </w:r>
      <w:r w:rsidR="007103E5" w:rsidRPr="00702488">
        <w:rPr>
          <w:i/>
          <w:iCs/>
        </w:rPr>
        <w:t xml:space="preserve"> participation in government decision making and in str</w:t>
      </w:r>
      <w:r w:rsidR="00FB1B42">
        <w:rPr>
          <w:i/>
          <w:iCs/>
        </w:rPr>
        <w:t>o</w:t>
      </w:r>
      <w:r w:rsidR="007103E5" w:rsidRPr="00702488">
        <w:rPr>
          <w:i/>
          <w:iCs/>
        </w:rPr>
        <w:t xml:space="preserve">nger citizen protection. </w:t>
      </w:r>
      <w:r w:rsidR="001B58B2" w:rsidRPr="00702488">
        <w:rPr>
          <w:i/>
          <w:iCs/>
        </w:rPr>
        <w:t>Such frontrunners, were regions in Austria, south</w:t>
      </w:r>
      <w:r w:rsidR="001B58B2">
        <w:rPr>
          <w:i/>
          <w:iCs/>
        </w:rPr>
        <w:t>ern</w:t>
      </w:r>
      <w:r w:rsidR="001B58B2" w:rsidRPr="00702488">
        <w:rPr>
          <w:i/>
          <w:iCs/>
        </w:rPr>
        <w:t xml:space="preserve"> Germany, parts of </w:t>
      </w:r>
      <w:r w:rsidR="001B58B2">
        <w:rPr>
          <w:i/>
          <w:iCs/>
        </w:rPr>
        <w:t>Czechia</w:t>
      </w:r>
      <w:r w:rsidR="001B58B2" w:rsidRPr="00702488">
        <w:rPr>
          <w:i/>
          <w:iCs/>
        </w:rPr>
        <w:t xml:space="preserve">, Slovenia and Croatia, and the Centru region in Romania. </w:t>
      </w:r>
      <w:r w:rsidR="001B58B2">
        <w:rPr>
          <w:i/>
          <w:iCs/>
        </w:rPr>
        <w:t>R</w:t>
      </w:r>
      <w:r w:rsidR="001B58B2" w:rsidRPr="00702488">
        <w:rPr>
          <w:i/>
          <w:iCs/>
        </w:rPr>
        <w:t>egions where the quality of governance was low have shown substantial leaps in civil society particip</w:t>
      </w:r>
      <w:r w:rsidR="001B58B2">
        <w:rPr>
          <w:i/>
          <w:iCs/>
        </w:rPr>
        <w:t>ati</w:t>
      </w:r>
      <w:r w:rsidR="001B58B2" w:rsidRPr="00702488">
        <w:rPr>
          <w:i/>
          <w:iCs/>
        </w:rPr>
        <w:t>on</w:t>
      </w:r>
      <w:r w:rsidR="001B58B2">
        <w:rPr>
          <w:i/>
          <w:iCs/>
        </w:rPr>
        <w:t>,</w:t>
      </w:r>
      <w:r w:rsidR="001B58B2" w:rsidRPr="00702488">
        <w:rPr>
          <w:i/>
          <w:iCs/>
        </w:rPr>
        <w:t xml:space="preserve"> increasing trust </w:t>
      </w:r>
      <w:r w:rsidR="001B58B2">
        <w:rPr>
          <w:i/>
          <w:iCs/>
        </w:rPr>
        <w:t>in</w:t>
      </w:r>
      <w:r w:rsidR="001B58B2" w:rsidRPr="00702488">
        <w:rPr>
          <w:i/>
          <w:iCs/>
        </w:rPr>
        <w:t xml:space="preserve"> governance and governance quality by 2050. These </w:t>
      </w:r>
      <w:r w:rsidR="001B58B2">
        <w:rPr>
          <w:i/>
          <w:iCs/>
        </w:rPr>
        <w:t>include</w:t>
      </w:r>
      <w:r w:rsidR="001B58B2" w:rsidRPr="00702488">
        <w:rPr>
          <w:i/>
          <w:iCs/>
        </w:rPr>
        <w:t xml:space="preserve"> most regions </w:t>
      </w:r>
      <w:r w:rsidR="001B58B2">
        <w:rPr>
          <w:i/>
          <w:iCs/>
        </w:rPr>
        <w:t>in</w:t>
      </w:r>
      <w:r w:rsidR="001B58B2" w:rsidRPr="00702488">
        <w:rPr>
          <w:i/>
          <w:iCs/>
        </w:rPr>
        <w:t xml:space="preserve"> Romania and particularly the metropolitan region of Bucharest, coastal Bulgaria regions such as Severoiztochen and Yogoistochen, Eszak-Alfold and Eszak-Magyarorszag in Hungary, as well as most regions in Serbia. </w:t>
      </w:r>
      <w:r w:rsidR="001B58B2" w:rsidRPr="00702488">
        <w:fldChar w:fldCharType="begin"/>
      </w:r>
      <w:r w:rsidR="001C3DA6">
        <w:instrText xml:space="preserve"> ADDIN ZOTERO_ITEM CSL_CITATION {"citationID":"2rU7Krt3","properties":{"formattedCitation":"\\uldash{(Sandberg, Klockars, &amp; Wil\\uc0\\u233{}n, 2019)}","plainCitation":"(Sandberg, Klockars, &amp; Wilén, 2019)","dontUpdate":true,"noteIndex":0},"citationItems":[{"id":3102,"uris":["http://zotero.org/groups/21774/items/IH6HQZ9S"],"itemData":{"id":3102,"type":"article-journal","container-title":"Journal of Cleaner Production","page":"133-141","title":"Green growth or degrowth? Assessing the normative justificaitons for environmental sustainability and economic growth through critical social theory","volume":"2006","author":[{"family":"Sandberg","given":"Maria"},{"family":"Klockars","given":"Kristian"},{"family":"Wilén","given":"Kristoffer"}],"issued":{"date-parts":[["2019"]]}}}],"schema":"https://github.com/citation-style-language/schema/raw/master/csl-citation.json"} </w:instrText>
      </w:r>
      <w:r w:rsidR="001B58B2" w:rsidRPr="00702488">
        <w:fldChar w:fldCharType="separate"/>
      </w:r>
      <w:r w:rsidR="001B58B2" w:rsidRPr="00702488">
        <w:rPr>
          <w:rFonts w:ascii="Arial" w:cs="Arial"/>
          <w:u w:val="dash"/>
        </w:rPr>
        <w:t>(Charron, Lapuente, &amp; Bauhr, 2021)</w:t>
      </w:r>
      <w:r w:rsidR="001B58B2" w:rsidRPr="00702488">
        <w:fldChar w:fldCharType="end"/>
      </w:r>
    </w:p>
    <w:p w14:paraId="0DAE3143" w14:textId="300C698C" w:rsidR="001B58B2" w:rsidRPr="00702488" w:rsidRDefault="001B58B2" w:rsidP="001B58B2">
      <w:pPr>
        <w:rPr>
          <w:i/>
          <w:iCs/>
        </w:rPr>
      </w:pPr>
      <w:r w:rsidRPr="00702488">
        <w:rPr>
          <w:i/>
          <w:iCs/>
        </w:rPr>
        <w:t>Another indication reflecting the involvement of people and civil society is e-government interactions, i.e. the share of people who interacted in the 2010s with public authorities, like most regions in Austria, Slovakia, Budapest, most of Slovenia</w:t>
      </w:r>
      <w:r>
        <w:rPr>
          <w:i/>
          <w:iCs/>
        </w:rPr>
        <w:t xml:space="preserve"> and</w:t>
      </w:r>
      <w:r w:rsidRPr="00702488">
        <w:rPr>
          <w:i/>
          <w:iCs/>
        </w:rPr>
        <w:t xml:space="preserve"> parts of </w:t>
      </w:r>
      <w:r>
        <w:rPr>
          <w:i/>
          <w:iCs/>
        </w:rPr>
        <w:t>Czechia</w:t>
      </w:r>
      <w:r w:rsidRPr="00702488">
        <w:rPr>
          <w:i/>
          <w:iCs/>
        </w:rPr>
        <w:t xml:space="preserve">, which could lead by example in online interactions and exchanges with government institutions </w:t>
      </w:r>
      <w:r w:rsidRPr="00702488">
        <w:rPr>
          <w:i/>
          <w:iCs/>
        </w:rPr>
        <w:fldChar w:fldCharType="begin"/>
      </w:r>
      <w:r w:rsidR="001C3DA6">
        <w:rPr>
          <w:i/>
          <w:iCs/>
        </w:rPr>
        <w:instrText xml:space="preserve"> ADDIN ZOTERO_ITEM CSL_CITATION {"citationID":"at4jrbikr9","properties":{"formattedCitation":"(ESPON, 2019b)","plainCitation":"(ESPON, 2019b)","noteIndex":0},"citationItems":[{"id":67,"uris":["http://zotero.org/groups/21774/items/BPCX7TJV"],"itemData":{"id":67,"type":"document","publisher":"ESPON EGTC","title":"State of the European Territory","URL":"https://soet.espon.eu/#","author":[{"family":"ESPON","given":""}],"accessed":{"date-parts":[["2021",6,30]]},"issued":{"date-parts":[["2019"]]}}}],"schema":"https://github.com/citation-style-language/schema/raw/master/csl-citation.json"} </w:instrText>
      </w:r>
      <w:r w:rsidRPr="00702488">
        <w:rPr>
          <w:i/>
          <w:iCs/>
        </w:rPr>
        <w:fldChar w:fldCharType="separate"/>
      </w:r>
      <w:r w:rsidR="001C3DA6" w:rsidRPr="001C3DA6">
        <w:rPr>
          <w:rFonts w:ascii="Arial" w:cs="Arial"/>
        </w:rPr>
        <w:t>(ESPON, 2019b)</w:t>
      </w:r>
      <w:r w:rsidRPr="00702488">
        <w:rPr>
          <w:i/>
          <w:iCs/>
        </w:rPr>
        <w:fldChar w:fldCharType="end"/>
      </w:r>
      <w:r w:rsidRPr="00702488">
        <w:rPr>
          <w:i/>
          <w:iCs/>
        </w:rPr>
        <w:t xml:space="preserve">. </w:t>
      </w:r>
    </w:p>
    <w:p w14:paraId="61A3938A" w14:textId="7A6477F3" w:rsidR="00C44C88" w:rsidRDefault="001B58B2" w:rsidP="001B58B2">
      <w:r w:rsidRPr="00702488">
        <w:rPr>
          <w:b/>
          <w:bCs/>
        </w:rPr>
        <w:t>Integration relationship – it’s complicated</w:t>
      </w:r>
      <w:r w:rsidRPr="00702488">
        <w:t xml:space="preserve">. Given the focus on the new digital economy and industrial profile of the Danube region </w:t>
      </w:r>
      <w:r>
        <w:t>for</w:t>
      </w:r>
      <w:r w:rsidRPr="00702488">
        <w:t xml:space="preserve"> economically driven progress, European integration is an inevitable </w:t>
      </w:r>
      <w:r>
        <w:t xml:space="preserve">enabling </w:t>
      </w:r>
      <w:r w:rsidRPr="00702488">
        <w:t xml:space="preserve">tool. Cooperation with regions which may </w:t>
      </w:r>
      <w:r>
        <w:t>offer</w:t>
      </w:r>
      <w:r w:rsidRPr="00702488">
        <w:t xml:space="preserve"> an economic benefit is a must </w:t>
      </w:r>
      <w:r>
        <w:t>for</w:t>
      </w:r>
      <w:r w:rsidRPr="00702488">
        <w:t xml:space="preserve"> stronger economic and trade integration in the region</w:t>
      </w:r>
      <w:r>
        <w:t xml:space="preserve"> </w:t>
      </w:r>
      <w:r w:rsidR="00AD0EEE" w:rsidRPr="00AD0EEE">
        <w:t>(Map 7-1).</w:t>
      </w:r>
      <w:r w:rsidR="00E10446">
        <w:t xml:space="preserve"> </w:t>
      </w:r>
      <w:r w:rsidRPr="00702488">
        <w:t>Therefore, integration is furthered and supported particularly where economic integration is promoted. The more politically and economically integrated the EU is and the more capacit</w:t>
      </w:r>
      <w:r>
        <w:t>y</w:t>
      </w:r>
      <w:r w:rsidRPr="00702488">
        <w:t xml:space="preserve"> it </w:t>
      </w:r>
      <w:r>
        <w:t>has</w:t>
      </w:r>
      <w:r w:rsidRPr="00702488">
        <w:t xml:space="preserve"> to deal with political and economic cris</w:t>
      </w:r>
      <w:r>
        <w:t>e</w:t>
      </w:r>
      <w:r w:rsidRPr="00702488">
        <w:t>s, the more it can guarantee its own security and lead in globali</w:t>
      </w:r>
      <w:r>
        <w:t>s</w:t>
      </w:r>
      <w:r w:rsidRPr="00702488">
        <w:t xml:space="preserve">ation </w:t>
      </w:r>
      <w:r w:rsidRPr="00702488">
        <w:fldChar w:fldCharType="begin"/>
      </w:r>
      <w:r w:rsidR="001C3DA6">
        <w:instrText xml:space="preserve"> ADDIN ZOTERO_ITEM CSL_CITATION {"citationID":"nJlTe0NT","properties":{"formattedCitation":"(European Strategy and Policy Analysis System, 2015)","plainCitation":"(European Strategy and Policy Analysis System, 2015)","noteIndex":0},"citationItems":[{"id":3689,"uris":["http://zotero.org/groups/21774/items/S957QRP7"],"itemData":{"id":3689,"type":"report","publisher":"European Strategy and Policy Analysis System","title":"Global Trends to 2030: Can the EU meet the challenges ahead?","author":[{"literal":"European Strategy and Policy Analysis System"}],"issued":{"date-parts":[["2015"]]}}}],"schema":"https://github.com/citation-style-language/schema/raw/master/csl-citation.json"} </w:instrText>
      </w:r>
      <w:r w:rsidRPr="00702488">
        <w:fldChar w:fldCharType="separate"/>
      </w:r>
      <w:r w:rsidR="001C3DA6" w:rsidRPr="001C3DA6">
        <w:rPr>
          <w:rFonts w:ascii="Arial" w:cs="Arial"/>
        </w:rPr>
        <w:t>(European Strategy and Policy Analysis System, 2015)</w:t>
      </w:r>
      <w:r w:rsidRPr="00702488">
        <w:fldChar w:fldCharType="end"/>
      </w:r>
      <w:r w:rsidRPr="00702488">
        <w:t xml:space="preserve">. Last but not least, </w:t>
      </w:r>
      <w:r w:rsidRPr="00702488">
        <w:rPr>
          <w:rFonts w:ascii="Arial" w:hAnsi="Arial" w:cs="Arial"/>
          <w:color w:val="000000" w:themeColor="text1"/>
        </w:rPr>
        <w:t>cooperation at macro-regional and civil society level</w:t>
      </w:r>
      <w:r>
        <w:rPr>
          <w:rFonts w:ascii="Arial" w:hAnsi="Arial" w:cs="Arial"/>
          <w:color w:val="000000" w:themeColor="text1"/>
        </w:rPr>
        <w:t>s</w:t>
      </w:r>
      <w:r w:rsidRPr="00702488">
        <w:rPr>
          <w:rFonts w:ascii="Arial" w:hAnsi="Arial" w:cs="Arial"/>
          <w:color w:val="000000" w:themeColor="text1"/>
        </w:rPr>
        <w:t xml:space="preserve">, is </w:t>
      </w:r>
      <w:r>
        <w:rPr>
          <w:rFonts w:ascii="Arial" w:hAnsi="Arial" w:cs="Arial"/>
          <w:color w:val="000000" w:themeColor="text1"/>
        </w:rPr>
        <w:t>needed to address</w:t>
      </w:r>
      <w:r w:rsidRPr="00702488">
        <w:rPr>
          <w:rFonts w:ascii="Arial" w:hAnsi="Arial" w:cs="Arial"/>
          <w:color w:val="000000" w:themeColor="text1"/>
        </w:rPr>
        <w:t xml:space="preserve"> cyber security issues and data protection. </w:t>
      </w:r>
      <w:r w:rsidRPr="00702488">
        <w:t xml:space="preserve">EU enlargement continues especially </w:t>
      </w:r>
      <w:r>
        <w:t>for</w:t>
      </w:r>
      <w:r w:rsidRPr="00702488">
        <w:t xml:space="preserve"> economic integration </w:t>
      </w:r>
      <w:r>
        <w:t>with</w:t>
      </w:r>
      <w:r w:rsidRPr="00702488">
        <w:t xml:space="preserve"> more and more countries from the Western Balkans joining the EU. Equality, equity, fairness and cohesion ‘as a value’ safeguard that no region is left behind. Economic borders are open and seamless customs services contribut</w:t>
      </w:r>
      <w:r>
        <w:t>e</w:t>
      </w:r>
      <w:r w:rsidRPr="00702488">
        <w:t xml:space="preserve"> to cooperation, simplified rules, data exchange and common standards </w:t>
      </w:r>
      <w:r w:rsidRPr="00702488">
        <w:fldChar w:fldCharType="begin"/>
      </w:r>
      <w:r w:rsidR="001C3DA6">
        <w:instrText xml:space="preserve"> ADDIN ZOTERO_ITEM CSL_CITATION {"citationID":"nomAD1lH","properties":{"formattedCitation":"(Ghiran, Hakami, Bontoux, &amp; Scapolo, 2020)","plainCitation":"(Ghiran, Hakami, Bontoux, &amp; Scapolo, 2020)","noteIndex":0},"citationItems":[{"id":8033,"uris":["http://zotero.org/groups/4075961/items/J67D5UYF"],"itemData":{"id":8033,"type":"report","publisher":"Joint Research Centre","title":"The Future of Customs in the EU 2040: A foresight project for EU policy","author":[{"family":"Ghiran","given":"A"},{"family":"Hakami","given":"A"},{"family":"Bontoux","given":"L"},{"family":"Scapolo,","given":"F"}],"issued":{"date-parts":[["2020"]]}}}],"schema":"https://github.com/citation-style-language/schema/raw/master/csl-citation.json"} </w:instrText>
      </w:r>
      <w:r w:rsidRPr="00702488">
        <w:fldChar w:fldCharType="separate"/>
      </w:r>
      <w:r w:rsidR="001C3DA6">
        <w:rPr>
          <w:noProof/>
        </w:rPr>
        <w:t>(Ghiran, Hakami, Bontoux, &amp; Scapolo, 2020)</w:t>
      </w:r>
      <w:r w:rsidRPr="00702488">
        <w:fldChar w:fldCharType="end"/>
      </w:r>
      <w:r>
        <w:t>.</w:t>
      </w:r>
      <w:r w:rsidR="00620EBB" w:rsidRPr="00702488">
        <w:br w:type="page"/>
      </w:r>
    </w:p>
    <w:p w14:paraId="76BEFCD6" w14:textId="635B8423" w:rsidR="00620EBB" w:rsidRDefault="00C44C88" w:rsidP="00C44C88">
      <w:pPr>
        <w:pStyle w:val="Heading1"/>
      </w:pPr>
      <w:bookmarkStart w:id="31" w:name="_Toc100584669"/>
      <w:r>
        <w:t>Concluding reflections</w:t>
      </w:r>
      <w:bookmarkEnd w:id="31"/>
    </w:p>
    <w:p w14:paraId="118485A1" w14:textId="32F56323" w:rsidR="00317E76" w:rsidRPr="00174BC7" w:rsidRDefault="00317E76" w:rsidP="00317E76">
      <w:r>
        <w:t>What can we draw from the alternative territorial scenario ‘</w:t>
      </w:r>
      <w:r w:rsidR="00C11FD6">
        <w:t>Transforming to a hyper-digital economy</w:t>
      </w:r>
      <w:r>
        <w:t xml:space="preserve">’? The alternative territorial scenario has capitalised on the work carried out through the desk research and the co-creation process to develop the core foundations upon it has been developed. Those core foundations of the scenario have been the basis for the further development of the scenario and unfolding the key storylines and elements, as well as identifying their territorial implications. The following sections present first shortly those core foundations of the scenario. Second, they show the links of the key foundations to the storylines and elements of the scenarios, as well as overall territorial implications the scenario has. </w:t>
      </w:r>
    </w:p>
    <w:p w14:paraId="24073CA5" w14:textId="77777777" w:rsidR="00317E76" w:rsidRDefault="00317E76" w:rsidP="00317E76">
      <w:pPr>
        <w:pStyle w:val="Heading2"/>
      </w:pPr>
      <w:bookmarkStart w:id="32" w:name="_Toc100584670"/>
      <w:r>
        <w:t>What are the foundations of the scenario?</w:t>
      </w:r>
      <w:bookmarkEnd w:id="32"/>
    </w:p>
    <w:p w14:paraId="44AE4089" w14:textId="075D9B7E" w:rsidR="00317E76" w:rsidRDefault="00317E76" w:rsidP="00317E76">
      <w:pPr>
        <w:pStyle w:val="BodyText"/>
      </w:pPr>
      <w:r>
        <w:t>The alternative territorial scenario ‘</w:t>
      </w:r>
      <w:r w:rsidR="00593B6A">
        <w:t>Transforming to a hyper-digital economy</w:t>
      </w:r>
      <w:r>
        <w:t>’ has been built along five core foundations, as shown in the figure below.</w:t>
      </w:r>
    </w:p>
    <w:p w14:paraId="15FBC1E6" w14:textId="4D6D0630" w:rsidR="00317E76" w:rsidRDefault="00317E76" w:rsidP="00317E76">
      <w:pPr>
        <w:pStyle w:val="Caption"/>
      </w:pPr>
      <w:bookmarkStart w:id="33" w:name="_Toc100584686"/>
      <w:r>
        <w:t xml:space="preserve">Figure </w:t>
      </w:r>
      <w:r w:rsidR="008B0066">
        <w:fldChar w:fldCharType="begin"/>
      </w:r>
      <w:r w:rsidR="008B0066">
        <w:instrText xml:space="preserve"> STYLEREF 1 \s </w:instrText>
      </w:r>
      <w:r w:rsidR="008B0066">
        <w:fldChar w:fldCharType="separate"/>
      </w:r>
      <w:r w:rsidR="006839DA">
        <w:rPr>
          <w:noProof/>
        </w:rPr>
        <w:t>8</w:t>
      </w:r>
      <w:r w:rsidR="008B0066">
        <w:fldChar w:fldCharType="end"/>
      </w:r>
      <w:r w:rsidR="008B0066">
        <w:noBreakHyphen/>
      </w:r>
      <w:r w:rsidR="008B0066">
        <w:fldChar w:fldCharType="begin"/>
      </w:r>
      <w:r w:rsidR="008B0066">
        <w:instrText xml:space="preserve"> SEQ Figure \* ARABIC \s 1 </w:instrText>
      </w:r>
      <w:r w:rsidR="008B0066">
        <w:fldChar w:fldCharType="separate"/>
      </w:r>
      <w:r w:rsidR="006839DA">
        <w:rPr>
          <w:noProof/>
        </w:rPr>
        <w:t>1</w:t>
      </w:r>
      <w:r w:rsidR="008B0066">
        <w:fldChar w:fldCharType="end"/>
      </w:r>
      <w:r w:rsidR="001B58B2">
        <w:t xml:space="preserve"> </w:t>
      </w:r>
      <w:r>
        <w:t>Transforming to a hyper-digital economy foundations</w:t>
      </w:r>
      <w:r w:rsidR="00F83815">
        <w:t xml:space="preserve"> – </w:t>
      </w:r>
      <w:r w:rsidR="001B58B2">
        <w:t>EUSDR in 2050</w:t>
      </w:r>
      <w:bookmarkEnd w:id="33"/>
    </w:p>
    <w:p w14:paraId="5F5793AE" w14:textId="613DE3A5" w:rsidR="00317E76" w:rsidRDefault="00210FB8" w:rsidP="00317E76">
      <w:r>
        <w:rPr>
          <w:noProof/>
        </w:rPr>
        <w:drawing>
          <wp:inline distT="0" distB="0" distL="0" distR="0" wp14:anchorId="1E532528" wp14:editId="55FF76F4">
            <wp:extent cx="4514400" cy="4203318"/>
            <wp:effectExtent l="0" t="0" r="0" b="635"/>
            <wp:docPr id="77" name="Picture 77"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Chart, funnel 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14400" cy="4203318"/>
                    </a:xfrm>
                    <a:prstGeom prst="rect">
                      <a:avLst/>
                    </a:prstGeom>
                  </pic:spPr>
                </pic:pic>
              </a:graphicData>
            </a:graphic>
          </wp:inline>
        </w:drawing>
      </w:r>
    </w:p>
    <w:p w14:paraId="3C771BE7" w14:textId="0545659C" w:rsidR="00E64A1E" w:rsidRDefault="00E64A1E" w:rsidP="00317E76">
      <w:pPr>
        <w:rPr>
          <w:sz w:val="16"/>
          <w:szCs w:val="16"/>
        </w:rPr>
      </w:pPr>
      <w:r w:rsidRPr="00E64A1E">
        <w:rPr>
          <w:sz w:val="16"/>
          <w:szCs w:val="16"/>
        </w:rPr>
        <w:t>Source: authors’ own</w:t>
      </w:r>
    </w:p>
    <w:p w14:paraId="3A78CDEB" w14:textId="2AD3DD00" w:rsidR="00A92CF2" w:rsidRDefault="00076D18" w:rsidP="00317E76">
      <w:pPr>
        <w:rPr>
          <w:rFonts w:ascii="Arial" w:hAnsi="Arial" w:cs="Arial"/>
        </w:rPr>
      </w:pPr>
      <w:r>
        <w:rPr>
          <w:rFonts w:ascii="Arial" w:hAnsi="Arial" w:cs="Arial"/>
        </w:rPr>
        <w:t xml:space="preserve">In this strongly digitally driven scenario, businesses and people’s lives change and adjust to immense shifts in digital transformations. </w:t>
      </w:r>
      <w:r w:rsidR="000A6E4E">
        <w:t xml:space="preserve">By 2050, the Danube Region has taken big steps to profit from the dawn of the new global digital era and became the first macro-regional strategy with a clear digital focus. </w:t>
      </w:r>
      <w:r w:rsidR="00E85ED6" w:rsidRPr="00A23ED1">
        <w:rPr>
          <w:rFonts w:ascii="Arial" w:hAnsi="Arial" w:cs="Arial"/>
        </w:rPr>
        <w:t>By 2050, the digital transformation and transition of the Danube Region has become a key priority with direct effects to the transformation of businesses, employment, infrastructures, public policies, as well as to people, as it has changed their lifestyles, leisure and work.</w:t>
      </w:r>
      <w:r w:rsidR="00E85ED6">
        <w:rPr>
          <w:rFonts w:ascii="Arial" w:hAnsi="Arial" w:cs="Arial"/>
        </w:rPr>
        <w:t xml:space="preserve"> </w:t>
      </w:r>
      <w:r w:rsidR="00340944">
        <w:t xml:space="preserve">By 2050, achieving a digital economy in pursuit of industry 5.0, is a key priority for the Danube Region, which takes time, however, towards the 2030s it takes a big leap, with support of the overall EU digital </w:t>
      </w:r>
      <w:r>
        <w:t>trans</w:t>
      </w:r>
      <w:r w:rsidR="00340944">
        <w:t>formation</w:t>
      </w:r>
      <w:r>
        <w:t xml:space="preserve"> </w:t>
      </w:r>
      <w:r w:rsidR="00340944">
        <w:t>and a gradual uprising in industry 5.0. The Danube Region has transitioned from the 4</w:t>
      </w:r>
      <w:r w:rsidR="00340944" w:rsidRPr="00112434">
        <w:rPr>
          <w:vertAlign w:val="superscript"/>
        </w:rPr>
        <w:t>th</w:t>
      </w:r>
      <w:r w:rsidR="00340944">
        <w:t xml:space="preserve"> industrial revolution towards the industry 5.0 path.</w:t>
      </w:r>
      <w:r w:rsidR="001B47BF" w:rsidRPr="001B47BF">
        <w:rPr>
          <w:rFonts w:ascii="Arial" w:hAnsi="Arial" w:cs="Arial"/>
        </w:rPr>
        <w:t xml:space="preserve"> </w:t>
      </w:r>
      <w:r w:rsidR="001B47BF" w:rsidRPr="008A490A">
        <w:rPr>
          <w:rFonts w:ascii="Arial" w:hAnsi="Arial" w:cs="Arial"/>
        </w:rPr>
        <w:t>Industry</w:t>
      </w:r>
      <w:r w:rsidR="001B47BF">
        <w:rPr>
          <w:rFonts w:ascii="Arial" w:hAnsi="Arial" w:cs="Arial"/>
        </w:rPr>
        <w:t xml:space="preserve"> 5.0</w:t>
      </w:r>
      <w:r w:rsidR="001B47BF" w:rsidRPr="008A490A">
        <w:rPr>
          <w:rFonts w:ascii="Arial" w:hAnsi="Arial" w:cs="Arial"/>
        </w:rPr>
        <w:t xml:space="preserve"> introduces a paradigm shift in the industrial policy</w:t>
      </w:r>
      <w:r w:rsidR="001B47BF">
        <w:rPr>
          <w:rFonts w:ascii="Arial" w:hAnsi="Arial" w:cs="Arial"/>
        </w:rPr>
        <w:t>, by alleviating environmental pressures and social inequalities stemming from hyper-digitalisation, adopting an industrial symbiosis, that creates</w:t>
      </w:r>
      <w:r w:rsidR="001B47BF" w:rsidRPr="008A490A">
        <w:rPr>
          <w:rFonts w:ascii="Arial" w:hAnsi="Arial" w:cs="Arial"/>
        </w:rPr>
        <w:t xml:space="preserve"> a more resilient, robust, sustainable and human-centric industry</w:t>
      </w:r>
      <w:r w:rsidR="001B47BF">
        <w:rPr>
          <w:rFonts w:ascii="Arial" w:hAnsi="Arial" w:cs="Arial"/>
        </w:rPr>
        <w:t>. The industrial symbiosis path has started gradually over the 2020s and 2030s, showing different fluctuations until in takes an increase by 2050</w:t>
      </w:r>
      <w:r w:rsidR="0029524F">
        <w:rPr>
          <w:rFonts w:ascii="Arial" w:hAnsi="Arial" w:cs="Arial"/>
        </w:rPr>
        <w:t xml:space="preserve"> (Figure 8-1)</w:t>
      </w:r>
      <w:r w:rsidR="001B47BF">
        <w:rPr>
          <w:rFonts w:ascii="Arial" w:hAnsi="Arial" w:cs="Arial"/>
        </w:rPr>
        <w:t>.</w:t>
      </w:r>
      <w:r w:rsidR="00195D84">
        <w:t>The shift to hyper-digitalisation has not only affected the industrial models in the region, but also people’s social lives</w:t>
      </w:r>
      <w:r w:rsidR="00BA106F">
        <w:t xml:space="preserve">, as the region has </w:t>
      </w:r>
      <w:r w:rsidR="00CF179E">
        <w:t xml:space="preserve">become </w:t>
      </w:r>
      <w:r w:rsidR="00CF179E" w:rsidRPr="008A490A">
        <w:rPr>
          <w:rFonts w:ascii="Arial" w:hAnsi="Arial" w:cs="Arial"/>
        </w:rPr>
        <w:t>a pioneer in using the metaverse</w:t>
      </w:r>
      <w:r w:rsidR="00CF179E">
        <w:rPr>
          <w:rFonts w:ascii="Arial" w:hAnsi="Arial" w:cs="Arial"/>
        </w:rPr>
        <w:t xml:space="preserve">. </w:t>
      </w:r>
      <w:r w:rsidR="009024C2">
        <w:rPr>
          <w:rFonts w:ascii="Arial" w:hAnsi="Arial" w:cs="Arial"/>
        </w:rPr>
        <w:t>These changes started gradually but went quickly high after the 2030s, as technological shifts are inevitable and happen at great speed</w:t>
      </w:r>
      <w:r w:rsidR="0029524F">
        <w:rPr>
          <w:rFonts w:ascii="Arial" w:hAnsi="Arial" w:cs="Arial"/>
        </w:rPr>
        <w:t xml:space="preserve"> (Figure 8-1)</w:t>
      </w:r>
      <w:r w:rsidR="00CF179E">
        <w:rPr>
          <w:rFonts w:ascii="Arial" w:hAnsi="Arial" w:cs="Arial"/>
        </w:rPr>
        <w:t>.</w:t>
      </w:r>
    </w:p>
    <w:p w14:paraId="2903CE23" w14:textId="330C4328" w:rsidR="00A92CF2" w:rsidRDefault="00A92CF2" w:rsidP="00A92CF2">
      <w:pPr>
        <w:rPr>
          <w:rFonts w:ascii="Arial" w:hAnsi="Arial" w:cs="Arial"/>
        </w:rPr>
      </w:pPr>
      <w:r>
        <w:rPr>
          <w:rFonts w:ascii="Arial" w:hAnsi="Arial" w:cs="Arial"/>
        </w:rPr>
        <w:t xml:space="preserve">Another important shift coming with the hyper-digitalisation is a new Danube transport era, where the Danube River has become the transport means for goods in the region, with faster connections across the river. </w:t>
      </w:r>
      <w:r w:rsidRPr="008A490A">
        <w:rPr>
          <w:rFonts w:ascii="Arial" w:hAnsi="Arial" w:cs="Arial"/>
        </w:rPr>
        <w:t xml:space="preserve">In addition, efforts to make ports more sustainable have been initiated by 2050. </w:t>
      </w:r>
      <w:r>
        <w:rPr>
          <w:rFonts w:ascii="Arial" w:hAnsi="Arial" w:cs="Arial"/>
        </w:rPr>
        <w:t>Ports and port cities have gained importance over the years increasing their roles as key transport hubs. Such transition had a gradual shift over the years, as it is continuously increasing development</w:t>
      </w:r>
      <w:r w:rsidR="0029524F">
        <w:rPr>
          <w:rFonts w:ascii="Arial" w:hAnsi="Arial" w:cs="Arial"/>
        </w:rPr>
        <w:t xml:space="preserve"> (Figure 8-1)</w:t>
      </w:r>
      <w:r w:rsidR="00A80486">
        <w:rPr>
          <w:rFonts w:ascii="Arial" w:hAnsi="Arial" w:cs="Arial"/>
        </w:rPr>
        <w:t xml:space="preserve">. </w:t>
      </w:r>
    </w:p>
    <w:p w14:paraId="113AFE71" w14:textId="592CE2F0" w:rsidR="001B47BF" w:rsidRDefault="00A80486" w:rsidP="00317E76">
      <w:pPr>
        <w:rPr>
          <w:rFonts w:ascii="Arial" w:hAnsi="Arial" w:cs="Arial"/>
        </w:rPr>
      </w:pPr>
      <w:r w:rsidRPr="008A490A">
        <w:rPr>
          <w:rFonts w:ascii="Arial" w:hAnsi="Arial" w:cs="Arial"/>
        </w:rPr>
        <w:t>Given the focus on the new digital economy and industrial profile of the Danube region and the economically driven progress, the European integration is an inevitable tool for improving these relations. Cooperation with those regions which may result in an economic benefit is a must to have a stronger economic and trade integration in the region. Therefore, integration is furthered and supported in those cases where particularly economic integration is promoted</w:t>
      </w:r>
      <w:r w:rsidR="0029524F">
        <w:rPr>
          <w:rFonts w:ascii="Arial" w:hAnsi="Arial" w:cs="Arial"/>
        </w:rPr>
        <w:t xml:space="preserve"> (Figure 8-1)</w:t>
      </w:r>
      <w:r w:rsidRPr="008A490A">
        <w:rPr>
          <w:rFonts w:ascii="Arial" w:hAnsi="Arial" w:cs="Arial"/>
        </w:rPr>
        <w:t>.</w:t>
      </w:r>
    </w:p>
    <w:p w14:paraId="0F0D9EBF" w14:textId="2A0AEC14" w:rsidR="00076D18" w:rsidRPr="00076D18" w:rsidRDefault="00076D18" w:rsidP="00317E76">
      <w:r>
        <w:rPr>
          <w:rFonts w:ascii="Arial" w:hAnsi="Arial" w:cs="Arial"/>
        </w:rPr>
        <w:t>All in all, these developments show the directions that different developments have taken in this scenario, influenced by the choices people have done. For the project, this guidance and direction has been given through the participatory approach. All these</w:t>
      </w:r>
      <w:r w:rsidR="0029524F">
        <w:rPr>
          <w:rFonts w:ascii="Arial" w:hAnsi="Arial" w:cs="Arial"/>
        </w:rPr>
        <w:t>,</w:t>
      </w:r>
      <w:r>
        <w:rPr>
          <w:rFonts w:ascii="Arial" w:hAnsi="Arial" w:cs="Arial"/>
        </w:rPr>
        <w:t xml:space="preserve"> play, however, differently in the different territories. </w:t>
      </w:r>
    </w:p>
    <w:p w14:paraId="00D89964" w14:textId="77777777" w:rsidR="00642367" w:rsidRDefault="00642367" w:rsidP="00642367">
      <w:pPr>
        <w:pStyle w:val="Heading2"/>
      </w:pPr>
      <w:bookmarkStart w:id="34" w:name="_Toc100584671"/>
      <w:r>
        <w:t>What are the territorial implications of the scenario foundations?</w:t>
      </w:r>
      <w:bookmarkEnd w:id="34"/>
    </w:p>
    <w:p w14:paraId="6C5CC11C" w14:textId="70101CA7" w:rsidR="00B84B1D" w:rsidRPr="0029524F" w:rsidRDefault="00B84B1D" w:rsidP="00B84B1D">
      <w:r w:rsidRPr="0029524F">
        <w:t xml:space="preserve">The scenario foundations summarise the different elements that build the whole scenario storyline. This is graphically shown in Figure </w:t>
      </w:r>
      <w:r w:rsidR="0029524F" w:rsidRPr="0029524F">
        <w:t>8-2</w:t>
      </w:r>
      <w:r w:rsidRPr="0029524F">
        <w:t xml:space="preserve"> below. The Figure shows how thematically linked the story is with the core elements that have shaped the development of the scenario. In addition, the figure synthesises what types of territories are most affected by the scenario. Although more specific territorial implications are given in the scenario stories, the figure below gives an overview glimpse of types of territories most affected. Certainly, such big changes have implications on all territories. Nevertheless, </w:t>
      </w:r>
      <w:r w:rsidR="009E322A" w:rsidRPr="0029524F">
        <w:t xml:space="preserve">urban intermediate and industrial areas are highly affected by the pursuit of digital economy, as </w:t>
      </w:r>
      <w:r w:rsidR="002940FD" w:rsidRPr="0029524F">
        <w:t>changes in this domain would first affect these places</w:t>
      </w:r>
      <w:r w:rsidRPr="0029524F">
        <w:t xml:space="preserve">. In addition, </w:t>
      </w:r>
      <w:r w:rsidR="00655419" w:rsidRPr="0029524F">
        <w:t>the shift to metaverse and hyper-digitalisation in society also largely affects urban,</w:t>
      </w:r>
      <w:r w:rsidR="008F53AB" w:rsidRPr="0029524F">
        <w:t xml:space="preserve"> intermediate and industrial places, as they have had higher potential for </w:t>
      </w:r>
      <w:r w:rsidR="00580F76" w:rsidRPr="0029524F">
        <w:t xml:space="preserve">increasing connectivity. </w:t>
      </w:r>
      <w:r w:rsidR="0029524F" w:rsidRPr="0029524F">
        <w:t>Industrial</w:t>
      </w:r>
      <w:r w:rsidR="00580F76" w:rsidRPr="0029524F">
        <w:t xml:space="preserve"> symbiosis affects largely industrial and border regions, </w:t>
      </w:r>
      <w:r w:rsidR="000D3733" w:rsidRPr="0029524F">
        <w:t xml:space="preserve">given the effects that sustainable solutions have on industry and their neighbouring territories. Although most territories are affected by the </w:t>
      </w:r>
      <w:r w:rsidR="001730A6" w:rsidRPr="0029524F">
        <w:t xml:space="preserve">Danube River increasing in importance and becoming the key transport node, this is more relevant for river places and their ports, as they are the highest affected. Achieving European integration driven by economy is highly linked to all types of territories </w:t>
      </w:r>
      <w:r w:rsidR="00ED1B92" w:rsidRPr="0029524F">
        <w:t>and mainly for border regions, as based on the different economic relations European integration is influenced</w:t>
      </w:r>
      <w:r w:rsidRPr="0029524F">
        <w:t xml:space="preserve">. </w:t>
      </w:r>
    </w:p>
    <w:p w14:paraId="3D693812" w14:textId="1E118489" w:rsidR="00B84B1D" w:rsidRDefault="00B84B1D" w:rsidP="00B84B1D">
      <w:r w:rsidRPr="0029524F">
        <w:t xml:space="preserve">Besides highlighting territorial implications of the alternative territorial scenario, Figure </w:t>
      </w:r>
      <w:r w:rsidR="0029524F" w:rsidRPr="0029524F">
        <w:t>8-2</w:t>
      </w:r>
      <w:r>
        <w:t xml:space="preserve"> pinpoints at the complexity that territorial scenarios deal with. The elements that constitute the scenario are highly linked not only, in one way or the other, to each other, but also to the core foundations of the scenario, building a coherent and solid story. At the same time, they influence different territories to different extends, counting on the specific details of each scenario element. The territorial implications also depend on the sensitivity and resilience capacity of different regions to adapt to changes and transitions. The figure does not aim to detail every possible territorial implication, but rather to reduce complexity and emphasise that interdependencies of territories are unavoidable.</w:t>
      </w:r>
    </w:p>
    <w:p w14:paraId="0898EFC5" w14:textId="43735F0E" w:rsidR="00B84B1D" w:rsidRDefault="00B84B1D" w:rsidP="00B84B1D">
      <w:r w:rsidRPr="00EF615B">
        <w:t xml:space="preserve">The figure was constructed taking into consideration that all drivers have at least one component, that each driver has different effect intensities on each of the type of territories, and finally that each component has a different importance (proportion) inside each driver (i.e. the height of the components). The territorial effect intensity was calculated based on the particular weight that each driver was considered to have on each type of territory and the importance of the component for each driver. The different heights of the drivers (middle) are a result of the sum of their intensity for all territories. On the right side, the intensity of each component is translated to each territory based on the basic calculation of driver intensity x component importance (the latter which sum up to 100% for each driver). As a result, the height of each type of territory is proportional to the intensity of the effects of all drivers together. This means that at a general level all types of territories are impacted, however, the intensity of the effects </w:t>
      </w:r>
      <w:r w:rsidR="0029524F" w:rsidRPr="00EF615B">
        <w:t>differs</w:t>
      </w:r>
      <w:r w:rsidRPr="00EF615B">
        <w:t xml:space="preserve"> significantly for each driver based on the effects of their components.</w:t>
      </w:r>
    </w:p>
    <w:p w14:paraId="3DA7A1A1" w14:textId="77777777" w:rsidR="0062695F" w:rsidRDefault="0062695F" w:rsidP="00317E76">
      <w:pPr>
        <w:sectPr w:rsidR="0062695F" w:rsidSect="00BE3A2C">
          <w:pgSz w:w="11906" w:h="16838" w:code="9"/>
          <w:pgMar w:top="1418" w:right="1701" w:bottom="1418" w:left="1701" w:header="567" w:footer="737" w:gutter="0"/>
          <w:cols w:space="708"/>
          <w:docGrid w:linePitch="360"/>
        </w:sectPr>
      </w:pPr>
    </w:p>
    <w:p w14:paraId="30066835" w14:textId="79CAF4E9" w:rsidR="00642367" w:rsidRDefault="0062695F" w:rsidP="0062695F">
      <w:pPr>
        <w:pStyle w:val="Caption"/>
      </w:pPr>
      <w:bookmarkStart w:id="35" w:name="_Toc100584687"/>
      <w:r>
        <w:t xml:space="preserve">Figure </w:t>
      </w:r>
      <w:r w:rsidR="008B0066">
        <w:fldChar w:fldCharType="begin"/>
      </w:r>
      <w:r w:rsidR="008B0066">
        <w:instrText xml:space="preserve"> STYLEREF 1 \s </w:instrText>
      </w:r>
      <w:r w:rsidR="008B0066">
        <w:fldChar w:fldCharType="separate"/>
      </w:r>
      <w:r w:rsidR="006839DA">
        <w:rPr>
          <w:noProof/>
        </w:rPr>
        <w:t>8</w:t>
      </w:r>
      <w:r w:rsidR="008B0066">
        <w:fldChar w:fldCharType="end"/>
      </w:r>
      <w:r w:rsidR="008B0066">
        <w:noBreakHyphen/>
      </w:r>
      <w:r w:rsidR="008B0066">
        <w:fldChar w:fldCharType="begin"/>
      </w:r>
      <w:r w:rsidR="008B0066">
        <w:instrText xml:space="preserve"> SEQ Figure \* ARABIC \s 1 </w:instrText>
      </w:r>
      <w:r w:rsidR="008B0066">
        <w:fldChar w:fldCharType="separate"/>
      </w:r>
      <w:r w:rsidR="006839DA">
        <w:rPr>
          <w:noProof/>
        </w:rPr>
        <w:t>2</w:t>
      </w:r>
      <w:r w:rsidR="008B0066">
        <w:fldChar w:fldCharType="end"/>
      </w:r>
      <w:r w:rsidR="00B13DF5">
        <w:t xml:space="preserve"> </w:t>
      </w:r>
      <w:r w:rsidR="00F237BC">
        <w:t>What territories are affected by the ‘Transforming into a hyper-digital economy’ alternative scenario?</w:t>
      </w:r>
      <w:bookmarkEnd w:id="35"/>
    </w:p>
    <w:p w14:paraId="2C75A2A1" w14:textId="3EC6338C" w:rsidR="00076D18" w:rsidRDefault="00AB3B3A" w:rsidP="0062695F">
      <w:pPr>
        <w:rPr>
          <w:sz w:val="16"/>
          <w:szCs w:val="16"/>
        </w:rPr>
        <w:sectPr w:rsidR="00076D18" w:rsidSect="0062695F">
          <w:pgSz w:w="16838" w:h="11906" w:orient="landscape" w:code="9"/>
          <w:pgMar w:top="1701" w:right="1418" w:bottom="1701" w:left="1418" w:header="567" w:footer="737" w:gutter="0"/>
          <w:cols w:space="708"/>
          <w:docGrid w:linePitch="360"/>
        </w:sectPr>
      </w:pPr>
      <w:r>
        <w:rPr>
          <w:noProof/>
        </w:rPr>
        <w:drawing>
          <wp:inline distT="0" distB="0" distL="0" distR="0" wp14:anchorId="54B44D03" wp14:editId="06BFD0D3">
            <wp:extent cx="7836568" cy="4888534"/>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35">
                      <a:extLst>
                        <a:ext uri="{28A0092B-C50C-407E-A947-70E740481C1C}">
                          <a14:useLocalDpi xmlns:a14="http://schemas.microsoft.com/office/drawing/2010/main" val="0"/>
                        </a:ext>
                      </a:extLst>
                    </a:blip>
                    <a:srcRect l="7488" t="3721" r="19619" b="11025"/>
                    <a:stretch/>
                  </pic:blipFill>
                  <pic:spPr bwMode="auto">
                    <a:xfrm>
                      <a:off x="0" y="0"/>
                      <a:ext cx="7845655" cy="4894202"/>
                    </a:xfrm>
                    <a:prstGeom prst="rect">
                      <a:avLst/>
                    </a:prstGeom>
                    <a:ln>
                      <a:noFill/>
                    </a:ln>
                    <a:extLst>
                      <a:ext uri="{53640926-AAD7-44D8-BBD7-CCE9431645EC}">
                        <a14:shadowObscured xmlns:a14="http://schemas.microsoft.com/office/drawing/2010/main"/>
                      </a:ext>
                    </a:extLst>
                  </pic:spPr>
                </pic:pic>
              </a:graphicData>
            </a:graphic>
          </wp:inline>
        </w:drawing>
      </w:r>
      <w:r w:rsidR="005D456C">
        <w:br/>
      </w:r>
      <w:r w:rsidR="005D456C" w:rsidRPr="005D456C">
        <w:rPr>
          <w:sz w:val="16"/>
          <w:szCs w:val="16"/>
        </w:rPr>
        <w:t>Source: authors’ ow</w:t>
      </w:r>
      <w:r w:rsidR="00B84B1D">
        <w:rPr>
          <w:sz w:val="16"/>
          <w:szCs w:val="16"/>
        </w:rPr>
        <w:t>n</w:t>
      </w:r>
    </w:p>
    <w:p w14:paraId="2EDD23B6" w14:textId="4A88C62A" w:rsidR="00646167" w:rsidRPr="00702488" w:rsidRDefault="001F5CE0" w:rsidP="00646167">
      <w:pPr>
        <w:pStyle w:val="Heading1"/>
      </w:pPr>
      <w:bookmarkStart w:id="36" w:name="_Toc100584672"/>
      <w:r w:rsidRPr="00702488">
        <w:t xml:space="preserve">Policy </w:t>
      </w:r>
      <w:r w:rsidR="00646167" w:rsidRPr="00702488">
        <w:t>recommendations</w:t>
      </w:r>
      <w:bookmarkEnd w:id="36"/>
      <w:r w:rsidR="00646167" w:rsidRPr="00702488">
        <w:t xml:space="preserve"> </w:t>
      </w:r>
    </w:p>
    <w:p w14:paraId="78D82553" w14:textId="1D5AFE81" w:rsidR="001F5CE0" w:rsidRPr="00702488" w:rsidRDefault="009627AD" w:rsidP="001F5CE0">
      <w:r w:rsidRPr="00702488">
        <w:t xml:space="preserve">The following sections present policy recommendations. Section </w:t>
      </w:r>
      <w:r>
        <w:t>9</w:t>
      </w:r>
      <w:r w:rsidRPr="00702488">
        <w:t xml:space="preserve">.1 focuses on policy recommendations for EUSDR, while the section </w:t>
      </w:r>
      <w:r>
        <w:t>9</w:t>
      </w:r>
      <w:r w:rsidRPr="00702488">
        <w:t>.2 provides cross-cutting recommendations.</w:t>
      </w:r>
    </w:p>
    <w:p w14:paraId="5C8775B8" w14:textId="159348D5" w:rsidR="002D4FC2" w:rsidRPr="00702488" w:rsidRDefault="001F5CE0" w:rsidP="002D4FC2">
      <w:pPr>
        <w:pStyle w:val="Heading2"/>
      </w:pPr>
      <w:bookmarkStart w:id="37" w:name="_Toc100584673"/>
      <w:r w:rsidRPr="00702488">
        <w:t xml:space="preserve">Policy </w:t>
      </w:r>
      <w:r w:rsidR="00064140">
        <w:t>r</w:t>
      </w:r>
      <w:r w:rsidR="002D4FC2" w:rsidRPr="00702488">
        <w:t>ecommendations for the EUSDR</w:t>
      </w:r>
      <w:bookmarkEnd w:id="37"/>
    </w:p>
    <w:p w14:paraId="727C6417" w14:textId="77777777" w:rsidR="000D1BA4" w:rsidRPr="00702488" w:rsidRDefault="000D1BA4" w:rsidP="000D1BA4">
      <w:r w:rsidRPr="00702488">
        <w:t xml:space="preserve">The three scenarios for EUSDR point </w:t>
      </w:r>
      <w:r>
        <w:t>to</w:t>
      </w:r>
      <w:r w:rsidRPr="00702488">
        <w:t xml:space="preserve"> overarching challenges </w:t>
      </w:r>
      <w:r>
        <w:t>and</w:t>
      </w:r>
      <w:r w:rsidRPr="00702488">
        <w:t xml:space="preserve"> potential to be addressed. </w:t>
      </w:r>
    </w:p>
    <w:p w14:paraId="2918C729" w14:textId="77777777" w:rsidR="000D1BA4" w:rsidRPr="00702488" w:rsidRDefault="000D1BA4" w:rsidP="000D1BA4">
      <w:r w:rsidRPr="00702488">
        <w:t xml:space="preserve">Regardless </w:t>
      </w:r>
      <w:r>
        <w:t xml:space="preserve">of </w:t>
      </w:r>
      <w:r w:rsidRPr="00702488">
        <w:t>which scenario</w:t>
      </w:r>
      <w:r>
        <w:t xml:space="preserve"> seem</w:t>
      </w:r>
      <w:r w:rsidRPr="00702488">
        <w:t>s more desirable or likely, issues such as demographic decline and ag</w:t>
      </w:r>
      <w:r>
        <w:t>e</w:t>
      </w:r>
      <w:r w:rsidRPr="00702488">
        <w:t>ing, climate change, biodiversity</w:t>
      </w:r>
      <w:r w:rsidRPr="007069CE">
        <w:t xml:space="preserve"> </w:t>
      </w:r>
      <w:r w:rsidRPr="00702488">
        <w:t xml:space="preserve">loss, digitalisation, energy demand, and growing global tensions will need to be addressed in the region. </w:t>
      </w:r>
    </w:p>
    <w:p w14:paraId="369D2CAA" w14:textId="77777777" w:rsidR="000D1BA4" w:rsidRPr="00702488" w:rsidRDefault="000D1BA4" w:rsidP="000D1BA4">
      <w:r w:rsidRPr="00702488">
        <w:t>Based on these</w:t>
      </w:r>
      <w:r>
        <w:t>,</w:t>
      </w:r>
      <w:r w:rsidRPr="00702488">
        <w:t xml:space="preserve"> different strands of policy recommendations can be developed. Each could be linked to the four EUSDR pillars. Developing policy recommendations means shifting from </w:t>
      </w:r>
      <w:r>
        <w:t xml:space="preserve">a general </w:t>
      </w:r>
      <w:r w:rsidRPr="00702488">
        <w:t xml:space="preserve">discussion of possible futures to </w:t>
      </w:r>
      <w:r>
        <w:t xml:space="preserve">definite </w:t>
      </w:r>
      <w:r w:rsidRPr="00702488">
        <w:t xml:space="preserve">ideas about a desirable future. What outlooks </w:t>
      </w:r>
      <w:r>
        <w:t>in</w:t>
      </w:r>
      <w:r w:rsidRPr="00702488">
        <w:t xml:space="preserve"> the scenarios do we want to avoid or would we like to see? This means policy recommendations are subjective and a matter of (personal) choice. The following provides a teaser o</w:t>
      </w:r>
      <w:r>
        <w:t>f</w:t>
      </w:r>
      <w:r w:rsidRPr="00702488">
        <w:t xml:space="preserve"> possible policy recommendations which can be drawn from the scenario</w:t>
      </w:r>
      <w:r>
        <w:t>s</w:t>
      </w:r>
      <w:r w:rsidRPr="00702488">
        <w:t xml:space="preserve">, based on a co-creation workshop with the Steering Group. The recommendations do not necessarily represent the opinion of the Steering Group or its members. </w:t>
      </w:r>
    </w:p>
    <w:p w14:paraId="02B89FDD" w14:textId="46C73526" w:rsidR="002D4FC2" w:rsidRPr="00702488" w:rsidRDefault="000D1BA4" w:rsidP="000D1BA4">
      <w:r>
        <w:t>There are</w:t>
      </w:r>
      <w:r w:rsidRPr="00702488">
        <w:t xml:space="preserve"> 10 fields for policy action (see figure) </w:t>
      </w:r>
      <w:r>
        <w:t xml:space="preserve">which </w:t>
      </w:r>
      <w:r w:rsidRPr="00702488">
        <w:t>range from a masterplan for a macro-regional shift to green mobility, via increased digital infrastructure</w:t>
      </w:r>
      <w:r>
        <w:t xml:space="preserve"> and</w:t>
      </w:r>
      <w:r w:rsidRPr="00702488">
        <w:t xml:space="preserve"> the EU Green Deal going local to the integration of Ukraine and Moldova. The vast spectrum shows the diversity of possible policy recommendations </w:t>
      </w:r>
      <w:r>
        <w:t>prompted</w:t>
      </w:r>
      <w:r w:rsidRPr="00702488">
        <w:t xml:space="preserve"> </w:t>
      </w:r>
      <w:r>
        <w:t xml:space="preserve">by </w:t>
      </w:r>
      <w:r w:rsidRPr="00702488">
        <w:t xml:space="preserve">the scenario work, as well as </w:t>
      </w:r>
      <w:r>
        <w:t>various</w:t>
      </w:r>
      <w:r w:rsidRPr="00702488">
        <w:t xml:space="preserve"> levels of detail. </w:t>
      </w:r>
      <w:r w:rsidR="002D4FC2" w:rsidRPr="00702488">
        <w:t xml:space="preserve"> </w:t>
      </w:r>
    </w:p>
    <w:p w14:paraId="7FD9840D" w14:textId="77777777" w:rsidR="002D4FC2" w:rsidRPr="00702488" w:rsidRDefault="002D4FC2" w:rsidP="002D4FC2"/>
    <w:p w14:paraId="56ABE259" w14:textId="71002E78" w:rsidR="002D4FC2" w:rsidRPr="00702488" w:rsidRDefault="002D4FC2" w:rsidP="002D4FC2">
      <w:pPr>
        <w:pStyle w:val="Caption"/>
        <w:jc w:val="both"/>
      </w:pPr>
      <w:bookmarkStart w:id="38" w:name="_Toc100584688"/>
      <w:r w:rsidRPr="00702488">
        <w:t xml:space="preserve">Figure </w:t>
      </w:r>
      <w:r w:rsidR="008B0066">
        <w:fldChar w:fldCharType="begin"/>
      </w:r>
      <w:r w:rsidR="008B0066">
        <w:instrText xml:space="preserve"> STYLEREF 1 \s </w:instrText>
      </w:r>
      <w:r w:rsidR="008B0066">
        <w:fldChar w:fldCharType="separate"/>
      </w:r>
      <w:r w:rsidR="006839DA">
        <w:rPr>
          <w:noProof/>
        </w:rPr>
        <w:t>9</w:t>
      </w:r>
      <w:r w:rsidR="008B0066">
        <w:fldChar w:fldCharType="end"/>
      </w:r>
      <w:r w:rsidR="008B0066">
        <w:noBreakHyphen/>
      </w:r>
      <w:r w:rsidR="008B0066">
        <w:fldChar w:fldCharType="begin"/>
      </w:r>
      <w:r w:rsidR="008B0066">
        <w:instrText xml:space="preserve"> SEQ Figure \* ARABIC \s 1 </w:instrText>
      </w:r>
      <w:r w:rsidR="008B0066">
        <w:fldChar w:fldCharType="separate"/>
      </w:r>
      <w:r w:rsidR="006839DA">
        <w:rPr>
          <w:noProof/>
        </w:rPr>
        <w:t>1</w:t>
      </w:r>
      <w:r w:rsidR="008B0066">
        <w:fldChar w:fldCharType="end"/>
      </w:r>
      <w:r w:rsidR="00B13DF5">
        <w:t xml:space="preserve"> </w:t>
      </w:r>
      <w:r w:rsidRPr="00702488">
        <w:t>Possible fields for policy recommendations</w:t>
      </w:r>
      <w:bookmarkEnd w:id="38"/>
      <w:r w:rsidRPr="00702488">
        <w:t xml:space="preserve"> </w:t>
      </w:r>
    </w:p>
    <w:p w14:paraId="1B175DCE" w14:textId="540FDC2D" w:rsidR="002D4FC2" w:rsidRPr="0044381D" w:rsidRDefault="002D4FC2" w:rsidP="002D4FC2">
      <w:pPr>
        <w:rPr>
          <w:sz w:val="16"/>
          <w:szCs w:val="16"/>
        </w:rPr>
      </w:pPr>
      <w:r w:rsidRPr="00702488">
        <w:rPr>
          <w:noProof/>
        </w:rPr>
        <w:drawing>
          <wp:inline distT="0" distB="0" distL="0" distR="0" wp14:anchorId="518114E8" wp14:editId="600BDC80">
            <wp:extent cx="5400040" cy="30245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3024505"/>
                    </a:xfrm>
                    <a:prstGeom prst="rect">
                      <a:avLst/>
                    </a:prstGeom>
                  </pic:spPr>
                </pic:pic>
              </a:graphicData>
            </a:graphic>
          </wp:inline>
        </w:drawing>
      </w:r>
      <w:r w:rsidRPr="0044381D">
        <w:rPr>
          <w:sz w:val="16"/>
          <w:szCs w:val="16"/>
        </w:rPr>
        <w:t xml:space="preserve">Source: </w:t>
      </w:r>
      <w:r w:rsidR="0044381D">
        <w:rPr>
          <w:sz w:val="16"/>
          <w:szCs w:val="16"/>
        </w:rPr>
        <w:t>authors’ own</w:t>
      </w:r>
    </w:p>
    <w:p w14:paraId="5BC4A4C6" w14:textId="2C375DAD" w:rsidR="002D4FC2" w:rsidRPr="00702488" w:rsidRDefault="00E54DCF" w:rsidP="002D4FC2">
      <w:r w:rsidRPr="00702488">
        <w:t xml:space="preserve">Taking the discussion </w:t>
      </w:r>
      <w:r>
        <w:t>a</w:t>
      </w:r>
      <w:r w:rsidRPr="00702488">
        <w:t xml:space="preserve"> step further, we would like to highlight five potential policy recommendations.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1"/>
      </w:tblGrid>
      <w:tr w:rsidR="002D4FC2" w:rsidRPr="00702488" w14:paraId="614BFB4B" w14:textId="77777777" w:rsidTr="005C6603">
        <w:tc>
          <w:tcPr>
            <w:tcW w:w="8494" w:type="dxa"/>
            <w:gridSpan w:val="2"/>
          </w:tcPr>
          <w:p w14:paraId="21F22396" w14:textId="6353B291" w:rsidR="002D4FC2" w:rsidRPr="00702488" w:rsidRDefault="002D4FC2" w:rsidP="005C6603">
            <w:pPr>
              <w:rPr>
                <w:b/>
                <w:iCs/>
                <w:color w:val="EE7D00"/>
                <w:sz w:val="21"/>
              </w:rPr>
            </w:pPr>
            <w:r w:rsidRPr="00702488">
              <w:rPr>
                <w:b/>
                <w:iCs/>
                <w:color w:val="EE7D00"/>
                <w:sz w:val="21"/>
              </w:rPr>
              <w:t xml:space="preserve">EUSDR master plan </w:t>
            </w:r>
            <w:r w:rsidR="00E54DCF">
              <w:rPr>
                <w:b/>
                <w:iCs/>
                <w:color w:val="EE7D00"/>
                <w:sz w:val="21"/>
              </w:rPr>
              <w:t>and</w:t>
            </w:r>
            <w:r w:rsidRPr="00702488">
              <w:rPr>
                <w:b/>
                <w:iCs/>
                <w:color w:val="EE7D00"/>
                <w:sz w:val="21"/>
              </w:rPr>
              <w:t xml:space="preserve"> road map for green mobility </w:t>
            </w:r>
          </w:p>
        </w:tc>
      </w:tr>
      <w:tr w:rsidR="002D4FC2" w:rsidRPr="00702488" w14:paraId="36C7D0DF" w14:textId="77777777" w:rsidTr="005C6603">
        <w:tc>
          <w:tcPr>
            <w:tcW w:w="1843" w:type="dxa"/>
          </w:tcPr>
          <w:p w14:paraId="3AF4693A" w14:textId="77777777" w:rsidR="002D4FC2" w:rsidRPr="00702488" w:rsidRDefault="002D4FC2" w:rsidP="005C6603">
            <w:pPr>
              <w:rPr>
                <w:b/>
                <w:bCs/>
              </w:rPr>
            </w:pPr>
            <w:r w:rsidRPr="00702488">
              <w:rPr>
                <w:b/>
                <w:bCs/>
              </w:rPr>
              <w:t xml:space="preserve">Idea </w:t>
            </w:r>
          </w:p>
        </w:tc>
        <w:tc>
          <w:tcPr>
            <w:tcW w:w="6651" w:type="dxa"/>
          </w:tcPr>
          <w:p w14:paraId="4D75AF02" w14:textId="53CEEAB4" w:rsidR="002D4FC2" w:rsidRPr="00702488" w:rsidRDefault="00D444F4" w:rsidP="005C6603">
            <w:r w:rsidRPr="00702488">
              <w:t xml:space="preserve">The pressure of climate change, the EU Green Deal and not least concerns about rising energy prices raised by the war in Ukraine increase the pressure to accelerate the shift to green energy. This </w:t>
            </w:r>
            <w:r>
              <w:t>is</w:t>
            </w:r>
            <w:r w:rsidRPr="00702488">
              <w:t xml:space="preserve"> not only </w:t>
            </w:r>
            <w:r>
              <w:t xml:space="preserve">for </w:t>
            </w:r>
            <w:r w:rsidRPr="00702488">
              <w:t xml:space="preserve">the transport sector. The shift towards green mobility needs to be realised at macro-regional or European level to not jeopardise integration </w:t>
            </w:r>
            <w:r>
              <w:t>in</w:t>
            </w:r>
            <w:r w:rsidRPr="00702488">
              <w:t xml:space="preserve"> the Danube region due to different technical solutions and standards in different parts of the region.</w:t>
            </w:r>
          </w:p>
        </w:tc>
      </w:tr>
      <w:tr w:rsidR="002D4FC2" w:rsidRPr="00702488" w14:paraId="3145927E" w14:textId="77777777" w:rsidTr="005C6603">
        <w:tc>
          <w:tcPr>
            <w:tcW w:w="1843" w:type="dxa"/>
          </w:tcPr>
          <w:p w14:paraId="2AA4B921" w14:textId="77777777" w:rsidR="002D4FC2" w:rsidRPr="00702488" w:rsidRDefault="002D4FC2" w:rsidP="005C6603">
            <w:pPr>
              <w:rPr>
                <w:b/>
                <w:bCs/>
              </w:rPr>
            </w:pPr>
            <w:r w:rsidRPr="00702488">
              <w:rPr>
                <w:b/>
                <w:bCs/>
              </w:rPr>
              <w:t xml:space="preserve">Rationale </w:t>
            </w:r>
          </w:p>
        </w:tc>
        <w:tc>
          <w:tcPr>
            <w:tcW w:w="6651" w:type="dxa"/>
          </w:tcPr>
          <w:p w14:paraId="0C5EF0B9" w14:textId="6CCE2AEA" w:rsidR="002D4FC2" w:rsidRPr="00702488" w:rsidRDefault="00490F12" w:rsidP="005C6603">
            <w:r w:rsidRPr="00702488">
              <w:t xml:space="preserve">Many countries and regions in the Danube region are already working on policies to strengthen green or sustainable mobility. In some </w:t>
            </w:r>
            <w:r>
              <w:t>places</w:t>
            </w:r>
            <w:r w:rsidRPr="00702488">
              <w:t xml:space="preserve"> major transport infrastructure is </w:t>
            </w:r>
            <w:r>
              <w:t>due</w:t>
            </w:r>
            <w:r w:rsidRPr="00702488">
              <w:t xml:space="preserve"> in the coming decades. The region is also home to a wide range of research in</w:t>
            </w:r>
            <w:r>
              <w:t>to</w:t>
            </w:r>
            <w:r w:rsidRPr="00702488">
              <w:t xml:space="preserve"> sustainable energy and transport. Connecting these dots and creating a supplementary network holds considerable potential.</w:t>
            </w:r>
          </w:p>
        </w:tc>
      </w:tr>
      <w:tr w:rsidR="00CB3D8E" w:rsidRPr="00702488" w14:paraId="5F82E1FB" w14:textId="77777777" w:rsidTr="005C6603">
        <w:tc>
          <w:tcPr>
            <w:tcW w:w="1843" w:type="dxa"/>
          </w:tcPr>
          <w:p w14:paraId="5511C8D5" w14:textId="77777777" w:rsidR="00CB3D8E" w:rsidRPr="00702488" w:rsidRDefault="00CB3D8E" w:rsidP="00CB3D8E">
            <w:pPr>
              <w:rPr>
                <w:b/>
                <w:bCs/>
              </w:rPr>
            </w:pPr>
            <w:r w:rsidRPr="00702488">
              <w:rPr>
                <w:b/>
                <w:bCs/>
              </w:rPr>
              <w:t>Concrete actions</w:t>
            </w:r>
          </w:p>
        </w:tc>
        <w:tc>
          <w:tcPr>
            <w:tcW w:w="6651" w:type="dxa"/>
          </w:tcPr>
          <w:p w14:paraId="70AD4E8A" w14:textId="77777777" w:rsidR="00CB3D8E" w:rsidRPr="00702488" w:rsidRDefault="00CB3D8E" w:rsidP="00CB3D8E">
            <w:r w:rsidRPr="00702488">
              <w:t xml:space="preserve">Concrete actions should build on what already exists in the region </w:t>
            </w:r>
            <w:r>
              <w:t>including</w:t>
            </w:r>
            <w:r w:rsidRPr="00702488">
              <w:t xml:space="preserve"> what is already done </w:t>
            </w:r>
            <w:r>
              <w:t>under</w:t>
            </w:r>
            <w:r w:rsidRPr="00702488">
              <w:t xml:space="preserve"> EUSDR</w:t>
            </w:r>
            <w:r>
              <w:t>,</w:t>
            </w:r>
            <w:r w:rsidRPr="00702488">
              <w:t xml:space="preserve"> and take this one step further. This may include:</w:t>
            </w:r>
          </w:p>
          <w:p w14:paraId="43AAF161" w14:textId="77777777" w:rsidR="00CB3D8E" w:rsidRPr="00702488" w:rsidRDefault="00CB3D8E" w:rsidP="00CB3D8E">
            <w:pPr>
              <w:pStyle w:val="ListParagraph"/>
              <w:numPr>
                <w:ilvl w:val="0"/>
                <w:numId w:val="19"/>
              </w:numPr>
            </w:pPr>
            <w:r>
              <w:t>C</w:t>
            </w:r>
            <w:r w:rsidRPr="00702488">
              <w:t>ollectin</w:t>
            </w:r>
            <w:r>
              <w:t>g</w:t>
            </w:r>
            <w:r w:rsidRPr="00702488">
              <w:t xml:space="preserve"> existing green mobility activities (especially </w:t>
            </w:r>
            <w:r>
              <w:t>on</w:t>
            </w:r>
            <w:r w:rsidRPr="00702488">
              <w:t xml:space="preserve"> long-distance transport) in the Danube region. </w:t>
            </w:r>
          </w:p>
          <w:p w14:paraId="0FFAE9C9" w14:textId="77777777" w:rsidR="00CB3D8E" w:rsidRPr="00702488" w:rsidRDefault="00CB3D8E" w:rsidP="00CB3D8E">
            <w:pPr>
              <w:pStyle w:val="ListParagraph"/>
              <w:numPr>
                <w:ilvl w:val="0"/>
                <w:numId w:val="19"/>
              </w:numPr>
            </w:pPr>
            <w:r w:rsidRPr="00702488">
              <w:t>Bring existing experience</w:t>
            </w:r>
            <w:r>
              <w:t xml:space="preserve"> on</w:t>
            </w:r>
            <w:r w:rsidRPr="00702488">
              <w:t xml:space="preserve"> national and regional sustainable transport plans and green transition policies into a macro-regional framework, building a green mobility masterplan for the region. </w:t>
            </w:r>
          </w:p>
          <w:p w14:paraId="27E78BCD" w14:textId="77777777" w:rsidR="00CB3D8E" w:rsidRPr="00702488" w:rsidRDefault="00CB3D8E" w:rsidP="00CB3D8E">
            <w:pPr>
              <w:pStyle w:val="ListParagraph"/>
              <w:numPr>
                <w:ilvl w:val="0"/>
                <w:numId w:val="19"/>
              </w:numPr>
            </w:pPr>
            <w:r w:rsidRPr="00702488">
              <w:t xml:space="preserve">Create a landscape for green mobility which all countries can access, including a platform for stakeholders to push the transition. </w:t>
            </w:r>
          </w:p>
          <w:p w14:paraId="78EB11C2" w14:textId="77777777" w:rsidR="00CB3D8E" w:rsidRPr="00702488" w:rsidRDefault="00CB3D8E" w:rsidP="00CB3D8E">
            <w:pPr>
              <w:pStyle w:val="ListParagraph"/>
              <w:numPr>
                <w:ilvl w:val="0"/>
                <w:numId w:val="19"/>
              </w:numPr>
            </w:pPr>
            <w:r w:rsidRPr="00702488">
              <w:t>Develop a roadmap for green mobility in the EUSDR showing what needs to be done, when, where and by whom</w:t>
            </w:r>
            <w:r>
              <w:t>,</w:t>
            </w:r>
            <w:r w:rsidRPr="00702488">
              <w:t xml:space="preserve"> to allow green transport of goods and people to flow seamlessly between countries </w:t>
            </w:r>
            <w:r>
              <w:t>in the</w:t>
            </w:r>
            <w:r w:rsidRPr="00702488">
              <w:t xml:space="preserve"> Region. </w:t>
            </w:r>
          </w:p>
          <w:p w14:paraId="5E2C2B38" w14:textId="4D27AE57" w:rsidR="00CB3D8E" w:rsidRPr="00702488" w:rsidRDefault="00CB3D8E" w:rsidP="00CB3D8E">
            <w:pPr>
              <w:pStyle w:val="ListParagraph"/>
              <w:numPr>
                <w:ilvl w:val="0"/>
                <w:numId w:val="19"/>
              </w:numPr>
            </w:pPr>
            <w:r w:rsidRPr="00702488">
              <w:t xml:space="preserve">Appoint a coordinator to ensure all players are kept on board and contribute to progress, e.g. linked to the </w:t>
            </w:r>
            <w:r>
              <w:t>p</w:t>
            </w:r>
            <w:r w:rsidR="007C26CE">
              <w:t>riority</w:t>
            </w:r>
            <w:r>
              <w:t xml:space="preserve"> area coordinators</w:t>
            </w:r>
            <w:r w:rsidRPr="00702488">
              <w:t xml:space="preserve"> </w:t>
            </w:r>
          </w:p>
        </w:tc>
      </w:tr>
      <w:tr w:rsidR="00CB3D8E" w:rsidRPr="00702488" w14:paraId="03CA4EEF" w14:textId="77777777" w:rsidTr="005C6603">
        <w:tc>
          <w:tcPr>
            <w:tcW w:w="1843" w:type="dxa"/>
          </w:tcPr>
          <w:p w14:paraId="3B243479" w14:textId="77777777" w:rsidR="00CB3D8E" w:rsidRPr="00702488" w:rsidRDefault="00CB3D8E" w:rsidP="00CB3D8E">
            <w:pPr>
              <w:rPr>
                <w:b/>
                <w:bCs/>
              </w:rPr>
            </w:pPr>
            <w:r w:rsidRPr="00702488">
              <w:rPr>
                <w:b/>
                <w:bCs/>
              </w:rPr>
              <w:t>Players</w:t>
            </w:r>
          </w:p>
        </w:tc>
        <w:tc>
          <w:tcPr>
            <w:tcW w:w="6651" w:type="dxa"/>
          </w:tcPr>
          <w:p w14:paraId="76FDDB13" w14:textId="65A9FB19" w:rsidR="00CB3D8E" w:rsidRPr="00702488" w:rsidRDefault="00381762" w:rsidP="00CB3D8E">
            <w:r w:rsidRPr="00702488">
              <w:t>EUSDR PA 1B, PA 1A and PA 2</w:t>
            </w:r>
            <w:r>
              <w:t>,</w:t>
            </w:r>
            <w:r w:rsidRPr="00702488">
              <w:t xml:space="preserve"> alongside national transport ministries and DG MOVE.</w:t>
            </w:r>
            <w:r w:rsidR="00CB3D8E" w:rsidRPr="00702488">
              <w:t xml:space="preserve"> </w:t>
            </w:r>
          </w:p>
        </w:tc>
      </w:tr>
      <w:tr w:rsidR="00CB3D8E" w:rsidRPr="00702488" w14:paraId="36D481E4" w14:textId="77777777" w:rsidTr="005C6603">
        <w:tc>
          <w:tcPr>
            <w:tcW w:w="1843" w:type="dxa"/>
          </w:tcPr>
          <w:p w14:paraId="0342D103" w14:textId="77777777" w:rsidR="00CB3D8E" w:rsidRPr="00702488" w:rsidRDefault="00CB3D8E" w:rsidP="00CB3D8E">
            <w:pPr>
              <w:rPr>
                <w:b/>
                <w:bCs/>
              </w:rPr>
            </w:pPr>
            <w:r w:rsidRPr="00702488">
              <w:rPr>
                <w:b/>
                <w:bCs/>
              </w:rPr>
              <w:t>Time line</w:t>
            </w:r>
          </w:p>
        </w:tc>
        <w:tc>
          <w:tcPr>
            <w:tcW w:w="6651" w:type="dxa"/>
          </w:tcPr>
          <w:p w14:paraId="35591DAF" w14:textId="700BBC05" w:rsidR="00CB3D8E" w:rsidRPr="00702488" w:rsidRDefault="00873B21" w:rsidP="00CB3D8E">
            <w:r w:rsidRPr="00702488">
              <w:t xml:space="preserve">To ensure carbon neutrality by 2050, the work needs to be implemented </w:t>
            </w:r>
            <w:r>
              <w:t>before</w:t>
            </w:r>
            <w:r w:rsidRPr="00702488">
              <w:t xml:space="preserve"> then, but it is very likely that pressure on energy prices will force </w:t>
            </w:r>
            <w:r>
              <w:t xml:space="preserve">a </w:t>
            </w:r>
            <w:r w:rsidRPr="00702488">
              <w:t>faster transition. This implies that collecting examples need</w:t>
            </w:r>
            <w:r>
              <w:t>s</w:t>
            </w:r>
            <w:r w:rsidRPr="00702488">
              <w:t xml:space="preserve"> to start now, to </w:t>
            </w:r>
            <w:r>
              <w:t>en</w:t>
            </w:r>
            <w:r w:rsidRPr="00702488">
              <w:t xml:space="preserve">sure a coordinated EUSDR masterplan before 2027. This would also build on the 2021-27 Multiannual Financial Framework with its Cohesion Policy. In an ideal case first actions can be implemented earlier </w:t>
            </w:r>
            <w:r>
              <w:t>using</w:t>
            </w:r>
            <w:r w:rsidRPr="00702488">
              <w:t xml:space="preserve"> Next Generation EU funding.</w:t>
            </w:r>
            <w:r w:rsidRPr="00F54737">
              <w:rPr>
                <w:rStyle w:val="FootnoteReference"/>
              </w:rPr>
              <w:footnoteReference w:id="6"/>
            </w:r>
            <w:r>
              <w:t xml:space="preserve"> </w:t>
            </w:r>
            <w:r w:rsidR="00CB3D8E" w:rsidRPr="00702488">
              <w:t xml:space="preserve">  </w:t>
            </w:r>
          </w:p>
        </w:tc>
      </w:tr>
      <w:tr w:rsidR="00CB3D8E" w:rsidRPr="00702488" w14:paraId="14CF2E54" w14:textId="77777777" w:rsidTr="005C6603">
        <w:tc>
          <w:tcPr>
            <w:tcW w:w="1843" w:type="dxa"/>
          </w:tcPr>
          <w:p w14:paraId="1187E4F8" w14:textId="77777777" w:rsidR="00CB3D8E" w:rsidRPr="00702488" w:rsidRDefault="00CB3D8E" w:rsidP="00CB3D8E">
            <w:pPr>
              <w:rPr>
                <w:b/>
                <w:bCs/>
              </w:rPr>
            </w:pPr>
            <w:r w:rsidRPr="00702488">
              <w:rPr>
                <w:b/>
                <w:bCs/>
              </w:rPr>
              <w:t>Expected effects</w:t>
            </w:r>
          </w:p>
        </w:tc>
        <w:tc>
          <w:tcPr>
            <w:tcW w:w="6651" w:type="dxa"/>
          </w:tcPr>
          <w:p w14:paraId="2567A91B" w14:textId="366CE4F9" w:rsidR="00CB3D8E" w:rsidRPr="00702488" w:rsidRDefault="001578F8" w:rsidP="00CB3D8E">
            <w:r w:rsidRPr="00702488">
              <w:t>The effect</w:t>
            </w:r>
            <w:r>
              <w:t xml:space="preserve"> </w:t>
            </w:r>
            <w:r w:rsidRPr="00702488">
              <w:t>would be to have smooth</w:t>
            </w:r>
            <w:r>
              <w:t>,</w:t>
            </w:r>
            <w:r w:rsidRPr="00702488">
              <w:t xml:space="preserve"> sustainable and carbon free transport in the EUSDR by 2050. Goods and people can roam smoothly within the region without being disrupted by </w:t>
            </w:r>
            <w:r>
              <w:t>different</w:t>
            </w:r>
            <w:r w:rsidRPr="00702488">
              <w:t xml:space="preserve"> green mobility solutions or poor green mobility infrastructure. </w:t>
            </w:r>
            <w:r w:rsidR="00CB3D8E" w:rsidRPr="00702488">
              <w:t xml:space="preserve"> </w:t>
            </w:r>
          </w:p>
        </w:tc>
      </w:tr>
      <w:tr w:rsidR="00CB3D8E" w:rsidRPr="00702488" w14:paraId="20AEF446" w14:textId="77777777" w:rsidTr="005C6603">
        <w:tc>
          <w:tcPr>
            <w:tcW w:w="1843" w:type="dxa"/>
          </w:tcPr>
          <w:p w14:paraId="6B3104DC" w14:textId="77777777" w:rsidR="00CB3D8E" w:rsidRPr="00702488" w:rsidRDefault="00CB3D8E" w:rsidP="00CB3D8E">
            <w:pPr>
              <w:rPr>
                <w:b/>
                <w:bCs/>
              </w:rPr>
            </w:pPr>
            <w:r w:rsidRPr="00702488">
              <w:rPr>
                <w:b/>
                <w:bCs/>
              </w:rPr>
              <w:t xml:space="preserve">EUSDR link </w:t>
            </w:r>
          </w:p>
        </w:tc>
        <w:tc>
          <w:tcPr>
            <w:tcW w:w="6651" w:type="dxa"/>
          </w:tcPr>
          <w:p w14:paraId="52945C8A" w14:textId="6114A5D9" w:rsidR="00CB3D8E" w:rsidRPr="00702488" w:rsidRDefault="00233A23" w:rsidP="00CB3D8E">
            <w:r w:rsidRPr="00702488">
              <w:t xml:space="preserve">EUSDR Pillar ‘Connecting the region’ and especially PA 1B ‘Rail-Road-Air Mobility’, PA 1A ‘Waterways Mobility’ and PA 2 ‘Sustainable Energy’ </w:t>
            </w:r>
            <w:r>
              <w:t>is</w:t>
            </w:r>
            <w:r w:rsidRPr="00702488">
              <w:t xml:space="preserve"> strongly linked.</w:t>
            </w:r>
          </w:p>
        </w:tc>
      </w:tr>
    </w:tbl>
    <w:p w14:paraId="72DDE89C" w14:textId="77777777" w:rsidR="002D4FC2" w:rsidRPr="00702488" w:rsidRDefault="002D4FC2" w:rsidP="002D4FC2">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1"/>
      </w:tblGrid>
      <w:tr w:rsidR="002D4FC2" w:rsidRPr="00702488" w14:paraId="779EC859" w14:textId="77777777" w:rsidTr="005C6603">
        <w:tc>
          <w:tcPr>
            <w:tcW w:w="8494" w:type="dxa"/>
            <w:gridSpan w:val="2"/>
          </w:tcPr>
          <w:p w14:paraId="463197F1" w14:textId="72208AAA" w:rsidR="002D4FC2" w:rsidRPr="00702488" w:rsidRDefault="002D4FC2" w:rsidP="005C6603">
            <w:pPr>
              <w:rPr>
                <w:b/>
                <w:iCs/>
                <w:color w:val="EE7D00"/>
                <w:sz w:val="21"/>
              </w:rPr>
            </w:pPr>
            <w:r w:rsidRPr="00702488">
              <w:rPr>
                <w:b/>
                <w:iCs/>
                <w:color w:val="EE7D00"/>
                <w:sz w:val="21"/>
              </w:rPr>
              <w:t xml:space="preserve">EUSDR transnational body </w:t>
            </w:r>
            <w:r w:rsidR="008D79FD">
              <w:rPr>
                <w:b/>
                <w:iCs/>
                <w:color w:val="EE7D00"/>
                <w:sz w:val="21"/>
              </w:rPr>
              <w:t xml:space="preserve">to </w:t>
            </w:r>
            <w:r w:rsidR="008D79FD" w:rsidRPr="00702488">
              <w:rPr>
                <w:b/>
                <w:iCs/>
                <w:color w:val="EE7D00"/>
                <w:sz w:val="21"/>
              </w:rPr>
              <w:t>reduc</w:t>
            </w:r>
            <w:r w:rsidR="008D79FD">
              <w:rPr>
                <w:b/>
                <w:iCs/>
                <w:color w:val="EE7D00"/>
                <w:sz w:val="21"/>
              </w:rPr>
              <w:t>e</w:t>
            </w:r>
            <w:r w:rsidR="008D79FD" w:rsidRPr="00702488">
              <w:rPr>
                <w:b/>
                <w:iCs/>
                <w:color w:val="EE7D00"/>
                <w:sz w:val="21"/>
              </w:rPr>
              <w:t xml:space="preserve"> border barriers</w:t>
            </w:r>
          </w:p>
        </w:tc>
      </w:tr>
      <w:tr w:rsidR="002D4FC2" w:rsidRPr="00702488" w14:paraId="1F1F7C63" w14:textId="77777777" w:rsidTr="005C6603">
        <w:tc>
          <w:tcPr>
            <w:tcW w:w="1843" w:type="dxa"/>
          </w:tcPr>
          <w:p w14:paraId="2178E955" w14:textId="77777777" w:rsidR="002D4FC2" w:rsidRPr="00702488" w:rsidRDefault="002D4FC2" w:rsidP="005C6603">
            <w:pPr>
              <w:rPr>
                <w:b/>
                <w:bCs/>
              </w:rPr>
            </w:pPr>
            <w:r w:rsidRPr="00702488">
              <w:rPr>
                <w:b/>
                <w:bCs/>
              </w:rPr>
              <w:t xml:space="preserve">Idea </w:t>
            </w:r>
          </w:p>
        </w:tc>
        <w:tc>
          <w:tcPr>
            <w:tcW w:w="6651" w:type="dxa"/>
          </w:tcPr>
          <w:p w14:paraId="369C240B" w14:textId="067DF4A2" w:rsidR="002D4FC2" w:rsidRPr="00702488" w:rsidRDefault="009E01FF" w:rsidP="005C6603">
            <w:r w:rsidRPr="00702488">
              <w:t xml:space="preserve">National borders </w:t>
            </w:r>
            <w:r>
              <w:t>remain</w:t>
            </w:r>
            <w:r w:rsidRPr="00702488">
              <w:t xml:space="preserve"> barriers to macro-regional cohesion, development and in particular to </w:t>
            </w:r>
            <w:r>
              <w:t>the</w:t>
            </w:r>
            <w:r w:rsidRPr="00702488">
              <w:t xml:space="preserve"> seamless transport of goods and people. This is true </w:t>
            </w:r>
            <w:r>
              <w:t>for</w:t>
            </w:r>
            <w:r w:rsidRPr="00702488">
              <w:t xml:space="preserve"> EU internal borders e.g. related to different national regulations. It is especially true </w:t>
            </w:r>
            <w:r>
              <w:t>for</w:t>
            </w:r>
            <w:r w:rsidRPr="00702488">
              <w:t xml:space="preserve"> EU external borders which are crossed by the Danube. These barriers hinder integration and economic development.</w:t>
            </w:r>
            <w:r w:rsidR="002D4FC2" w:rsidRPr="00702488">
              <w:t xml:space="preserve">   </w:t>
            </w:r>
          </w:p>
        </w:tc>
      </w:tr>
      <w:tr w:rsidR="002D4FC2" w:rsidRPr="00702488" w14:paraId="765E3F50" w14:textId="77777777" w:rsidTr="005C6603">
        <w:tc>
          <w:tcPr>
            <w:tcW w:w="1843" w:type="dxa"/>
          </w:tcPr>
          <w:p w14:paraId="15F392E5" w14:textId="77777777" w:rsidR="002D4FC2" w:rsidRPr="00702488" w:rsidRDefault="002D4FC2" w:rsidP="005C6603">
            <w:pPr>
              <w:rPr>
                <w:b/>
                <w:bCs/>
              </w:rPr>
            </w:pPr>
            <w:r w:rsidRPr="00702488">
              <w:rPr>
                <w:b/>
                <w:bCs/>
              </w:rPr>
              <w:t xml:space="preserve">Rationale </w:t>
            </w:r>
          </w:p>
        </w:tc>
        <w:tc>
          <w:tcPr>
            <w:tcW w:w="6651" w:type="dxa"/>
          </w:tcPr>
          <w:p w14:paraId="3C57261F" w14:textId="6F829839" w:rsidR="002D4FC2" w:rsidRPr="00702488" w:rsidRDefault="004F146C" w:rsidP="005C6603">
            <w:r w:rsidRPr="00702488">
              <w:t xml:space="preserve">The Danube region </w:t>
            </w:r>
            <w:r>
              <w:t>has several</w:t>
            </w:r>
            <w:r w:rsidRPr="00702488">
              <w:t xml:space="preserve"> national borders </w:t>
            </w:r>
            <w:r>
              <w:t>with</w:t>
            </w:r>
            <w:r w:rsidRPr="00702488">
              <w:t xml:space="preserve"> various permeabilit</w:t>
            </w:r>
            <w:r>
              <w:t>y</w:t>
            </w:r>
            <w:r w:rsidRPr="00702488">
              <w:t xml:space="preserve">. For instance, the Danube </w:t>
            </w:r>
            <w:r>
              <w:t xml:space="preserve">river </w:t>
            </w:r>
            <w:r w:rsidRPr="00702488">
              <w:t>runs from EU territory into non-EU territory, back into EU territory and then again into non-EU territory. Although a lot has been done to improve transport flows on the river and on land in the region, long-distance freight transport is still cumbersome and there is no institutional body tasked with continuously reducing administrative border barriers.</w:t>
            </w:r>
            <w:r w:rsidR="002D4FC2" w:rsidRPr="00702488">
              <w:t xml:space="preserve"> </w:t>
            </w:r>
          </w:p>
        </w:tc>
      </w:tr>
      <w:tr w:rsidR="002D4FC2" w:rsidRPr="00702488" w14:paraId="320CF7B2" w14:textId="77777777" w:rsidTr="005C6603">
        <w:tc>
          <w:tcPr>
            <w:tcW w:w="1843" w:type="dxa"/>
          </w:tcPr>
          <w:p w14:paraId="18AFC7EA" w14:textId="77777777" w:rsidR="002D4FC2" w:rsidRPr="00702488" w:rsidRDefault="002D4FC2" w:rsidP="005C6603">
            <w:pPr>
              <w:rPr>
                <w:b/>
                <w:bCs/>
              </w:rPr>
            </w:pPr>
            <w:r w:rsidRPr="00702488">
              <w:rPr>
                <w:b/>
                <w:bCs/>
              </w:rPr>
              <w:t>Concrete actions</w:t>
            </w:r>
          </w:p>
        </w:tc>
        <w:tc>
          <w:tcPr>
            <w:tcW w:w="6651" w:type="dxa"/>
          </w:tcPr>
          <w:p w14:paraId="2F99D55C" w14:textId="77777777" w:rsidR="00502464" w:rsidRPr="00702488" w:rsidRDefault="00502464" w:rsidP="00502464">
            <w:r w:rsidRPr="00702488">
              <w:t xml:space="preserve">Concrete actions should build on what already exists in the region </w:t>
            </w:r>
            <w:r>
              <w:t>including</w:t>
            </w:r>
            <w:r w:rsidRPr="00702488">
              <w:t xml:space="preserve"> what is already done </w:t>
            </w:r>
            <w:r>
              <w:t>under</w:t>
            </w:r>
            <w:r w:rsidRPr="00702488">
              <w:t xml:space="preserve"> EUSDR</w:t>
            </w:r>
            <w:r>
              <w:t>,</w:t>
            </w:r>
            <w:r w:rsidRPr="00702488">
              <w:t xml:space="preserve"> and take this one step further. This may include:</w:t>
            </w:r>
          </w:p>
          <w:p w14:paraId="3B9B0995" w14:textId="77777777" w:rsidR="00502464" w:rsidRPr="00702488" w:rsidRDefault="00502464" w:rsidP="00502464">
            <w:pPr>
              <w:pStyle w:val="ListParagraph"/>
              <w:numPr>
                <w:ilvl w:val="0"/>
                <w:numId w:val="19"/>
              </w:numPr>
            </w:pPr>
            <w:r w:rsidRPr="00702488">
              <w:t xml:space="preserve">Establish a permanent transnational body </w:t>
            </w:r>
            <w:r>
              <w:t>to</w:t>
            </w:r>
            <w:r w:rsidRPr="00702488">
              <w:t xml:space="preserve"> continuously reduc</w:t>
            </w:r>
            <w:r>
              <w:t>e</w:t>
            </w:r>
            <w:r w:rsidRPr="00702488">
              <w:t xml:space="preserve"> cross-border barriers and the administrative burdens that come with them.</w:t>
            </w:r>
          </w:p>
          <w:p w14:paraId="6D88BECF" w14:textId="45CB66D4" w:rsidR="002D4FC2" w:rsidRPr="00702488" w:rsidRDefault="00502464" w:rsidP="00502464">
            <w:pPr>
              <w:pStyle w:val="ListParagraph"/>
              <w:numPr>
                <w:ilvl w:val="0"/>
                <w:numId w:val="19"/>
              </w:numPr>
            </w:pPr>
            <w:r w:rsidRPr="00702488">
              <w:t xml:space="preserve">Establish continuous monitoring of cross-border barriers in particular between EU and non-EU member states concerning transport on the Danube river and land-transport </w:t>
            </w:r>
            <w:r>
              <w:t>in</w:t>
            </w:r>
            <w:r w:rsidRPr="00702488">
              <w:t xml:space="preserve"> the Balkans</w:t>
            </w:r>
            <w:r>
              <w:t>, e</w:t>
            </w:r>
            <w:r w:rsidRPr="00702488">
              <w:t>specially freight transport.</w:t>
            </w:r>
          </w:p>
        </w:tc>
      </w:tr>
      <w:tr w:rsidR="002D4FC2" w:rsidRPr="00702488" w14:paraId="57D58748" w14:textId="77777777" w:rsidTr="005C6603">
        <w:tc>
          <w:tcPr>
            <w:tcW w:w="1843" w:type="dxa"/>
          </w:tcPr>
          <w:p w14:paraId="3687421A" w14:textId="77777777" w:rsidR="002D4FC2" w:rsidRPr="00702488" w:rsidRDefault="002D4FC2" w:rsidP="005C6603">
            <w:pPr>
              <w:rPr>
                <w:b/>
                <w:bCs/>
              </w:rPr>
            </w:pPr>
            <w:r w:rsidRPr="00702488">
              <w:rPr>
                <w:b/>
                <w:bCs/>
              </w:rPr>
              <w:t>Players</w:t>
            </w:r>
          </w:p>
        </w:tc>
        <w:tc>
          <w:tcPr>
            <w:tcW w:w="6651" w:type="dxa"/>
          </w:tcPr>
          <w:p w14:paraId="7DFFC27F" w14:textId="6C87C8BB" w:rsidR="002D4FC2" w:rsidRPr="00702488" w:rsidRDefault="00A042BE" w:rsidP="005C6603">
            <w:r w:rsidRPr="00702488">
              <w:t>EUSDR PA 1B and PA 1A, DG MOVE, transport ministries and possibly ESPON for territorial monitoring.</w:t>
            </w:r>
            <w:r w:rsidR="002D4FC2" w:rsidRPr="00702488">
              <w:t xml:space="preserve"> </w:t>
            </w:r>
          </w:p>
        </w:tc>
      </w:tr>
      <w:tr w:rsidR="002D4FC2" w:rsidRPr="00702488" w14:paraId="24D4D693" w14:textId="77777777" w:rsidTr="005C6603">
        <w:tc>
          <w:tcPr>
            <w:tcW w:w="1843" w:type="dxa"/>
          </w:tcPr>
          <w:p w14:paraId="35B3CCD1" w14:textId="77777777" w:rsidR="002D4FC2" w:rsidRPr="00702488" w:rsidRDefault="002D4FC2" w:rsidP="005C6603">
            <w:pPr>
              <w:rPr>
                <w:b/>
                <w:bCs/>
              </w:rPr>
            </w:pPr>
            <w:r w:rsidRPr="00702488">
              <w:rPr>
                <w:b/>
                <w:bCs/>
              </w:rPr>
              <w:t>Time line</w:t>
            </w:r>
          </w:p>
        </w:tc>
        <w:tc>
          <w:tcPr>
            <w:tcW w:w="6651" w:type="dxa"/>
          </w:tcPr>
          <w:p w14:paraId="4DC54AD6" w14:textId="0DAB6B52" w:rsidR="002D4FC2" w:rsidRPr="00702488" w:rsidRDefault="001B45A4" w:rsidP="005C6603">
            <w:r w:rsidRPr="00702488">
              <w:t>Building on ongoing work incl</w:t>
            </w:r>
            <w:r>
              <w:t>uding</w:t>
            </w:r>
            <w:r w:rsidRPr="00702488">
              <w:t xml:space="preserve"> the Darwin Papers and analysis of cross-border barriers, </w:t>
            </w:r>
            <w:r>
              <w:t xml:space="preserve">a </w:t>
            </w:r>
            <w:r w:rsidRPr="00702488">
              <w:t xml:space="preserve">continuous monitoring system could be developed and be operational by 2025. </w:t>
            </w:r>
            <w:r>
              <w:t>E</w:t>
            </w:r>
            <w:r w:rsidRPr="00702488">
              <w:t>stablish</w:t>
            </w:r>
            <w:r>
              <w:t>ing</w:t>
            </w:r>
            <w:r w:rsidRPr="00702488">
              <w:t xml:space="preserve"> a permanent transnational body will probably take more time and could be envisaged for 2035.</w:t>
            </w:r>
            <w:r w:rsidR="002D4FC2" w:rsidRPr="00702488">
              <w:t xml:space="preserve"> </w:t>
            </w:r>
          </w:p>
        </w:tc>
      </w:tr>
      <w:tr w:rsidR="002D4FC2" w:rsidRPr="00702488" w14:paraId="48863FD8" w14:textId="77777777" w:rsidTr="005C6603">
        <w:tc>
          <w:tcPr>
            <w:tcW w:w="1843" w:type="dxa"/>
          </w:tcPr>
          <w:p w14:paraId="14388F49" w14:textId="77777777" w:rsidR="002D4FC2" w:rsidRPr="00702488" w:rsidRDefault="002D4FC2" w:rsidP="005C6603">
            <w:pPr>
              <w:rPr>
                <w:b/>
                <w:bCs/>
              </w:rPr>
            </w:pPr>
            <w:r w:rsidRPr="00702488">
              <w:rPr>
                <w:b/>
                <w:bCs/>
              </w:rPr>
              <w:t>Expected effects</w:t>
            </w:r>
          </w:p>
        </w:tc>
        <w:tc>
          <w:tcPr>
            <w:tcW w:w="6651" w:type="dxa"/>
          </w:tcPr>
          <w:p w14:paraId="58DD9ABE" w14:textId="6F95F597" w:rsidR="002D4FC2" w:rsidRPr="00702488" w:rsidRDefault="005F333C" w:rsidP="005C6603">
            <w:r>
              <w:t>R</w:t>
            </w:r>
            <w:r w:rsidRPr="00702488">
              <w:t>educe</w:t>
            </w:r>
            <w:r>
              <w:t>d</w:t>
            </w:r>
            <w:r w:rsidRPr="00702488">
              <w:t xml:space="preserve"> cross-border barriers </w:t>
            </w:r>
            <w:r>
              <w:t>would</w:t>
            </w:r>
            <w:r w:rsidRPr="00702488">
              <w:t xml:space="preserve"> make freight transport more seamless. This will </w:t>
            </w:r>
            <w:r>
              <w:t>increase</w:t>
            </w:r>
            <w:r w:rsidRPr="00702488">
              <w:t xml:space="preserve"> integration and economic development in the region.</w:t>
            </w:r>
          </w:p>
        </w:tc>
      </w:tr>
      <w:tr w:rsidR="002D4FC2" w:rsidRPr="00702488" w14:paraId="67C73E54" w14:textId="77777777" w:rsidTr="005C6603">
        <w:tc>
          <w:tcPr>
            <w:tcW w:w="1843" w:type="dxa"/>
          </w:tcPr>
          <w:p w14:paraId="614C0C9F" w14:textId="77777777" w:rsidR="002D4FC2" w:rsidRPr="00702488" w:rsidRDefault="002D4FC2" w:rsidP="005C6603">
            <w:pPr>
              <w:rPr>
                <w:b/>
                <w:bCs/>
              </w:rPr>
            </w:pPr>
            <w:r w:rsidRPr="00702488">
              <w:rPr>
                <w:b/>
                <w:bCs/>
              </w:rPr>
              <w:t xml:space="preserve">EUSDR link </w:t>
            </w:r>
          </w:p>
        </w:tc>
        <w:tc>
          <w:tcPr>
            <w:tcW w:w="6651" w:type="dxa"/>
          </w:tcPr>
          <w:p w14:paraId="3D8D10B8" w14:textId="25417E18" w:rsidR="002D4FC2" w:rsidRPr="00702488" w:rsidRDefault="002830B6" w:rsidP="005C6603">
            <w:r w:rsidRPr="00702488">
              <w:t xml:space="preserve">This links strongly </w:t>
            </w:r>
            <w:r>
              <w:t xml:space="preserve">with </w:t>
            </w:r>
            <w:r w:rsidRPr="00702488">
              <w:t>the EUSDR Pillar ‘Connecting the region’ and especially with PA 1B ‘Rail-Road-Air Mobility’, PA 1A ‘Waterways Mobility’. It also links to the Pillar ‘Building Prosperity’ and PA 10 ‘Institutional Capacity &amp; Cooperation’.</w:t>
            </w:r>
          </w:p>
        </w:tc>
      </w:tr>
    </w:tbl>
    <w:p w14:paraId="61AF1466" w14:textId="77777777" w:rsidR="002D4FC2" w:rsidRPr="00702488" w:rsidRDefault="002D4FC2" w:rsidP="002D4FC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1"/>
      </w:tblGrid>
      <w:tr w:rsidR="002D4FC2" w:rsidRPr="00702488" w14:paraId="0546077C" w14:textId="77777777" w:rsidTr="005C6603">
        <w:tc>
          <w:tcPr>
            <w:tcW w:w="8494" w:type="dxa"/>
            <w:gridSpan w:val="2"/>
          </w:tcPr>
          <w:p w14:paraId="14AE7EE0" w14:textId="77777777" w:rsidR="002D4FC2" w:rsidRPr="00702488" w:rsidRDefault="002D4FC2" w:rsidP="005C6603">
            <w:pPr>
              <w:rPr>
                <w:b/>
                <w:iCs/>
                <w:color w:val="EE7D00"/>
                <w:sz w:val="21"/>
              </w:rPr>
            </w:pPr>
            <w:r w:rsidRPr="00702488">
              <w:rPr>
                <w:b/>
                <w:iCs/>
                <w:color w:val="EE7D00"/>
                <w:sz w:val="21"/>
              </w:rPr>
              <w:t>EUSDR digitalisation in green transformation of transport</w:t>
            </w:r>
          </w:p>
        </w:tc>
      </w:tr>
      <w:tr w:rsidR="002D4FC2" w:rsidRPr="00702488" w14:paraId="3E49A8BC" w14:textId="77777777" w:rsidTr="005C6603">
        <w:tc>
          <w:tcPr>
            <w:tcW w:w="1843" w:type="dxa"/>
          </w:tcPr>
          <w:p w14:paraId="6A99C4AF" w14:textId="77777777" w:rsidR="002D4FC2" w:rsidRPr="00702488" w:rsidRDefault="002D4FC2" w:rsidP="005C6603">
            <w:pPr>
              <w:rPr>
                <w:b/>
                <w:bCs/>
              </w:rPr>
            </w:pPr>
            <w:r w:rsidRPr="00702488">
              <w:rPr>
                <w:b/>
                <w:bCs/>
              </w:rPr>
              <w:t xml:space="preserve">Idea </w:t>
            </w:r>
          </w:p>
        </w:tc>
        <w:tc>
          <w:tcPr>
            <w:tcW w:w="6651" w:type="dxa"/>
          </w:tcPr>
          <w:p w14:paraId="281B66F6" w14:textId="3F5E2F06" w:rsidR="002D4FC2" w:rsidRPr="00702488" w:rsidRDefault="005E2FBB" w:rsidP="005C6603">
            <w:r w:rsidRPr="00702488">
              <w:t>Over the next decade digital and green transition</w:t>
            </w:r>
            <w:r>
              <w:t>s</w:t>
            </w:r>
            <w:r w:rsidRPr="00702488">
              <w:t xml:space="preserve"> will be unavoidable. In many regards these </w:t>
            </w:r>
            <w:r>
              <w:t>will</w:t>
            </w:r>
            <w:r w:rsidRPr="00702488">
              <w:t xml:space="preserve"> reinforce each other. This </w:t>
            </w:r>
            <w:r>
              <w:t>includes</w:t>
            </w:r>
            <w:r w:rsidRPr="00702488">
              <w:t xml:space="preserve"> the shift towards sustainable transport and attempts to reduce transport flows without reducing people’s mobility or quality of life. Digital transport platforms and mobility services can play a crucial role</w:t>
            </w:r>
            <w:r>
              <w:t xml:space="preserve">, </w:t>
            </w:r>
            <w:r w:rsidRPr="00702488">
              <w:t>rang</w:t>
            </w:r>
            <w:r>
              <w:t>ing</w:t>
            </w:r>
            <w:r w:rsidRPr="00702488">
              <w:t xml:space="preserve"> </w:t>
            </w:r>
            <w:r>
              <w:t>from</w:t>
            </w:r>
            <w:r w:rsidRPr="00702488">
              <w:t xml:space="preserve"> ride sharing platforms to services showing how to get from one place to another.</w:t>
            </w:r>
          </w:p>
        </w:tc>
      </w:tr>
      <w:tr w:rsidR="002D4FC2" w:rsidRPr="00702488" w14:paraId="51177095" w14:textId="77777777" w:rsidTr="005C6603">
        <w:tc>
          <w:tcPr>
            <w:tcW w:w="1843" w:type="dxa"/>
          </w:tcPr>
          <w:p w14:paraId="2ADB0512" w14:textId="77777777" w:rsidR="002D4FC2" w:rsidRPr="00702488" w:rsidRDefault="002D4FC2" w:rsidP="005C6603">
            <w:pPr>
              <w:rPr>
                <w:b/>
                <w:bCs/>
              </w:rPr>
            </w:pPr>
            <w:r w:rsidRPr="00702488">
              <w:rPr>
                <w:b/>
                <w:bCs/>
              </w:rPr>
              <w:t xml:space="preserve">Rationale </w:t>
            </w:r>
          </w:p>
        </w:tc>
        <w:tc>
          <w:tcPr>
            <w:tcW w:w="6651" w:type="dxa"/>
          </w:tcPr>
          <w:p w14:paraId="2F5E5609" w14:textId="5D141021" w:rsidR="002D4FC2" w:rsidRPr="00702488" w:rsidRDefault="00AA3D59" w:rsidP="005C6603">
            <w:r>
              <w:t>F</w:t>
            </w:r>
            <w:r w:rsidRPr="00702488">
              <w:t xml:space="preserve">urther integration of the Danube region will also generate more intra-region transport of goods and people. To guide these towards more sustainable transport and in particular towards public transport or shared mobility will require joint efforts. This can range from templates or platforms to convincing mobility information providers to display the sustainability </w:t>
            </w:r>
            <w:r>
              <w:t>each</w:t>
            </w:r>
            <w:r w:rsidRPr="00702488">
              <w:t xml:space="preserve"> transport option and/or give priority to the most sustainable alternative, e.g. </w:t>
            </w:r>
            <w:r>
              <w:t>promoting</w:t>
            </w:r>
            <w:r w:rsidRPr="00702488">
              <w:t xml:space="preserve"> options </w:t>
            </w:r>
            <w:r>
              <w:t>with the least</w:t>
            </w:r>
            <w:r w:rsidRPr="00702488">
              <w:t xml:space="preserve"> environmental/CO</w:t>
            </w:r>
            <w:r w:rsidRPr="00AA3D59">
              <w:rPr>
                <w:vertAlign w:val="subscript"/>
              </w:rPr>
              <w:t>2</w:t>
            </w:r>
            <w:r w:rsidRPr="00702488">
              <w:t xml:space="preserve"> impact.</w:t>
            </w:r>
          </w:p>
        </w:tc>
      </w:tr>
      <w:tr w:rsidR="002D4FC2" w:rsidRPr="00702488" w14:paraId="58FE92E6" w14:textId="77777777" w:rsidTr="005C6603">
        <w:tc>
          <w:tcPr>
            <w:tcW w:w="1843" w:type="dxa"/>
          </w:tcPr>
          <w:p w14:paraId="0B46F1C1" w14:textId="77777777" w:rsidR="002D4FC2" w:rsidRPr="00702488" w:rsidRDefault="002D4FC2" w:rsidP="005C6603">
            <w:pPr>
              <w:rPr>
                <w:b/>
                <w:bCs/>
              </w:rPr>
            </w:pPr>
            <w:r w:rsidRPr="00702488">
              <w:rPr>
                <w:b/>
                <w:bCs/>
              </w:rPr>
              <w:t>Concrete actions</w:t>
            </w:r>
          </w:p>
        </w:tc>
        <w:tc>
          <w:tcPr>
            <w:tcW w:w="6651" w:type="dxa"/>
          </w:tcPr>
          <w:p w14:paraId="7E1242E1" w14:textId="77777777" w:rsidR="00BF7A93" w:rsidRPr="00702488" w:rsidRDefault="00BF7A93" w:rsidP="00BF7A93">
            <w:r w:rsidRPr="00702488">
              <w:t xml:space="preserve">Concrete actions should build on what already exists in the region </w:t>
            </w:r>
            <w:r>
              <w:t>including</w:t>
            </w:r>
            <w:r w:rsidRPr="00702488">
              <w:t xml:space="preserve"> what is already done </w:t>
            </w:r>
            <w:r>
              <w:t>under</w:t>
            </w:r>
            <w:r w:rsidRPr="00702488">
              <w:t xml:space="preserve"> EUSDR</w:t>
            </w:r>
            <w:r>
              <w:t>,</w:t>
            </w:r>
            <w:r w:rsidRPr="00702488">
              <w:t xml:space="preserve"> and take this one step further. This may include:</w:t>
            </w:r>
          </w:p>
          <w:p w14:paraId="1D9CB59D" w14:textId="77777777" w:rsidR="00BF7A93" w:rsidRPr="00702488" w:rsidRDefault="00BF7A93" w:rsidP="00BF7A93">
            <w:pPr>
              <w:pStyle w:val="ListParagraph"/>
              <w:numPr>
                <w:ilvl w:val="0"/>
                <w:numId w:val="19"/>
              </w:numPr>
            </w:pPr>
            <w:r w:rsidRPr="00702488">
              <w:t>Development of a template for digitalisation in sustainable transformation of transport.</w:t>
            </w:r>
          </w:p>
          <w:p w14:paraId="1FF015E3" w14:textId="77777777" w:rsidR="00BF7A93" w:rsidRPr="00702488" w:rsidRDefault="00BF7A93" w:rsidP="00BF7A93">
            <w:pPr>
              <w:pStyle w:val="ListParagraph"/>
              <w:numPr>
                <w:ilvl w:val="0"/>
                <w:numId w:val="19"/>
              </w:numPr>
            </w:pPr>
            <w:r>
              <w:t>S</w:t>
            </w:r>
            <w:r w:rsidRPr="00702488">
              <w:t xml:space="preserve">election criteria on digital transport platforms </w:t>
            </w:r>
            <w:r>
              <w:t>for</w:t>
            </w:r>
            <w:r w:rsidRPr="00702488">
              <w:t xml:space="preserve"> the most sustainable transport alternative. </w:t>
            </w:r>
          </w:p>
          <w:p w14:paraId="295C6795" w14:textId="588474BD" w:rsidR="002D4FC2" w:rsidRPr="00702488" w:rsidRDefault="00BF7A93" w:rsidP="00BF7A93">
            <w:pPr>
              <w:pStyle w:val="ListParagraph"/>
              <w:numPr>
                <w:ilvl w:val="0"/>
                <w:numId w:val="19"/>
              </w:numPr>
            </w:pPr>
            <w:r w:rsidRPr="00702488">
              <w:t xml:space="preserve">Cooperate with the European Commission </w:t>
            </w:r>
            <w:r>
              <w:t>so</w:t>
            </w:r>
            <w:r w:rsidRPr="00702488">
              <w:t xml:space="preserve"> global digital service provider</w:t>
            </w:r>
            <w:r>
              <w:t>s</w:t>
            </w:r>
            <w:r w:rsidRPr="00702488">
              <w:t xml:space="preserve"> apply sustainability criteria </w:t>
            </w:r>
            <w:r>
              <w:t>to</w:t>
            </w:r>
            <w:r w:rsidRPr="00702488">
              <w:t xml:space="preserve"> transport alternatives. </w:t>
            </w:r>
            <w:r w:rsidR="002D4FC2" w:rsidRPr="00702488">
              <w:t xml:space="preserve"> </w:t>
            </w:r>
          </w:p>
        </w:tc>
      </w:tr>
      <w:tr w:rsidR="002D4FC2" w:rsidRPr="00702488" w14:paraId="23EA9806" w14:textId="77777777" w:rsidTr="005C6603">
        <w:tc>
          <w:tcPr>
            <w:tcW w:w="1843" w:type="dxa"/>
          </w:tcPr>
          <w:p w14:paraId="39565E3E" w14:textId="77777777" w:rsidR="002D4FC2" w:rsidRPr="00702488" w:rsidRDefault="002D4FC2" w:rsidP="005C6603">
            <w:pPr>
              <w:rPr>
                <w:b/>
                <w:bCs/>
              </w:rPr>
            </w:pPr>
            <w:r w:rsidRPr="00702488">
              <w:rPr>
                <w:b/>
                <w:bCs/>
              </w:rPr>
              <w:t>Players</w:t>
            </w:r>
          </w:p>
        </w:tc>
        <w:tc>
          <w:tcPr>
            <w:tcW w:w="6651" w:type="dxa"/>
          </w:tcPr>
          <w:p w14:paraId="416A3E73" w14:textId="11115D77" w:rsidR="002D4FC2" w:rsidRPr="00702488" w:rsidRDefault="0048603A" w:rsidP="005C6603">
            <w:r w:rsidRPr="00702488">
              <w:t>EUSDR PA 1B, along with national transport ministries and DG MOVE, and possibly also environmental pressure groups.</w:t>
            </w:r>
          </w:p>
        </w:tc>
      </w:tr>
      <w:tr w:rsidR="002D4FC2" w:rsidRPr="00702488" w14:paraId="6040AC07" w14:textId="77777777" w:rsidTr="005C6603">
        <w:tc>
          <w:tcPr>
            <w:tcW w:w="1843" w:type="dxa"/>
          </w:tcPr>
          <w:p w14:paraId="79D6D446" w14:textId="77777777" w:rsidR="002D4FC2" w:rsidRPr="00702488" w:rsidRDefault="002D4FC2" w:rsidP="005C6603">
            <w:pPr>
              <w:rPr>
                <w:b/>
                <w:bCs/>
              </w:rPr>
            </w:pPr>
            <w:r w:rsidRPr="00702488">
              <w:rPr>
                <w:b/>
                <w:bCs/>
              </w:rPr>
              <w:t>Time line</w:t>
            </w:r>
          </w:p>
        </w:tc>
        <w:tc>
          <w:tcPr>
            <w:tcW w:w="6651" w:type="dxa"/>
          </w:tcPr>
          <w:p w14:paraId="419A872D" w14:textId="18C2A4B9" w:rsidR="002D4FC2" w:rsidRPr="00702488" w:rsidRDefault="009B1B9D" w:rsidP="005C6603">
            <w:r w:rsidRPr="00702488">
              <w:t xml:space="preserve">The work can probably start </w:t>
            </w:r>
            <w:r>
              <w:t>on a</w:t>
            </w:r>
            <w:r w:rsidRPr="00702488">
              <w:t xml:space="preserve"> small scale via Interreg projects to build a strong conceptual foundation and sensitise stakeholders. Around 2030, more large scale pilots could test selection criteria. This would also intensify cooperation with the European Commission to convince global players to apply these criteria.</w:t>
            </w:r>
          </w:p>
        </w:tc>
      </w:tr>
      <w:tr w:rsidR="002D4FC2" w:rsidRPr="00702488" w14:paraId="7CAAE376" w14:textId="77777777" w:rsidTr="005C6603">
        <w:tc>
          <w:tcPr>
            <w:tcW w:w="1843" w:type="dxa"/>
          </w:tcPr>
          <w:p w14:paraId="2C146ADA" w14:textId="77777777" w:rsidR="002D4FC2" w:rsidRPr="00702488" w:rsidRDefault="002D4FC2" w:rsidP="005C6603">
            <w:pPr>
              <w:rPr>
                <w:b/>
                <w:bCs/>
              </w:rPr>
            </w:pPr>
            <w:r w:rsidRPr="00702488">
              <w:rPr>
                <w:b/>
                <w:bCs/>
              </w:rPr>
              <w:t>Expected effects</w:t>
            </w:r>
          </w:p>
        </w:tc>
        <w:tc>
          <w:tcPr>
            <w:tcW w:w="6651" w:type="dxa"/>
          </w:tcPr>
          <w:p w14:paraId="2653ECA9" w14:textId="3A4165A0" w:rsidR="002D4FC2" w:rsidRPr="00702488" w:rsidRDefault="00E535EE" w:rsidP="005C6603">
            <w:r>
              <w:t>S</w:t>
            </w:r>
            <w:r w:rsidRPr="00702488">
              <w:t xml:space="preserve">mooth sustainable and carbon free transport and </w:t>
            </w:r>
            <w:r>
              <w:t>less</w:t>
            </w:r>
            <w:r w:rsidRPr="00702488">
              <w:t xml:space="preserve"> transport in the EUSDR by 2050. People </w:t>
            </w:r>
            <w:r>
              <w:t>have</w:t>
            </w:r>
            <w:r w:rsidRPr="00702488">
              <w:t xml:space="preserve"> mobility information </w:t>
            </w:r>
            <w:r>
              <w:t>with</w:t>
            </w:r>
            <w:r w:rsidRPr="00702488">
              <w:t xml:space="preserve"> the most sustainable alternatives.</w:t>
            </w:r>
          </w:p>
        </w:tc>
      </w:tr>
      <w:tr w:rsidR="002D4FC2" w:rsidRPr="00702488" w14:paraId="5A3D6A07" w14:textId="77777777" w:rsidTr="005C6603">
        <w:tc>
          <w:tcPr>
            <w:tcW w:w="1843" w:type="dxa"/>
          </w:tcPr>
          <w:p w14:paraId="42E51E6D" w14:textId="77777777" w:rsidR="002D4FC2" w:rsidRPr="00702488" w:rsidRDefault="002D4FC2" w:rsidP="005C6603">
            <w:pPr>
              <w:rPr>
                <w:b/>
                <w:bCs/>
              </w:rPr>
            </w:pPr>
            <w:r w:rsidRPr="00702488">
              <w:rPr>
                <w:b/>
                <w:bCs/>
              </w:rPr>
              <w:t xml:space="preserve">EUSDR link </w:t>
            </w:r>
          </w:p>
        </w:tc>
        <w:tc>
          <w:tcPr>
            <w:tcW w:w="6651" w:type="dxa"/>
          </w:tcPr>
          <w:p w14:paraId="6ACD1F7A" w14:textId="10B6759A" w:rsidR="002D4FC2" w:rsidRPr="00702488" w:rsidRDefault="003068E2" w:rsidP="005C6603">
            <w:r w:rsidRPr="00702488">
              <w:t xml:space="preserve">This links strongly </w:t>
            </w:r>
            <w:r>
              <w:t xml:space="preserve">to </w:t>
            </w:r>
            <w:r w:rsidRPr="00702488">
              <w:t>the EUSDR Pillar ‘Connecting the region’ and especially PA 1B ‘Rail-Road-Air Mobility’.</w:t>
            </w:r>
          </w:p>
        </w:tc>
      </w:tr>
    </w:tbl>
    <w:p w14:paraId="01197F2A" w14:textId="77777777" w:rsidR="002D4FC2" w:rsidRPr="00702488" w:rsidRDefault="002D4FC2" w:rsidP="002D4FC2">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1"/>
      </w:tblGrid>
      <w:tr w:rsidR="002D4FC2" w:rsidRPr="00702488" w14:paraId="33939A95" w14:textId="77777777" w:rsidTr="005C6603">
        <w:tc>
          <w:tcPr>
            <w:tcW w:w="8494" w:type="dxa"/>
            <w:gridSpan w:val="2"/>
          </w:tcPr>
          <w:p w14:paraId="4A3021F5" w14:textId="77777777" w:rsidR="002D4FC2" w:rsidRPr="00702488" w:rsidRDefault="002D4FC2" w:rsidP="005C6603">
            <w:pPr>
              <w:rPr>
                <w:b/>
                <w:iCs/>
                <w:color w:val="EE7D00"/>
                <w:sz w:val="21"/>
              </w:rPr>
            </w:pPr>
            <w:r w:rsidRPr="00702488">
              <w:rPr>
                <w:b/>
                <w:iCs/>
                <w:color w:val="EE7D00"/>
                <w:sz w:val="21"/>
              </w:rPr>
              <w:t>EUSDR concept and pilot actions on valorisation of eco-system services</w:t>
            </w:r>
          </w:p>
        </w:tc>
      </w:tr>
      <w:tr w:rsidR="002D4FC2" w:rsidRPr="00702488" w14:paraId="6047F7CB" w14:textId="77777777" w:rsidTr="005C6603">
        <w:tc>
          <w:tcPr>
            <w:tcW w:w="1843" w:type="dxa"/>
          </w:tcPr>
          <w:p w14:paraId="409E1E9F" w14:textId="77777777" w:rsidR="002D4FC2" w:rsidRPr="00702488" w:rsidRDefault="002D4FC2" w:rsidP="005C6603">
            <w:pPr>
              <w:rPr>
                <w:b/>
                <w:bCs/>
              </w:rPr>
            </w:pPr>
            <w:r w:rsidRPr="00702488">
              <w:rPr>
                <w:b/>
                <w:bCs/>
              </w:rPr>
              <w:t xml:space="preserve">Idea </w:t>
            </w:r>
          </w:p>
        </w:tc>
        <w:tc>
          <w:tcPr>
            <w:tcW w:w="6651" w:type="dxa"/>
          </w:tcPr>
          <w:p w14:paraId="37CDF3BF" w14:textId="77777777" w:rsidR="00A82B94" w:rsidRPr="00702488" w:rsidRDefault="00A82B94" w:rsidP="00A82B94">
            <w:r w:rsidRPr="00702488">
              <w:t>Ecosystem services direct</w:t>
            </w:r>
            <w:r>
              <w:t>ly</w:t>
            </w:r>
            <w:r w:rsidRPr="00702488">
              <w:t xml:space="preserve"> and indirect</w:t>
            </w:r>
            <w:r>
              <w:t>ly</w:t>
            </w:r>
            <w:r w:rsidRPr="00702488">
              <w:t xml:space="preserve"> contribut</w:t>
            </w:r>
            <w:r>
              <w:t>e</w:t>
            </w:r>
            <w:r w:rsidRPr="00702488">
              <w:t xml:space="preserve"> to human well-being. They provid</w:t>
            </w:r>
            <w:r>
              <w:t>e</w:t>
            </w:r>
            <w:r w:rsidRPr="00702488">
              <w:t xml:space="preserve"> fresh air, clean water</w:t>
            </w:r>
            <w:r>
              <w:t xml:space="preserve"> and</w:t>
            </w:r>
            <w:r w:rsidRPr="00702488">
              <w:t xml:space="preserve"> biodiversity, regulat</w:t>
            </w:r>
            <w:r>
              <w:t>e</w:t>
            </w:r>
            <w:r w:rsidRPr="00702488">
              <w:t xml:space="preserve"> disease and climate, support crop pollination and soil formation, and provid</w:t>
            </w:r>
            <w:r>
              <w:t>e</w:t>
            </w:r>
            <w:r w:rsidRPr="00702488">
              <w:t xml:space="preserve"> recreational, cultural and spiritual benefits. </w:t>
            </w:r>
            <w:r>
              <w:t>I</w:t>
            </w:r>
            <w:r w:rsidRPr="00702488">
              <w:t xml:space="preserve">t is essential to nourish them. At the same time, they often have no immediate price tag, and are not accounted for when it comes to development potential in terms of GDP or jobs. </w:t>
            </w:r>
          </w:p>
          <w:p w14:paraId="40AA4C90" w14:textId="730CB402" w:rsidR="002D4FC2" w:rsidRPr="00702488" w:rsidRDefault="00A82B94" w:rsidP="00A82B94">
            <w:r w:rsidRPr="00702488">
              <w:t>Mitigating climate change and ensuring no net loss of ecosystem services and biodiversity might change the focus of thinking on regional development potential incl</w:t>
            </w:r>
            <w:r>
              <w:t>uding</w:t>
            </w:r>
            <w:r w:rsidRPr="00702488">
              <w:t xml:space="preserve"> the division of labour between places. Places with high biodiversity or </w:t>
            </w:r>
            <w:r>
              <w:t>with</w:t>
            </w:r>
            <w:r w:rsidRPr="00702488">
              <w:t xml:space="preserve"> significant ecosystem services (e.g. clean air or clean water) could develop these into an economic specialisation. </w:t>
            </w:r>
            <w:r>
              <w:t>T</w:t>
            </w:r>
            <w:r w:rsidRPr="00702488">
              <w:t xml:space="preserve">his does not imply lower ambitions </w:t>
            </w:r>
            <w:r>
              <w:t>for</w:t>
            </w:r>
            <w:r w:rsidRPr="00702488">
              <w:t xml:space="preserve"> a healthy living environment for citizens in other places. To some degree existing approaches, including the Common Agricultural Policy could adapt from a compensation logic to a regional development logic. This would mean delivering ecosystem services generat</w:t>
            </w:r>
            <w:r>
              <w:t>es</w:t>
            </w:r>
            <w:r w:rsidRPr="00702488">
              <w:t xml:space="preserve"> income for a local and regional economy rather than compensating rural areas and burdening them with </w:t>
            </w:r>
            <w:r>
              <w:t xml:space="preserve">taking </w:t>
            </w:r>
            <w:r w:rsidRPr="00702488">
              <w:t>care of the environment while others do not.</w:t>
            </w:r>
          </w:p>
        </w:tc>
      </w:tr>
      <w:tr w:rsidR="002D4FC2" w:rsidRPr="00702488" w14:paraId="09A024B0" w14:textId="77777777" w:rsidTr="005C6603">
        <w:tc>
          <w:tcPr>
            <w:tcW w:w="1843" w:type="dxa"/>
          </w:tcPr>
          <w:p w14:paraId="43FA0B86" w14:textId="77777777" w:rsidR="002D4FC2" w:rsidRPr="00702488" w:rsidRDefault="002D4FC2" w:rsidP="005C6603">
            <w:pPr>
              <w:rPr>
                <w:b/>
                <w:bCs/>
              </w:rPr>
            </w:pPr>
            <w:r w:rsidRPr="00702488">
              <w:rPr>
                <w:b/>
                <w:bCs/>
              </w:rPr>
              <w:t xml:space="preserve">Rationale </w:t>
            </w:r>
          </w:p>
        </w:tc>
        <w:tc>
          <w:tcPr>
            <w:tcW w:w="6651" w:type="dxa"/>
          </w:tcPr>
          <w:p w14:paraId="6A98F948" w14:textId="109F8F7F" w:rsidR="002D4FC2" w:rsidRPr="00702488" w:rsidRDefault="00A018A6" w:rsidP="005C6603">
            <w:r w:rsidRPr="00702488">
              <w:t xml:space="preserve">The Danube region has many areas with very rich and diverse ecosystems. This ranges from Alpine ecosystems which </w:t>
            </w:r>
            <w:r>
              <w:t>provide</w:t>
            </w:r>
            <w:r w:rsidRPr="00702488">
              <w:t xml:space="preserve"> essential freshwater </w:t>
            </w:r>
            <w:r>
              <w:t>to</w:t>
            </w:r>
            <w:r w:rsidRPr="00702488">
              <w:t xml:space="preserve"> large parts of Europe to the extremely rich Danube Delta which is important for Europe’s biodiversity. These ecosystems are importan</w:t>
            </w:r>
            <w:r>
              <w:t>t</w:t>
            </w:r>
            <w:r w:rsidRPr="00702488">
              <w:t xml:space="preserve"> beyond the borders of individual countries. Therefore, it should be a common task to ensure they flourish and </w:t>
            </w:r>
            <w:r>
              <w:t xml:space="preserve">that </w:t>
            </w:r>
            <w:r w:rsidRPr="00702488">
              <w:t>regions nourishing ecosystems do not miss out on economic development. Finding joint solutions for valorisation of ecosystem services and piloting projects on how to use them as development assets could be done at macro-regional level.</w:t>
            </w:r>
          </w:p>
        </w:tc>
      </w:tr>
      <w:tr w:rsidR="002D4FC2" w:rsidRPr="00702488" w14:paraId="61E4C164" w14:textId="77777777" w:rsidTr="005C6603">
        <w:tc>
          <w:tcPr>
            <w:tcW w:w="1843" w:type="dxa"/>
          </w:tcPr>
          <w:p w14:paraId="5FAC2C22" w14:textId="77777777" w:rsidR="002D4FC2" w:rsidRPr="00702488" w:rsidRDefault="002D4FC2" w:rsidP="005C6603">
            <w:pPr>
              <w:rPr>
                <w:b/>
                <w:bCs/>
              </w:rPr>
            </w:pPr>
            <w:r w:rsidRPr="00702488">
              <w:rPr>
                <w:b/>
                <w:bCs/>
              </w:rPr>
              <w:t>Concrete actions</w:t>
            </w:r>
          </w:p>
        </w:tc>
        <w:tc>
          <w:tcPr>
            <w:tcW w:w="6651" w:type="dxa"/>
          </w:tcPr>
          <w:p w14:paraId="5D4A9E4C" w14:textId="77777777" w:rsidR="00486184" w:rsidRPr="00702488" w:rsidRDefault="00486184" w:rsidP="00486184">
            <w:r w:rsidRPr="00702488">
              <w:t xml:space="preserve">Concrete actions should build on what already exists in the region </w:t>
            </w:r>
            <w:r>
              <w:t>including</w:t>
            </w:r>
            <w:r w:rsidRPr="00702488">
              <w:t xml:space="preserve"> what is already done </w:t>
            </w:r>
            <w:r>
              <w:t>under</w:t>
            </w:r>
            <w:r w:rsidRPr="00702488">
              <w:t xml:space="preserve"> EUSDR</w:t>
            </w:r>
            <w:r>
              <w:t>,</w:t>
            </w:r>
            <w:r w:rsidRPr="00702488">
              <w:t xml:space="preserve"> and take this one step further. This may include:</w:t>
            </w:r>
          </w:p>
          <w:p w14:paraId="12A7C3AC" w14:textId="2C3142FD" w:rsidR="00486184" w:rsidRPr="00702488" w:rsidRDefault="00486184" w:rsidP="00486184">
            <w:pPr>
              <w:pStyle w:val="ListParagraph"/>
              <w:numPr>
                <w:ilvl w:val="0"/>
                <w:numId w:val="19"/>
              </w:numPr>
            </w:pPr>
            <w:r w:rsidRPr="00702488">
              <w:t>Detailed macro-regional mapping of ecosystem services and risks, e.g. building on the M</w:t>
            </w:r>
            <w:r w:rsidR="009B4D45">
              <w:t xml:space="preserve">apping and </w:t>
            </w:r>
            <w:r w:rsidRPr="00702488">
              <w:t>A</w:t>
            </w:r>
            <w:r w:rsidR="009B4D45">
              <w:t xml:space="preserve">ssessment of </w:t>
            </w:r>
            <w:r w:rsidRPr="00702488">
              <w:t>E</w:t>
            </w:r>
            <w:r w:rsidR="009B4D45">
              <w:t xml:space="preserve">cosystems and their </w:t>
            </w:r>
            <w:r w:rsidRPr="00702488">
              <w:t>S</w:t>
            </w:r>
            <w:r w:rsidR="009B4D45">
              <w:t>ervices</w:t>
            </w:r>
            <w:r w:rsidRPr="00702488">
              <w:t xml:space="preserve"> analytical framework (DG Environment, 2018). </w:t>
            </w:r>
          </w:p>
          <w:p w14:paraId="490A4CD7" w14:textId="77777777" w:rsidR="00486184" w:rsidRPr="00702488" w:rsidRDefault="00486184" w:rsidP="00486184">
            <w:pPr>
              <w:pStyle w:val="ListParagraph"/>
              <w:numPr>
                <w:ilvl w:val="0"/>
                <w:numId w:val="19"/>
              </w:numPr>
            </w:pPr>
            <w:r w:rsidRPr="00702488">
              <w:t>Develop concepts to moneti</w:t>
            </w:r>
            <w:r>
              <w:t>s</w:t>
            </w:r>
            <w:r w:rsidRPr="00702488">
              <w:t xml:space="preserve">e ecosystem services and understand them as 'tradables' e.g. giving a value to protecting and enhancing forestry, biodiversity, </w:t>
            </w:r>
            <w:r>
              <w:t>including</w:t>
            </w:r>
            <w:r w:rsidRPr="00702488">
              <w:t xml:space="preserve"> reducing water and soil pollution. </w:t>
            </w:r>
            <w:r>
              <w:t>P</w:t>
            </w:r>
            <w:r w:rsidRPr="00702488">
              <w:t xml:space="preserve">ilots could build on experience from </w:t>
            </w:r>
            <w:r>
              <w:t xml:space="preserve">the </w:t>
            </w:r>
            <w:r w:rsidRPr="00702488">
              <w:t>CAP, EIB or national initiatives e.g. in France.</w:t>
            </w:r>
            <w:r>
              <w:t xml:space="preserve"> </w:t>
            </w:r>
          </w:p>
          <w:p w14:paraId="3391227C" w14:textId="2B32A627" w:rsidR="002D4FC2" w:rsidRPr="00702488" w:rsidRDefault="00486184" w:rsidP="00486184">
            <w:pPr>
              <w:pStyle w:val="ListParagraph"/>
              <w:numPr>
                <w:ilvl w:val="0"/>
                <w:numId w:val="19"/>
              </w:numPr>
            </w:pPr>
            <w:r w:rsidRPr="00702488">
              <w:t xml:space="preserve">Develop concepts and pilots </w:t>
            </w:r>
            <w:r>
              <w:t>for</w:t>
            </w:r>
            <w:r w:rsidRPr="00702488">
              <w:t xml:space="preserve"> investments in ecosystem services. This could imply public investment in systems which ensure large areas that </w:t>
            </w:r>
            <w:r>
              <w:t xml:space="preserve">are </w:t>
            </w:r>
            <w:r w:rsidRPr="00702488">
              <w:t>important for the ecosystem can turn their contribution into income which could potentially help counterbalance spatial inequality.</w:t>
            </w:r>
          </w:p>
        </w:tc>
      </w:tr>
      <w:tr w:rsidR="002D4FC2" w:rsidRPr="00702488" w14:paraId="69E02BC1" w14:textId="77777777" w:rsidTr="005C6603">
        <w:tc>
          <w:tcPr>
            <w:tcW w:w="1843" w:type="dxa"/>
          </w:tcPr>
          <w:p w14:paraId="1FDC0B12" w14:textId="77777777" w:rsidR="002D4FC2" w:rsidRPr="00702488" w:rsidRDefault="002D4FC2" w:rsidP="005C6603">
            <w:pPr>
              <w:rPr>
                <w:b/>
                <w:bCs/>
              </w:rPr>
            </w:pPr>
            <w:r w:rsidRPr="00702488">
              <w:rPr>
                <w:b/>
                <w:bCs/>
              </w:rPr>
              <w:t>Players</w:t>
            </w:r>
          </w:p>
        </w:tc>
        <w:tc>
          <w:tcPr>
            <w:tcW w:w="6651" w:type="dxa"/>
          </w:tcPr>
          <w:p w14:paraId="57A18109" w14:textId="6C4DEBD7" w:rsidR="002D4FC2" w:rsidRPr="00702488" w:rsidRDefault="00BD0753" w:rsidP="005C6603">
            <w:r w:rsidRPr="00702488">
              <w:t>EUSDR PA 6, ministries of the environment as well as EAFRD and ERDF programmes, the LIFE programme, DG Environment, the European Environmental Agency and EIB.</w:t>
            </w:r>
          </w:p>
        </w:tc>
      </w:tr>
      <w:tr w:rsidR="002D4FC2" w:rsidRPr="00702488" w14:paraId="4C3706F8" w14:textId="77777777" w:rsidTr="005C6603">
        <w:tc>
          <w:tcPr>
            <w:tcW w:w="1843" w:type="dxa"/>
          </w:tcPr>
          <w:p w14:paraId="57FB841F" w14:textId="77777777" w:rsidR="002D4FC2" w:rsidRPr="00702488" w:rsidRDefault="002D4FC2" w:rsidP="005C6603">
            <w:pPr>
              <w:rPr>
                <w:b/>
                <w:bCs/>
              </w:rPr>
            </w:pPr>
            <w:r w:rsidRPr="00702488">
              <w:rPr>
                <w:b/>
                <w:bCs/>
              </w:rPr>
              <w:t>Time line</w:t>
            </w:r>
          </w:p>
        </w:tc>
        <w:tc>
          <w:tcPr>
            <w:tcW w:w="6651" w:type="dxa"/>
          </w:tcPr>
          <w:p w14:paraId="67088083" w14:textId="407300CF" w:rsidR="002D4FC2" w:rsidRPr="00702488" w:rsidRDefault="001112C1" w:rsidP="005C6603">
            <w:r w:rsidRPr="00702488">
              <w:t xml:space="preserve">The work can probably start </w:t>
            </w:r>
            <w:r>
              <w:t>on a</w:t>
            </w:r>
            <w:r w:rsidRPr="00702488">
              <w:t xml:space="preserve"> small scale via Interreg projects in the 2020-2027 period to build a strong foundation and sensitise stakeholders. Around 2030, more large scale EUSDR wide pilots could be initiated.</w:t>
            </w:r>
          </w:p>
        </w:tc>
      </w:tr>
      <w:tr w:rsidR="002D4FC2" w:rsidRPr="00702488" w14:paraId="2740540D" w14:textId="77777777" w:rsidTr="005C6603">
        <w:tc>
          <w:tcPr>
            <w:tcW w:w="1843" w:type="dxa"/>
          </w:tcPr>
          <w:p w14:paraId="761328B7" w14:textId="77777777" w:rsidR="002D4FC2" w:rsidRPr="00702488" w:rsidRDefault="002D4FC2" w:rsidP="005C6603">
            <w:pPr>
              <w:rPr>
                <w:b/>
                <w:bCs/>
              </w:rPr>
            </w:pPr>
            <w:r w:rsidRPr="00702488">
              <w:rPr>
                <w:b/>
                <w:bCs/>
              </w:rPr>
              <w:t>Expected effects</w:t>
            </w:r>
          </w:p>
        </w:tc>
        <w:tc>
          <w:tcPr>
            <w:tcW w:w="6651" w:type="dxa"/>
          </w:tcPr>
          <w:p w14:paraId="580DDF67" w14:textId="440D437D" w:rsidR="002D4FC2" w:rsidRPr="00702488" w:rsidRDefault="00C41131" w:rsidP="005C6603">
            <w:r w:rsidRPr="00702488">
              <w:t xml:space="preserve">This would ensure that rich biodiversity </w:t>
            </w:r>
            <w:r>
              <w:t>in</w:t>
            </w:r>
            <w:r w:rsidRPr="00702488">
              <w:t xml:space="preserve"> the Danube region is maintained and even </w:t>
            </w:r>
            <w:r>
              <w:t>increased</w:t>
            </w:r>
            <w:r w:rsidRPr="00702488">
              <w:t xml:space="preserve">. Places with ecosystem services of wider spatial importance </w:t>
            </w:r>
            <w:r>
              <w:t>can</w:t>
            </w:r>
            <w:r w:rsidRPr="00702488">
              <w:t xml:space="preserve"> develop these without jeopardis</w:t>
            </w:r>
            <w:r>
              <w:t>ing</w:t>
            </w:r>
            <w:r w:rsidRPr="00702488">
              <w:t xml:space="preserve"> their economic development.</w:t>
            </w:r>
          </w:p>
        </w:tc>
      </w:tr>
      <w:tr w:rsidR="002D4FC2" w:rsidRPr="00702488" w14:paraId="1F68DDFB" w14:textId="77777777" w:rsidTr="005C6603">
        <w:tc>
          <w:tcPr>
            <w:tcW w:w="1843" w:type="dxa"/>
          </w:tcPr>
          <w:p w14:paraId="69E54432" w14:textId="77777777" w:rsidR="002D4FC2" w:rsidRPr="00702488" w:rsidRDefault="002D4FC2" w:rsidP="005C6603">
            <w:pPr>
              <w:rPr>
                <w:b/>
                <w:bCs/>
              </w:rPr>
            </w:pPr>
            <w:r w:rsidRPr="00702488">
              <w:rPr>
                <w:b/>
                <w:bCs/>
              </w:rPr>
              <w:t xml:space="preserve">EUSDR link </w:t>
            </w:r>
          </w:p>
        </w:tc>
        <w:tc>
          <w:tcPr>
            <w:tcW w:w="6651" w:type="dxa"/>
          </w:tcPr>
          <w:p w14:paraId="1B762B53" w14:textId="30D7D0D5" w:rsidR="002D4FC2" w:rsidRPr="00702488" w:rsidRDefault="00CB1C78" w:rsidP="005C6603">
            <w:r w:rsidRPr="00702488">
              <w:t>This strongly links</w:t>
            </w:r>
            <w:r>
              <w:t xml:space="preserve"> to</w:t>
            </w:r>
            <w:r w:rsidRPr="00702488">
              <w:t xml:space="preserve"> the EUSDR Pillar ‘Protecting the environment’ and especially PA 6 ‘Biodiversity, Landscapes and Air &amp; Soil Quality’. It also links to the Pillar ‘Building prosperity’.</w:t>
            </w:r>
          </w:p>
        </w:tc>
      </w:tr>
    </w:tbl>
    <w:p w14:paraId="15189CF6" w14:textId="77777777" w:rsidR="002D4FC2" w:rsidRPr="00702488" w:rsidRDefault="002D4FC2" w:rsidP="002D4FC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1"/>
      </w:tblGrid>
      <w:tr w:rsidR="002D4FC2" w:rsidRPr="00702488" w14:paraId="75C82AC0" w14:textId="77777777" w:rsidTr="005C6603">
        <w:tc>
          <w:tcPr>
            <w:tcW w:w="8494" w:type="dxa"/>
            <w:gridSpan w:val="2"/>
          </w:tcPr>
          <w:p w14:paraId="6C4A3460" w14:textId="77777777" w:rsidR="002D4FC2" w:rsidRPr="00702488" w:rsidRDefault="002D4FC2" w:rsidP="005C6603">
            <w:pPr>
              <w:rPr>
                <w:b/>
                <w:iCs/>
                <w:color w:val="EE7D00"/>
                <w:sz w:val="21"/>
              </w:rPr>
            </w:pPr>
            <w:r w:rsidRPr="00702488">
              <w:rPr>
                <w:b/>
                <w:iCs/>
                <w:color w:val="EE7D00"/>
                <w:sz w:val="21"/>
              </w:rPr>
              <w:t>Boost educational, people-to-people and local level cooperation</w:t>
            </w:r>
          </w:p>
        </w:tc>
      </w:tr>
      <w:tr w:rsidR="002D4FC2" w:rsidRPr="00702488" w14:paraId="2FB51C1C" w14:textId="77777777" w:rsidTr="005C6603">
        <w:tc>
          <w:tcPr>
            <w:tcW w:w="1843" w:type="dxa"/>
          </w:tcPr>
          <w:p w14:paraId="1B1D0CE6" w14:textId="77777777" w:rsidR="002D4FC2" w:rsidRPr="00702488" w:rsidRDefault="002D4FC2" w:rsidP="005C6603">
            <w:pPr>
              <w:rPr>
                <w:b/>
                <w:bCs/>
              </w:rPr>
            </w:pPr>
            <w:r w:rsidRPr="00702488">
              <w:rPr>
                <w:b/>
                <w:bCs/>
              </w:rPr>
              <w:t xml:space="preserve">Idea </w:t>
            </w:r>
          </w:p>
        </w:tc>
        <w:tc>
          <w:tcPr>
            <w:tcW w:w="6651" w:type="dxa"/>
          </w:tcPr>
          <w:p w14:paraId="4484A4DA" w14:textId="347D2C21" w:rsidR="002D4FC2" w:rsidRPr="00702488" w:rsidRDefault="006D1D44" w:rsidP="005C6603">
            <w:r w:rsidRPr="00702488">
              <w:t xml:space="preserve">Integration and place-based development is not limited to cooperation between regional and national authorities or </w:t>
            </w:r>
            <w:r>
              <w:t xml:space="preserve">to </w:t>
            </w:r>
            <w:r w:rsidRPr="00702488">
              <w:t xml:space="preserve">trade. It also involves cooperation at local level and at interpersonal level. To sensitise young people </w:t>
            </w:r>
            <w:r>
              <w:t>to</w:t>
            </w:r>
            <w:r w:rsidRPr="00702488">
              <w:t xml:space="preserve"> macro-regional issues, cooperation between schools and other education and training centres is important. </w:t>
            </w:r>
            <w:r>
              <w:t>As with</w:t>
            </w:r>
            <w:r w:rsidRPr="00702488">
              <w:t xml:space="preserve"> efforts to bring Europe closer </w:t>
            </w:r>
            <w:r>
              <w:t>to</w:t>
            </w:r>
            <w:r w:rsidRPr="00702488">
              <w:t xml:space="preserve"> citizens, EUSDR should </w:t>
            </w:r>
            <w:r>
              <w:t xml:space="preserve">also </w:t>
            </w:r>
            <w:r w:rsidRPr="00702488">
              <w:t>be brought closer to citizens.</w:t>
            </w:r>
            <w:r>
              <w:t xml:space="preserve"> </w:t>
            </w:r>
            <w:r w:rsidR="002D4FC2" w:rsidRPr="00702488">
              <w:t xml:space="preserve">  </w:t>
            </w:r>
          </w:p>
        </w:tc>
      </w:tr>
      <w:tr w:rsidR="002D4FC2" w:rsidRPr="00702488" w14:paraId="7DA2DC2C" w14:textId="77777777" w:rsidTr="005C6603">
        <w:tc>
          <w:tcPr>
            <w:tcW w:w="1843" w:type="dxa"/>
          </w:tcPr>
          <w:p w14:paraId="52041AA3" w14:textId="77777777" w:rsidR="002D4FC2" w:rsidRPr="00702488" w:rsidRDefault="002D4FC2" w:rsidP="005C6603">
            <w:pPr>
              <w:rPr>
                <w:b/>
                <w:bCs/>
              </w:rPr>
            </w:pPr>
            <w:r w:rsidRPr="00702488">
              <w:rPr>
                <w:b/>
                <w:bCs/>
              </w:rPr>
              <w:t xml:space="preserve">Rationale </w:t>
            </w:r>
          </w:p>
        </w:tc>
        <w:tc>
          <w:tcPr>
            <w:tcW w:w="6651" w:type="dxa"/>
          </w:tcPr>
          <w:p w14:paraId="6F438196" w14:textId="77777777" w:rsidR="000D7E7F" w:rsidRPr="00702488" w:rsidRDefault="000D7E7F" w:rsidP="000D7E7F">
            <w:r>
              <w:t>In</w:t>
            </w:r>
            <w:r w:rsidRPr="00702488">
              <w:t xml:space="preserve"> </w:t>
            </w:r>
            <w:r>
              <w:t>recent</w:t>
            </w:r>
            <w:r w:rsidRPr="00702488">
              <w:t xml:space="preserve"> decades, cooperation between national and regional authorities and also between economic players has intensified in the Danube region. Considering the social and cultural diversity of the Danube region there is still scope for further strengthening cooperation at people-to-people and local level</w:t>
            </w:r>
            <w:r>
              <w:t>s</w:t>
            </w:r>
            <w:r w:rsidRPr="00702488">
              <w:t xml:space="preserve">. This would help strengthen civil society and integration in the region. A good starting point for this might be the education sector. </w:t>
            </w:r>
          </w:p>
          <w:p w14:paraId="55E99917" w14:textId="0BCF5440" w:rsidR="002D4FC2" w:rsidRPr="00702488" w:rsidRDefault="000D7E7F" w:rsidP="000D7E7F">
            <w:r>
              <w:t>With</w:t>
            </w:r>
            <w:r w:rsidRPr="00702488">
              <w:t xml:space="preserve"> considerable refugee flows from Ukraine, strengthening people-to-people cooperation might help to welcome and integrate migrants in local societies.</w:t>
            </w:r>
          </w:p>
        </w:tc>
      </w:tr>
      <w:tr w:rsidR="002D4FC2" w:rsidRPr="00702488" w14:paraId="13009F44" w14:textId="77777777" w:rsidTr="005C6603">
        <w:tc>
          <w:tcPr>
            <w:tcW w:w="1843" w:type="dxa"/>
          </w:tcPr>
          <w:p w14:paraId="6BE58C80" w14:textId="77777777" w:rsidR="002D4FC2" w:rsidRPr="00702488" w:rsidRDefault="002D4FC2" w:rsidP="005C6603">
            <w:pPr>
              <w:rPr>
                <w:b/>
                <w:bCs/>
              </w:rPr>
            </w:pPr>
            <w:r w:rsidRPr="00702488">
              <w:rPr>
                <w:b/>
                <w:bCs/>
              </w:rPr>
              <w:t>Concrete actions</w:t>
            </w:r>
          </w:p>
        </w:tc>
        <w:tc>
          <w:tcPr>
            <w:tcW w:w="6651" w:type="dxa"/>
          </w:tcPr>
          <w:p w14:paraId="418C10B7" w14:textId="77777777" w:rsidR="002B7912" w:rsidRPr="00702488" w:rsidRDefault="002B7912" w:rsidP="002B7912">
            <w:r w:rsidRPr="00702488">
              <w:t xml:space="preserve">Concrete actions should build on what already exists in the region </w:t>
            </w:r>
            <w:r>
              <w:t>including</w:t>
            </w:r>
            <w:r w:rsidRPr="00702488">
              <w:t xml:space="preserve"> what is already done </w:t>
            </w:r>
            <w:r>
              <w:t>under</w:t>
            </w:r>
            <w:r w:rsidRPr="00702488">
              <w:t xml:space="preserve"> EUSDR</w:t>
            </w:r>
            <w:r>
              <w:t>,</w:t>
            </w:r>
            <w:r w:rsidRPr="00702488">
              <w:t xml:space="preserve"> and take this one step further. This may include:</w:t>
            </w:r>
          </w:p>
          <w:p w14:paraId="356A0F0D" w14:textId="77777777" w:rsidR="002B7912" w:rsidRPr="00702488" w:rsidRDefault="002B7912" w:rsidP="002B7912">
            <w:pPr>
              <w:pStyle w:val="ListParagraph"/>
              <w:numPr>
                <w:ilvl w:val="0"/>
                <w:numId w:val="19"/>
              </w:numPr>
            </w:pPr>
            <w:r w:rsidRPr="00702488">
              <w:t xml:space="preserve">Initiate and support cooperation projects </w:t>
            </w:r>
            <w:r>
              <w:t>in</w:t>
            </w:r>
            <w:r w:rsidRPr="00702488">
              <w:t xml:space="preserve"> schools.</w:t>
            </w:r>
          </w:p>
          <w:p w14:paraId="40D04601" w14:textId="77777777" w:rsidR="002B7912" w:rsidRPr="00702488" w:rsidRDefault="002B7912" w:rsidP="002B7912">
            <w:pPr>
              <w:pStyle w:val="ListParagraph"/>
              <w:numPr>
                <w:ilvl w:val="0"/>
                <w:numId w:val="19"/>
              </w:numPr>
            </w:pPr>
            <w:r w:rsidRPr="00702488">
              <w:t xml:space="preserve">Involve citizens in EUSDR activities and integration processes, with a particular emphasis on younger people. </w:t>
            </w:r>
          </w:p>
          <w:p w14:paraId="111A7DDE" w14:textId="77777777" w:rsidR="002B7912" w:rsidRPr="00702488" w:rsidRDefault="002B7912" w:rsidP="002B7912">
            <w:pPr>
              <w:pStyle w:val="ListParagraph"/>
              <w:numPr>
                <w:ilvl w:val="0"/>
                <w:numId w:val="19"/>
              </w:numPr>
            </w:pPr>
            <w:r w:rsidRPr="00702488">
              <w:t xml:space="preserve">Boost cooperation between cities and small municipalities in the Danube region. </w:t>
            </w:r>
          </w:p>
          <w:p w14:paraId="4B6F96FF" w14:textId="405B5789" w:rsidR="002D4FC2" w:rsidRPr="00702488" w:rsidRDefault="002B7912" w:rsidP="002B7912">
            <w:pPr>
              <w:pStyle w:val="ListParagraph"/>
              <w:numPr>
                <w:ilvl w:val="0"/>
                <w:numId w:val="19"/>
              </w:numPr>
            </w:pPr>
            <w:r w:rsidRPr="00702488">
              <w:t>Boost cooperation to welcome and integrate refugees from Ukraine.</w:t>
            </w:r>
          </w:p>
        </w:tc>
      </w:tr>
      <w:tr w:rsidR="002D4FC2" w:rsidRPr="00702488" w14:paraId="15E8CAAD" w14:textId="77777777" w:rsidTr="005C6603">
        <w:tc>
          <w:tcPr>
            <w:tcW w:w="1843" w:type="dxa"/>
          </w:tcPr>
          <w:p w14:paraId="19EA9E7D" w14:textId="77777777" w:rsidR="002D4FC2" w:rsidRPr="00702488" w:rsidRDefault="002D4FC2" w:rsidP="005C6603">
            <w:pPr>
              <w:rPr>
                <w:b/>
                <w:bCs/>
              </w:rPr>
            </w:pPr>
            <w:r w:rsidRPr="00702488">
              <w:rPr>
                <w:b/>
                <w:bCs/>
              </w:rPr>
              <w:t>Players</w:t>
            </w:r>
          </w:p>
        </w:tc>
        <w:tc>
          <w:tcPr>
            <w:tcW w:w="6651" w:type="dxa"/>
          </w:tcPr>
          <w:p w14:paraId="58CEF062" w14:textId="38E10B71" w:rsidR="002D4FC2" w:rsidRPr="00702488" w:rsidRDefault="00C520BE" w:rsidP="005C6603">
            <w:r w:rsidRPr="00702488">
              <w:t>PA 9 and PA 10, ministries of educations, schools, local authorities, youth organisations and civil society organisations.</w:t>
            </w:r>
          </w:p>
        </w:tc>
      </w:tr>
      <w:tr w:rsidR="002D4FC2" w:rsidRPr="00702488" w14:paraId="2F4C3172" w14:textId="77777777" w:rsidTr="005C6603">
        <w:tc>
          <w:tcPr>
            <w:tcW w:w="1843" w:type="dxa"/>
          </w:tcPr>
          <w:p w14:paraId="1EB417FB" w14:textId="77777777" w:rsidR="002D4FC2" w:rsidRPr="00702488" w:rsidRDefault="002D4FC2" w:rsidP="005C6603">
            <w:pPr>
              <w:rPr>
                <w:b/>
                <w:bCs/>
              </w:rPr>
            </w:pPr>
            <w:r w:rsidRPr="00702488">
              <w:rPr>
                <w:b/>
                <w:bCs/>
              </w:rPr>
              <w:t>Time line</w:t>
            </w:r>
          </w:p>
        </w:tc>
        <w:tc>
          <w:tcPr>
            <w:tcW w:w="6651" w:type="dxa"/>
          </w:tcPr>
          <w:p w14:paraId="7E08B672" w14:textId="02491CE2" w:rsidR="002D4FC2" w:rsidRPr="00702488" w:rsidRDefault="0032470E" w:rsidP="005C6603">
            <w:r w:rsidRPr="00702488">
              <w:t>This should start as soon as possible to ensure the EUSDR spirit grows at local level and helps support the integration of migrants and refugees.</w:t>
            </w:r>
          </w:p>
        </w:tc>
      </w:tr>
      <w:tr w:rsidR="002D4FC2" w:rsidRPr="00702488" w14:paraId="3B1F6B96" w14:textId="77777777" w:rsidTr="005C6603">
        <w:tc>
          <w:tcPr>
            <w:tcW w:w="1843" w:type="dxa"/>
          </w:tcPr>
          <w:p w14:paraId="1911A9F9" w14:textId="77777777" w:rsidR="002D4FC2" w:rsidRPr="00702488" w:rsidRDefault="002D4FC2" w:rsidP="005C6603">
            <w:pPr>
              <w:rPr>
                <w:b/>
                <w:bCs/>
              </w:rPr>
            </w:pPr>
            <w:r w:rsidRPr="00702488">
              <w:rPr>
                <w:b/>
                <w:bCs/>
              </w:rPr>
              <w:t>Expected effects</w:t>
            </w:r>
          </w:p>
        </w:tc>
        <w:tc>
          <w:tcPr>
            <w:tcW w:w="6651" w:type="dxa"/>
          </w:tcPr>
          <w:p w14:paraId="55B27AD7" w14:textId="5C0BA6B3" w:rsidR="002D4FC2" w:rsidRPr="00702488" w:rsidRDefault="007D60B1" w:rsidP="005C6603">
            <w:r>
              <w:t>A stronger</w:t>
            </w:r>
            <w:r w:rsidRPr="00702488">
              <w:t xml:space="preserve"> macro-regional spirit, inter-connectedness and identity among citizens in the Danube region. </w:t>
            </w:r>
            <w:r>
              <w:t>T</w:t>
            </w:r>
            <w:r w:rsidRPr="00702488">
              <w:t xml:space="preserve">his would help integration </w:t>
            </w:r>
            <w:r>
              <w:t>in</w:t>
            </w:r>
            <w:r w:rsidRPr="00702488">
              <w:t xml:space="preserve"> the region and probably also strengthen civil society.</w:t>
            </w:r>
          </w:p>
        </w:tc>
      </w:tr>
      <w:tr w:rsidR="002D4FC2" w:rsidRPr="00702488" w14:paraId="0CBD3403" w14:textId="77777777" w:rsidTr="005C6603">
        <w:tc>
          <w:tcPr>
            <w:tcW w:w="1843" w:type="dxa"/>
          </w:tcPr>
          <w:p w14:paraId="3F6F3F65" w14:textId="77777777" w:rsidR="002D4FC2" w:rsidRPr="00702488" w:rsidRDefault="002D4FC2" w:rsidP="005C6603">
            <w:pPr>
              <w:rPr>
                <w:b/>
                <w:bCs/>
              </w:rPr>
            </w:pPr>
            <w:r w:rsidRPr="00702488">
              <w:rPr>
                <w:b/>
                <w:bCs/>
              </w:rPr>
              <w:t xml:space="preserve">EUSDR link </w:t>
            </w:r>
          </w:p>
        </w:tc>
        <w:tc>
          <w:tcPr>
            <w:tcW w:w="6651" w:type="dxa"/>
          </w:tcPr>
          <w:p w14:paraId="29DFE0BB" w14:textId="0E0112BC" w:rsidR="002D4FC2" w:rsidRPr="00702488" w:rsidRDefault="0057755B" w:rsidP="005C6603">
            <w:r w:rsidRPr="00702488">
              <w:t xml:space="preserve">This links strongly </w:t>
            </w:r>
            <w:r>
              <w:t xml:space="preserve">with </w:t>
            </w:r>
            <w:r w:rsidRPr="00702488">
              <w:t>the EUSDR Pillar ‘Building prosperity’, especially PA 9 ‘People &amp; Skill’, and EUSDR Pillar ‘Strengthening the region’, especially PA 10 ‘Institutional Capacity &amp; Cooperation’.</w:t>
            </w:r>
          </w:p>
        </w:tc>
      </w:tr>
    </w:tbl>
    <w:p w14:paraId="6B562E5C" w14:textId="067EA391" w:rsidR="00B32A94" w:rsidRPr="00702488" w:rsidRDefault="00CA365B" w:rsidP="00793363">
      <w:pPr>
        <w:pStyle w:val="Heading2"/>
      </w:pPr>
      <w:bookmarkStart w:id="39" w:name="_Toc98143168"/>
      <w:bookmarkStart w:id="40" w:name="_Toc100584674"/>
      <w:r w:rsidRPr="00702488">
        <w:t>Cross-cutting recommendations</w:t>
      </w:r>
      <w:bookmarkEnd w:id="39"/>
      <w:bookmarkEnd w:id="40"/>
    </w:p>
    <w:p w14:paraId="42701E90" w14:textId="352C8123" w:rsidR="00CA365B" w:rsidRPr="00702488" w:rsidRDefault="00FA1113" w:rsidP="00CA365B">
      <w:r w:rsidRPr="00702488">
        <w:t xml:space="preserve">The scenario work for the Danube and Adriatic-Ionian macro-regions </w:t>
      </w:r>
      <w:r>
        <w:t>raises</w:t>
      </w:r>
      <w:r w:rsidRPr="00702488">
        <w:t xml:space="preserve"> conclusions and recommendations going beyond the individual strategies</w:t>
      </w:r>
      <w:r>
        <w:t>,</w:t>
      </w:r>
      <w:r w:rsidRPr="00702488">
        <w:t xml:space="preserve"> </w:t>
      </w:r>
      <w:r>
        <w:t xml:space="preserve">while </w:t>
      </w:r>
      <w:r w:rsidRPr="00702488">
        <w:t xml:space="preserve">recognising territorial overlaps. The scenarios highlight that many future development issues </w:t>
      </w:r>
      <w:r>
        <w:t xml:space="preserve">concern </w:t>
      </w:r>
      <w:r w:rsidRPr="00702488">
        <w:t>a wider geographical context than the nation state. This leads to discussion</w:t>
      </w:r>
      <w:r>
        <w:t>s</w:t>
      </w:r>
      <w:r w:rsidRPr="00702488">
        <w:t xml:space="preserve"> about shared strategies, masterplans or action plans for issues which are addressed more effectively or efficiently at transnational level. It also leads to considerations concerning responsible macro-regional or transnational bodies to drive such processes beyond single projects.</w:t>
      </w:r>
    </w:p>
    <w:p w14:paraId="6FDDE814" w14:textId="0264296E" w:rsidR="00134C51" w:rsidRPr="00702488" w:rsidRDefault="009F2B01" w:rsidP="00197010">
      <w:pPr>
        <w:pStyle w:val="Heading3"/>
        <w:rPr>
          <w:lang w:val="en-GB"/>
        </w:rPr>
      </w:pPr>
      <w:bookmarkStart w:id="41" w:name="_Toc98143169"/>
      <w:bookmarkStart w:id="42" w:name="_Toc100584675"/>
      <w:r w:rsidRPr="00702488">
        <w:rPr>
          <w:lang w:val="en-GB"/>
        </w:rPr>
        <w:t>Cooperation between macro-regional strategies</w:t>
      </w:r>
      <w:bookmarkEnd w:id="41"/>
      <w:bookmarkEnd w:id="42"/>
    </w:p>
    <w:p w14:paraId="18907D6F" w14:textId="77777777" w:rsidR="00D15DE4" w:rsidRPr="00702488" w:rsidRDefault="00D15DE4" w:rsidP="00D15DE4">
      <w:r w:rsidRPr="00702488">
        <w:t>Many of the points identified in the scenario work might be relevan</w:t>
      </w:r>
      <w:r>
        <w:t>t</w:t>
      </w:r>
      <w:r w:rsidRPr="00702488">
        <w:t xml:space="preserve"> for all macro-regional strategies and thus </w:t>
      </w:r>
      <w:r>
        <w:t xml:space="preserve">relevant </w:t>
      </w:r>
      <w:r w:rsidRPr="00702488">
        <w:t xml:space="preserve">for the European Commission or </w:t>
      </w:r>
      <w:r>
        <w:t>for</w:t>
      </w:r>
      <w:r w:rsidRPr="00702488">
        <w:t xml:space="preserve"> cooperation and coordination between macro-regional strategies. </w:t>
      </w:r>
    </w:p>
    <w:p w14:paraId="7A28C311" w14:textId="77777777" w:rsidR="00D15DE4" w:rsidRPr="00702488" w:rsidRDefault="00D15DE4" w:rsidP="00D15DE4">
      <w:r w:rsidRPr="00702488">
        <w:rPr>
          <w:b/>
          <w:bCs/>
        </w:rPr>
        <w:t xml:space="preserve">Drive future-oriented debates. </w:t>
      </w:r>
      <w:r w:rsidRPr="00702488">
        <w:t>Managing the challenges and transitions ahead also requires societal discourses and finding answers beyond local and regional development. Examples include</w:t>
      </w:r>
      <w:r>
        <w:t xml:space="preserve"> debates on</w:t>
      </w:r>
      <w:r w:rsidRPr="00702488">
        <w:t>:</w:t>
      </w:r>
    </w:p>
    <w:p w14:paraId="08D068C7" w14:textId="77777777" w:rsidR="00D15DE4" w:rsidRPr="00702488" w:rsidRDefault="00D15DE4" w:rsidP="00D15DE4">
      <w:pPr>
        <w:pStyle w:val="ListParagraph"/>
        <w:numPr>
          <w:ilvl w:val="0"/>
          <w:numId w:val="26"/>
        </w:numPr>
      </w:pPr>
      <w:r>
        <w:t>I</w:t>
      </w:r>
      <w:r w:rsidRPr="00702488">
        <w:t>nternalising external costs across sectors to achieve Green Deal objectives.</w:t>
      </w:r>
    </w:p>
    <w:p w14:paraId="3E5048AD" w14:textId="77777777" w:rsidR="00D15DE4" w:rsidRPr="00702488" w:rsidRDefault="00D15DE4" w:rsidP="00D15DE4">
      <w:pPr>
        <w:pStyle w:val="ListParagraph"/>
        <w:numPr>
          <w:ilvl w:val="0"/>
          <w:numId w:val="26"/>
        </w:numPr>
      </w:pPr>
      <w:r>
        <w:t>Q</w:t>
      </w:r>
      <w:r w:rsidRPr="00702488">
        <w:t xml:space="preserve">uality of life </w:t>
      </w:r>
      <w:r>
        <w:t>and</w:t>
      </w:r>
      <w:r w:rsidRPr="00702488">
        <w:t xml:space="preserve"> beyond GDP, including testing alternatives at the level of macro-regional strategies.</w:t>
      </w:r>
    </w:p>
    <w:p w14:paraId="2900D909" w14:textId="77777777" w:rsidR="00D15DE4" w:rsidRPr="00702488" w:rsidRDefault="00D15DE4" w:rsidP="00D15DE4">
      <w:pPr>
        <w:pStyle w:val="ListParagraph"/>
        <w:numPr>
          <w:ilvl w:val="0"/>
          <w:numId w:val="26"/>
        </w:numPr>
      </w:pPr>
      <w:r>
        <w:t>I</w:t>
      </w:r>
      <w:r w:rsidRPr="00702488">
        <w:t>mproved EU data, including data security, privacy, governance, blockchain technology, digital hazard resilience</w:t>
      </w:r>
      <w:r>
        <w:t>,</w:t>
      </w:r>
      <w:r w:rsidRPr="00702488">
        <w:t xml:space="preserve"> etc.</w:t>
      </w:r>
    </w:p>
    <w:p w14:paraId="2092ECFD" w14:textId="77777777" w:rsidR="00D15DE4" w:rsidRPr="00702488" w:rsidRDefault="00D15DE4" w:rsidP="00D15DE4">
      <w:pPr>
        <w:pStyle w:val="ListParagraph"/>
        <w:numPr>
          <w:ilvl w:val="0"/>
          <w:numId w:val="26"/>
        </w:numPr>
      </w:pPr>
      <w:r>
        <w:t>C</w:t>
      </w:r>
      <w:r w:rsidRPr="00702488">
        <w:t xml:space="preserve">itizen engagement in governance processes and macro-regional cooperation. </w:t>
      </w:r>
    </w:p>
    <w:p w14:paraId="3F9A5AA9" w14:textId="77777777" w:rsidR="00D15DE4" w:rsidRPr="00702488" w:rsidRDefault="00D15DE4" w:rsidP="00D15DE4">
      <w:r w:rsidRPr="00702488">
        <w:rPr>
          <w:b/>
          <w:bCs/>
        </w:rPr>
        <w:t xml:space="preserve">Think macro-regional sector plans </w:t>
      </w:r>
      <w:r>
        <w:rPr>
          <w:b/>
          <w:bCs/>
        </w:rPr>
        <w:t>and</w:t>
      </w:r>
      <w:r w:rsidRPr="00702488">
        <w:rPr>
          <w:b/>
          <w:bCs/>
        </w:rPr>
        <w:t xml:space="preserve"> strategies</w:t>
      </w:r>
      <w:r w:rsidRPr="00702488">
        <w:t xml:space="preserve">. Given high spatial interdependencies new formats </w:t>
      </w:r>
      <w:r>
        <w:t>are needed</w:t>
      </w:r>
      <w:r w:rsidRPr="00702488">
        <w:t xml:space="preserve"> to develop macro-regional strategies, plans or roadmaps for particular sectors. Examples include:</w:t>
      </w:r>
    </w:p>
    <w:p w14:paraId="1F94DA71" w14:textId="77777777" w:rsidR="00D15DE4" w:rsidRPr="00702488" w:rsidRDefault="00D15DE4" w:rsidP="00D15DE4">
      <w:pPr>
        <w:pStyle w:val="ListParagraph"/>
        <w:numPr>
          <w:ilvl w:val="0"/>
          <w:numId w:val="29"/>
        </w:numPr>
      </w:pPr>
      <w:r w:rsidRPr="00702488">
        <w:t>transition plans on green, digital and just transitions.</w:t>
      </w:r>
    </w:p>
    <w:p w14:paraId="2C8CDABF" w14:textId="77777777" w:rsidR="00D15DE4" w:rsidRPr="00702488" w:rsidRDefault="00D15DE4" w:rsidP="00D15DE4">
      <w:pPr>
        <w:pStyle w:val="ListParagraph"/>
        <w:numPr>
          <w:ilvl w:val="0"/>
          <w:numId w:val="29"/>
        </w:numPr>
      </w:pPr>
      <w:r w:rsidRPr="00702488">
        <w:t>biodiversity plans and strategies.</w:t>
      </w:r>
    </w:p>
    <w:p w14:paraId="32B0A5FB" w14:textId="77777777" w:rsidR="00D15DE4" w:rsidRPr="00702488" w:rsidRDefault="00D15DE4" w:rsidP="00D15DE4">
      <w:pPr>
        <w:pStyle w:val="ListParagraph"/>
        <w:numPr>
          <w:ilvl w:val="0"/>
          <w:numId w:val="29"/>
        </w:numPr>
      </w:pPr>
      <w:r w:rsidRPr="00702488">
        <w:t>plans for carbon-neutral long-distance mobility.</w:t>
      </w:r>
    </w:p>
    <w:p w14:paraId="3DDC6ACC" w14:textId="77777777" w:rsidR="00D15DE4" w:rsidRPr="00702488" w:rsidRDefault="00D15DE4" w:rsidP="00D15DE4">
      <w:pPr>
        <w:pStyle w:val="ListParagraph"/>
        <w:numPr>
          <w:ilvl w:val="0"/>
          <w:numId w:val="29"/>
        </w:numPr>
      </w:pPr>
      <w:r w:rsidRPr="00702488">
        <w:t xml:space="preserve">strategies on changing settlement patterns </w:t>
      </w:r>
      <w:r>
        <w:t>given</w:t>
      </w:r>
      <w:r w:rsidRPr="00702488">
        <w:t xml:space="preserve"> demographic decline and ag</w:t>
      </w:r>
      <w:r>
        <w:t>e</w:t>
      </w:r>
      <w:r w:rsidRPr="00702488">
        <w:t xml:space="preserve">ing. </w:t>
      </w:r>
    </w:p>
    <w:p w14:paraId="4BF9DB11" w14:textId="77777777" w:rsidR="00D15DE4" w:rsidRPr="00702488" w:rsidRDefault="00D15DE4" w:rsidP="00D15DE4">
      <w:r w:rsidRPr="00702488">
        <w:rPr>
          <w:b/>
          <w:bCs/>
        </w:rPr>
        <w:t>Consider transnational bodies and agreements.</w:t>
      </w:r>
      <w:r w:rsidRPr="00702488">
        <w:t xml:space="preserve"> In many cases plans and strategies will not be sufficient to move forward. Binding agreements between countries will be needed, and in some cases even transnational bodies to ensure continuity over time. Examples include</w:t>
      </w:r>
      <w:r>
        <w:t xml:space="preserve"> discussing</w:t>
      </w:r>
      <w:r w:rsidRPr="00702488">
        <w:t>:</w:t>
      </w:r>
    </w:p>
    <w:p w14:paraId="4B55F58A" w14:textId="77777777" w:rsidR="00D15DE4" w:rsidRPr="00702488" w:rsidRDefault="00D15DE4" w:rsidP="00D15DE4">
      <w:pPr>
        <w:pStyle w:val="ListParagraph"/>
        <w:numPr>
          <w:ilvl w:val="0"/>
          <w:numId w:val="28"/>
        </w:numPr>
      </w:pPr>
      <w:r w:rsidRPr="00702488">
        <w:t xml:space="preserve">multinational agreements on taxation of digital nomads, workcation and alike. </w:t>
      </w:r>
    </w:p>
    <w:p w14:paraId="3BB98B38" w14:textId="77777777" w:rsidR="00D15DE4" w:rsidRPr="00702488" w:rsidRDefault="00D15DE4" w:rsidP="00D15DE4">
      <w:pPr>
        <w:pStyle w:val="ListParagraph"/>
        <w:numPr>
          <w:ilvl w:val="0"/>
          <w:numId w:val="28"/>
        </w:numPr>
      </w:pPr>
      <w:r w:rsidRPr="00702488">
        <w:t xml:space="preserve">multinational agreements reducing border obstacles, between EU member states and especially between EU and non-EU member states. </w:t>
      </w:r>
    </w:p>
    <w:p w14:paraId="581EC63F" w14:textId="77777777" w:rsidR="00D15DE4" w:rsidRPr="00702488" w:rsidRDefault="00D15DE4" w:rsidP="00D15DE4">
      <w:pPr>
        <w:pStyle w:val="ListParagraph"/>
        <w:numPr>
          <w:ilvl w:val="0"/>
          <w:numId w:val="28"/>
        </w:numPr>
      </w:pPr>
      <w:r w:rsidRPr="00702488">
        <w:t>establishing transnational bodies to monitor (and reduc</w:t>
      </w:r>
      <w:r>
        <w:t>e</w:t>
      </w:r>
      <w:r w:rsidRPr="00702488">
        <w:t xml:space="preserve">) border obstacles. </w:t>
      </w:r>
    </w:p>
    <w:p w14:paraId="266ACE3E" w14:textId="2FA85619" w:rsidR="009F2B01" w:rsidRPr="00702488" w:rsidRDefault="00D15DE4" w:rsidP="00D15DE4">
      <w:r w:rsidRPr="00702488">
        <w:t>These are just a few examples for possible action</w:t>
      </w:r>
      <w:r>
        <w:t>s</w:t>
      </w:r>
      <w:r w:rsidRPr="00702488">
        <w:t xml:space="preserve"> which go beyond individual macro-regional strategies.</w:t>
      </w:r>
    </w:p>
    <w:p w14:paraId="0A5E63A9" w14:textId="6A3B20AE" w:rsidR="00C450DF" w:rsidRPr="00702488" w:rsidRDefault="002E1DDA" w:rsidP="00C450DF">
      <w:pPr>
        <w:pStyle w:val="Heading3"/>
        <w:rPr>
          <w:lang w:val="en-GB"/>
        </w:rPr>
      </w:pPr>
      <w:bookmarkStart w:id="43" w:name="_Toc100584676"/>
      <w:r w:rsidRPr="00702488">
        <w:rPr>
          <w:lang w:val="en-GB"/>
        </w:rPr>
        <w:t>ESPON</w:t>
      </w:r>
      <w:bookmarkEnd w:id="43"/>
    </w:p>
    <w:p w14:paraId="39978320" w14:textId="77777777" w:rsidR="00B5280A" w:rsidRPr="00702488" w:rsidRDefault="00B5280A" w:rsidP="00B5280A">
      <w:r w:rsidRPr="00702488">
        <w:t>ESPON is highly committed to supporting macro-regional strategies and could consider action</w:t>
      </w:r>
      <w:r>
        <w:t>s</w:t>
      </w:r>
      <w:r w:rsidRPr="00702488">
        <w:t xml:space="preserve"> to further support </w:t>
      </w:r>
      <w:r>
        <w:t>this</w:t>
      </w:r>
      <w:r w:rsidRPr="00702488">
        <w:t xml:space="preserve"> work with territorial evidence:</w:t>
      </w:r>
    </w:p>
    <w:p w14:paraId="048E2949" w14:textId="77777777" w:rsidR="00B5280A" w:rsidRPr="00702488" w:rsidRDefault="00B5280A" w:rsidP="00B5280A">
      <w:pPr>
        <w:pStyle w:val="ListParagraph"/>
        <w:numPr>
          <w:ilvl w:val="0"/>
          <w:numId w:val="30"/>
        </w:numPr>
      </w:pPr>
      <w:r w:rsidRPr="00702488">
        <w:rPr>
          <w:b/>
          <w:bCs/>
        </w:rPr>
        <w:t xml:space="preserve">Build repositories of national and regional plans </w:t>
      </w:r>
      <w:r>
        <w:rPr>
          <w:b/>
          <w:bCs/>
        </w:rPr>
        <w:t>and</w:t>
      </w:r>
      <w:r w:rsidRPr="00702488">
        <w:rPr>
          <w:b/>
          <w:bCs/>
        </w:rPr>
        <w:t xml:space="preserve"> strategies</w:t>
      </w:r>
      <w:r w:rsidRPr="00702488">
        <w:t xml:space="preserve"> to </w:t>
      </w:r>
      <w:r>
        <w:t>consolidate</w:t>
      </w:r>
      <w:r w:rsidRPr="00702488">
        <w:t xml:space="preserve"> them in joint macro-regional plans or strategies. This could </w:t>
      </w:r>
      <w:r>
        <w:t>include</w:t>
      </w:r>
      <w:r w:rsidRPr="00702488">
        <w:t xml:space="preserve"> green and digital transition</w:t>
      </w:r>
      <w:r>
        <w:t>s</w:t>
      </w:r>
      <w:r w:rsidRPr="00702488">
        <w:t xml:space="preserve">, biodiversity strategies </w:t>
      </w:r>
      <w:r>
        <w:t>and</w:t>
      </w:r>
      <w:r w:rsidRPr="00702488">
        <w:t xml:space="preserve"> spatial development plans. </w:t>
      </w:r>
    </w:p>
    <w:p w14:paraId="5CD29402" w14:textId="77777777" w:rsidR="00B5280A" w:rsidRPr="00702488" w:rsidRDefault="00B5280A" w:rsidP="00B5280A">
      <w:pPr>
        <w:pStyle w:val="ListParagraph"/>
        <w:numPr>
          <w:ilvl w:val="0"/>
          <w:numId w:val="30"/>
        </w:numPr>
      </w:pPr>
      <w:r w:rsidRPr="00702488">
        <w:rPr>
          <w:b/>
          <w:bCs/>
        </w:rPr>
        <w:t xml:space="preserve">Support the development of macro-regional masterplans </w:t>
      </w:r>
      <w:r>
        <w:rPr>
          <w:b/>
          <w:bCs/>
        </w:rPr>
        <w:t>and</w:t>
      </w:r>
      <w:r w:rsidRPr="00702488">
        <w:rPr>
          <w:b/>
          <w:bCs/>
        </w:rPr>
        <w:t xml:space="preserve"> sector strategies</w:t>
      </w:r>
      <w:r w:rsidRPr="00702488">
        <w:t>, which help to better coordinate sector policies with wider territorial implications. This could include thematic studies providing territorial evidence or targeted cross-analysis of sector policies, as well as opening up the data from projects. Possible topics are green and digital transition</w:t>
      </w:r>
      <w:r>
        <w:t>s</w:t>
      </w:r>
      <w:r w:rsidRPr="00702488">
        <w:t xml:space="preserve">, green </w:t>
      </w:r>
      <w:r>
        <w:t>and</w:t>
      </w:r>
      <w:r w:rsidRPr="00702488">
        <w:t xml:space="preserve"> blue growth, demographic change, biodiversity, tourism and quality of life. </w:t>
      </w:r>
    </w:p>
    <w:p w14:paraId="1584FD4D" w14:textId="77777777" w:rsidR="00B5280A" w:rsidRPr="00702488" w:rsidRDefault="00B5280A" w:rsidP="00B5280A">
      <w:pPr>
        <w:pStyle w:val="ListParagraph"/>
        <w:numPr>
          <w:ilvl w:val="0"/>
          <w:numId w:val="30"/>
        </w:numPr>
      </w:pPr>
      <w:r w:rsidRPr="00702488">
        <w:rPr>
          <w:b/>
          <w:bCs/>
        </w:rPr>
        <w:t>Strengthen continuous macro-regional monitoring</w:t>
      </w:r>
      <w:r w:rsidRPr="00702488">
        <w:t xml:space="preserve">, e.g. related to spatial inequalities, quality of life or cross-border obstacles. This could be an opportunity to establish databases or evidence on aspects for the </w:t>
      </w:r>
      <w:r>
        <w:t>W</w:t>
      </w:r>
      <w:r w:rsidRPr="00702488">
        <w:t xml:space="preserve">estern Balkans </w:t>
      </w:r>
      <w:r>
        <w:t>in</w:t>
      </w:r>
      <w:r w:rsidRPr="00702488">
        <w:t xml:space="preserve"> both macro-regions.</w:t>
      </w:r>
    </w:p>
    <w:p w14:paraId="3213335D" w14:textId="29F62E05" w:rsidR="002E1DDA" w:rsidRPr="00702488" w:rsidRDefault="00B5280A" w:rsidP="00B5280A">
      <w:r w:rsidRPr="00702488">
        <w:t>These are just a few examples for possible action</w:t>
      </w:r>
      <w:r>
        <w:t>s</w:t>
      </w:r>
      <w:r w:rsidRPr="00702488">
        <w:t xml:space="preserve"> which go beyond individual macro-regional strategies.</w:t>
      </w:r>
    </w:p>
    <w:bookmarkStart w:id="44" w:name="_Toc100584677" w:displacedByCustomXml="next"/>
    <w:sdt>
      <w:sdtPr>
        <w:rPr>
          <w:rFonts w:asciiTheme="minorHAnsi" w:eastAsiaTheme="minorHAnsi" w:hAnsiTheme="minorHAnsi" w:cstheme="minorBidi"/>
          <w:b w:val="0"/>
          <w:color w:val="auto"/>
          <w:sz w:val="18"/>
          <w:szCs w:val="18"/>
        </w:rPr>
        <w:id w:val="-1214113113"/>
        <w:docPartObj>
          <w:docPartGallery w:val="Bibliographies"/>
          <w:docPartUnique/>
        </w:docPartObj>
      </w:sdtPr>
      <w:sdtEndPr/>
      <w:sdtContent>
        <w:p w14:paraId="5622849C" w14:textId="77777777" w:rsidR="0040290E" w:rsidRPr="00702488" w:rsidRDefault="0040290E" w:rsidP="00651F74">
          <w:pPr>
            <w:pStyle w:val="Heading1NoNumber"/>
          </w:pPr>
          <w:r w:rsidRPr="00702488">
            <w:t>References</w:t>
          </w:r>
          <w:bookmarkEnd w:id="44"/>
        </w:p>
        <w:p w14:paraId="05462766" w14:textId="37CB1CE1" w:rsidR="0040290E" w:rsidRPr="00702488" w:rsidRDefault="006839DA" w:rsidP="00DA7079">
          <w:pPr>
            <w:pStyle w:val="Bibliography"/>
          </w:pPr>
        </w:p>
      </w:sdtContent>
    </w:sdt>
    <w:p w14:paraId="1DA02A65" w14:textId="77777777" w:rsidR="00F54737" w:rsidRPr="00F54737" w:rsidRDefault="00F54737" w:rsidP="00F54737">
      <w:pPr>
        <w:pStyle w:val="Bibliography"/>
        <w:rPr>
          <w:rFonts w:ascii="Arial" w:cs="Arial"/>
        </w:rPr>
      </w:pPr>
      <w:r>
        <w:rPr>
          <w:rFonts w:cstheme="minorHAnsi"/>
        </w:rPr>
        <w:fldChar w:fldCharType="begin"/>
      </w:r>
      <w:r>
        <w:rPr>
          <w:rFonts w:cstheme="minorHAnsi"/>
        </w:rPr>
        <w:instrText xml:space="preserve"> ADDIN ZOTERO_BIBL {"uncited":[],"omitted":[],"custom":[]} CSL_BIBLIOGRAPHY </w:instrText>
      </w:r>
      <w:r>
        <w:rPr>
          <w:rFonts w:cstheme="minorHAnsi"/>
        </w:rPr>
        <w:fldChar w:fldCharType="separate"/>
      </w:r>
      <w:r w:rsidRPr="00F54737">
        <w:rPr>
          <w:rFonts w:ascii="Arial" w:cs="Arial"/>
        </w:rPr>
        <w:t>European Commission. (2022, March 8). Communication from the Commission to the European Parliament, the European Council, the Council, the European Economic and Social Committee and the Committee of the Regions. REPowerEU: Joint European Action for more affordable, secure and sustainable energy. COM(2022) 108 final.</w:t>
      </w:r>
    </w:p>
    <w:p w14:paraId="24871925" w14:textId="77777777" w:rsidR="00F54737" w:rsidRPr="00F54737" w:rsidRDefault="00F54737" w:rsidP="00F54737">
      <w:pPr>
        <w:pStyle w:val="Bibliography"/>
        <w:rPr>
          <w:rFonts w:ascii="Arial" w:cs="Arial"/>
        </w:rPr>
      </w:pPr>
      <w:r w:rsidRPr="00F54737">
        <w:rPr>
          <w:rFonts w:ascii="Arial" w:cs="Arial"/>
        </w:rPr>
        <w:t>Gelles, D. (2022, February 16). Executives are quitting to spend time with family...Really. https://www.nytimes.com/2022/02/16/business/executives-quitting.html?referrer=masthead</w:t>
      </w:r>
    </w:p>
    <w:p w14:paraId="6DDC599C" w14:textId="77777777" w:rsidR="00F54737" w:rsidRPr="00F54737" w:rsidRDefault="00F54737" w:rsidP="00F54737">
      <w:pPr>
        <w:pStyle w:val="Bibliography"/>
        <w:rPr>
          <w:rFonts w:ascii="Arial" w:cs="Arial"/>
        </w:rPr>
      </w:pPr>
      <w:r w:rsidRPr="00F54737">
        <w:rPr>
          <w:rFonts w:ascii="Arial" w:cs="Arial"/>
        </w:rPr>
        <w:t>Malone, N. (2022, February 15). The Future of Work Issue. The Age of Anti-Ambition. https://www.nytimes.com/2022/02/15/magazine/anti-ambition-age.html?referrer=masthead</w:t>
      </w:r>
    </w:p>
    <w:p w14:paraId="3966A637" w14:textId="77777777" w:rsidR="00F54737" w:rsidRPr="00F54737" w:rsidRDefault="00F54737" w:rsidP="00F54737">
      <w:pPr>
        <w:pStyle w:val="Bibliography"/>
        <w:rPr>
          <w:rFonts w:ascii="Arial" w:cs="Arial"/>
        </w:rPr>
      </w:pPr>
      <w:r w:rsidRPr="00F54737">
        <w:rPr>
          <w:rFonts w:ascii="Arial" w:cs="Arial"/>
        </w:rPr>
        <w:t>Chen, X. B. (2022, January 18). What’s all the hype about the metaverse? https://www.nytimes.com/2022/01/18/technology/personaltech/metaverse-gaming-definition.html</w:t>
      </w:r>
    </w:p>
    <w:p w14:paraId="32035F3A" w14:textId="77777777" w:rsidR="00F54737" w:rsidRPr="00F54737" w:rsidRDefault="00F54737" w:rsidP="00F54737">
      <w:pPr>
        <w:pStyle w:val="Bibliography"/>
        <w:rPr>
          <w:rFonts w:ascii="Arial" w:cs="Arial"/>
        </w:rPr>
      </w:pPr>
      <w:r w:rsidRPr="00F54737">
        <w:rPr>
          <w:rFonts w:ascii="Arial" w:cs="Arial"/>
        </w:rPr>
        <w:t>Abnett, K. &amp; Jessop, S. (2022, January 1). EU drafts plan to label gas and nuclear investments as green. https://www.reuters.com/markets/commodities/eu-drafts-plan-label-gas-nuclear-investments-green-2022-01-01/</w:t>
      </w:r>
    </w:p>
    <w:p w14:paraId="46690657" w14:textId="77777777" w:rsidR="00F54737" w:rsidRPr="00F54737" w:rsidRDefault="00F54737" w:rsidP="00F54737">
      <w:pPr>
        <w:pStyle w:val="Bibliography"/>
        <w:rPr>
          <w:rFonts w:ascii="Arial" w:cs="Arial"/>
        </w:rPr>
      </w:pPr>
      <w:r w:rsidRPr="00F54737">
        <w:rPr>
          <w:rFonts w:ascii="Arial" w:cs="Arial"/>
        </w:rPr>
        <w:t>Eurostat. (2021, December 20). Which EU countries had the highest GDP in 2020? https://ec.europa.eu/eurostat/web/products-eurostat-news/-/ddn-20211220-1</w:t>
      </w:r>
    </w:p>
    <w:p w14:paraId="46252261" w14:textId="77777777" w:rsidR="00F54737" w:rsidRPr="00F54737" w:rsidRDefault="00F54737" w:rsidP="00F54737">
      <w:pPr>
        <w:pStyle w:val="Bibliography"/>
        <w:rPr>
          <w:rFonts w:ascii="Arial" w:cs="Arial"/>
        </w:rPr>
      </w:pPr>
      <w:r w:rsidRPr="00F54737">
        <w:rPr>
          <w:rFonts w:ascii="Arial" w:cs="Arial"/>
        </w:rPr>
        <w:t>European Commission. (2021a, December 1). Joint Communication to the European Parliament, the Council, the European Economic and Social Committee, the Committee of the Regions and the European Investment Bank. The Global Gateway. JOIN(2021) 30 final.</w:t>
      </w:r>
    </w:p>
    <w:p w14:paraId="19A4B6DC" w14:textId="77777777" w:rsidR="00F54737" w:rsidRPr="00F54737" w:rsidRDefault="00F54737" w:rsidP="00F54737">
      <w:pPr>
        <w:pStyle w:val="Bibliography"/>
        <w:rPr>
          <w:rFonts w:ascii="Arial" w:cs="Arial"/>
        </w:rPr>
      </w:pPr>
      <w:r w:rsidRPr="00F54737">
        <w:rPr>
          <w:rFonts w:ascii="Arial" w:cs="Arial"/>
        </w:rPr>
        <w:t>EUSDR. (2021, October 26). Joint Statement of Ministers responsible for Innovation and Digitalisation of the participating countries of the EU Strategy for the Danube Region.</w:t>
      </w:r>
    </w:p>
    <w:p w14:paraId="5F07E4AC" w14:textId="77777777" w:rsidR="00F54737" w:rsidRPr="00F54737" w:rsidRDefault="00F54737" w:rsidP="00F54737">
      <w:pPr>
        <w:pStyle w:val="Bibliography"/>
        <w:rPr>
          <w:rFonts w:ascii="Arial" w:cs="Arial"/>
        </w:rPr>
      </w:pPr>
      <w:r w:rsidRPr="00F54737">
        <w:rPr>
          <w:rFonts w:ascii="Arial" w:cs="Arial"/>
        </w:rPr>
        <w:t>The Economist. (2021a, October 12). What is an NFT? https://www.economist.com/the-economist-explains/2021/10/12/what-is-an-nft</w:t>
      </w:r>
    </w:p>
    <w:p w14:paraId="4CDC70A7" w14:textId="77777777" w:rsidR="00F54737" w:rsidRPr="00F54737" w:rsidRDefault="00F54737" w:rsidP="00F54737">
      <w:pPr>
        <w:pStyle w:val="Bibliography"/>
        <w:rPr>
          <w:rFonts w:ascii="Arial" w:cs="Arial"/>
        </w:rPr>
      </w:pPr>
      <w:r w:rsidRPr="00F54737">
        <w:rPr>
          <w:rFonts w:ascii="Arial" w:cs="Arial"/>
        </w:rPr>
        <w:t>The Economist. (2021b, October 2). Technology can help deliver cleaner, greener delicious food. https://www.economist.com/technology-quarterly/2021/09/28/technology-can-help-deliver-cleaner-greener-delicious-food</w:t>
      </w:r>
    </w:p>
    <w:p w14:paraId="3FDA8C29" w14:textId="77777777" w:rsidR="00F54737" w:rsidRPr="00F54737" w:rsidRDefault="00F54737" w:rsidP="00F54737">
      <w:pPr>
        <w:pStyle w:val="Bibliography"/>
        <w:rPr>
          <w:rFonts w:ascii="Arial" w:cs="Arial"/>
        </w:rPr>
      </w:pPr>
      <w:r w:rsidRPr="00F54737">
        <w:rPr>
          <w:rFonts w:ascii="Arial" w:cs="Arial"/>
        </w:rPr>
        <w:t>Hughes, M. (2021, August 31). Digital Waste doesn’t have to undermine technology’s status as a force for good. https://www.forbes.com/sites/mikehughes1/2021/08/31/digital-waste-doesnt-have-to-undermine-technologys-status-as-a-force-for-good/?sh=398737f64194</w:t>
      </w:r>
    </w:p>
    <w:p w14:paraId="3E3FE466" w14:textId="77777777" w:rsidR="00F54737" w:rsidRPr="00F54737" w:rsidRDefault="00F54737" w:rsidP="00F54737">
      <w:pPr>
        <w:pStyle w:val="Bibliography"/>
        <w:rPr>
          <w:rFonts w:ascii="Arial" w:cs="Arial"/>
        </w:rPr>
      </w:pPr>
      <w:r w:rsidRPr="00F54737">
        <w:rPr>
          <w:rFonts w:ascii="Arial" w:cs="Arial"/>
        </w:rPr>
        <w:t>The Economist. (2021c, July 24). Unicornucopia. Technology unicorns are growing at a record clip. https://www.economist.com/business/2021/07/19/technology-unicorns-are-growing-at-a-record-clip</w:t>
      </w:r>
    </w:p>
    <w:p w14:paraId="3429FF49" w14:textId="77777777" w:rsidR="00F54737" w:rsidRPr="00F54737" w:rsidRDefault="00F54737" w:rsidP="00F54737">
      <w:pPr>
        <w:pStyle w:val="Bibliography"/>
        <w:rPr>
          <w:rFonts w:ascii="Arial" w:cs="Arial"/>
        </w:rPr>
      </w:pPr>
      <w:r w:rsidRPr="00F54737">
        <w:rPr>
          <w:rFonts w:ascii="Arial" w:cs="Arial"/>
        </w:rPr>
        <w:t>OECD. (2021a, July 7). Trust in Government: Understanding its Territorial Divides. Webinar Summary.</w:t>
      </w:r>
    </w:p>
    <w:p w14:paraId="4A337261" w14:textId="77777777" w:rsidR="00F54737" w:rsidRPr="00F54737" w:rsidRDefault="00F54737" w:rsidP="00F54737">
      <w:pPr>
        <w:pStyle w:val="Bibliography"/>
        <w:rPr>
          <w:rFonts w:ascii="Arial" w:cs="Arial"/>
        </w:rPr>
      </w:pPr>
      <w:r w:rsidRPr="00F54737">
        <w:rPr>
          <w:rFonts w:ascii="Arial" w:cs="Arial"/>
        </w:rPr>
        <w:t>Roose, K. (2021, April 21). The Shift. Welcome to the YOLO Economy. https://www.nytimes.com/2021/04/21/technology/welcome-to-the-yolo-economy.html</w:t>
      </w:r>
    </w:p>
    <w:p w14:paraId="32B7CB6E" w14:textId="77777777" w:rsidR="00F54737" w:rsidRPr="00F54737" w:rsidRDefault="00F54737" w:rsidP="00F54737">
      <w:pPr>
        <w:pStyle w:val="Bibliography"/>
        <w:rPr>
          <w:rFonts w:ascii="Arial" w:cs="Arial"/>
        </w:rPr>
      </w:pPr>
      <w:r w:rsidRPr="00F54737">
        <w:rPr>
          <w:rFonts w:ascii="Arial" w:cs="Arial"/>
        </w:rPr>
        <w:t>The Economist. (2021d, April 10). The rise of working from home. https://www.economist.com/special-report/2021/04/08/the-rise-of-working-from-home</w:t>
      </w:r>
    </w:p>
    <w:p w14:paraId="50040CC8" w14:textId="77777777" w:rsidR="00F54737" w:rsidRPr="00F54737" w:rsidRDefault="00F54737" w:rsidP="00F54737">
      <w:pPr>
        <w:pStyle w:val="Bibliography"/>
        <w:rPr>
          <w:rFonts w:ascii="Arial" w:cs="Arial"/>
        </w:rPr>
      </w:pPr>
      <w:r w:rsidRPr="00F54737">
        <w:rPr>
          <w:rFonts w:ascii="Arial" w:cs="Arial"/>
        </w:rPr>
        <w:t>European Commission. (2021b, March 9). Communication from the Commission to the European Parliament, the Council, the European Economic and Social Committee and the Committee of the Regions. 2030 Digital Compass: the European way for the Digital Decade. COM(2021) 118 final.</w:t>
      </w:r>
    </w:p>
    <w:p w14:paraId="466B3BFB" w14:textId="77777777" w:rsidR="00F54737" w:rsidRPr="00F54737" w:rsidRDefault="00F54737" w:rsidP="00F54737">
      <w:pPr>
        <w:pStyle w:val="Bibliography"/>
        <w:rPr>
          <w:rFonts w:ascii="Arial" w:cs="Arial"/>
        </w:rPr>
      </w:pPr>
      <w:r w:rsidRPr="00F54737">
        <w:rPr>
          <w:rFonts w:ascii="Arial" w:cs="Arial"/>
        </w:rPr>
        <w:t>Tollefson, J. (2021, January 15). COVID curbed carbon emissions in 2020 - but not by much. https://www.nature.com/articles/d41586-021-00090-3</w:t>
      </w:r>
    </w:p>
    <w:p w14:paraId="1AE8F888" w14:textId="77777777" w:rsidR="00F54737" w:rsidRPr="00F54737" w:rsidRDefault="00F54737" w:rsidP="00F54737">
      <w:pPr>
        <w:pStyle w:val="Bibliography"/>
        <w:rPr>
          <w:rFonts w:ascii="Arial" w:cs="Arial"/>
        </w:rPr>
      </w:pPr>
      <w:r w:rsidRPr="00673513">
        <w:rPr>
          <w:rFonts w:ascii="Arial" w:cs="Arial"/>
          <w:lang w:val="de-DE"/>
        </w:rPr>
        <w:t xml:space="preserve">Bock, A.-K. &amp; Krysztofowicz, M. (2021). </w:t>
      </w:r>
      <w:r w:rsidRPr="00F54737">
        <w:rPr>
          <w:rFonts w:ascii="Arial" w:cs="Arial"/>
        </w:rPr>
        <w:t>Scenarios for EU rural areas. Contribution to European Commission’s long-term vision for rural areas. Publications Office of the European Union.</w:t>
      </w:r>
    </w:p>
    <w:p w14:paraId="769345E8" w14:textId="77777777" w:rsidR="00F54737" w:rsidRPr="00F54737" w:rsidRDefault="00F54737" w:rsidP="00F54737">
      <w:pPr>
        <w:pStyle w:val="Bibliography"/>
        <w:rPr>
          <w:rFonts w:ascii="Arial" w:cs="Arial"/>
        </w:rPr>
      </w:pPr>
      <w:r w:rsidRPr="00F54737">
        <w:rPr>
          <w:rFonts w:ascii="Arial" w:cs="Arial"/>
        </w:rPr>
        <w:t xml:space="preserve">European Commission. (2021c). </w:t>
      </w:r>
      <w:r w:rsidRPr="00F54737">
        <w:rPr>
          <w:rFonts w:ascii="Arial" w:cs="Arial"/>
          <w:i/>
          <w:iCs/>
        </w:rPr>
        <w:t>Industry 5.0. Towards a sustainable, human-centric and resilient European industry.</w:t>
      </w:r>
    </w:p>
    <w:p w14:paraId="0AEDC095" w14:textId="77777777" w:rsidR="00F54737" w:rsidRPr="00F54737" w:rsidRDefault="00F54737" w:rsidP="00F54737">
      <w:pPr>
        <w:pStyle w:val="Bibliography"/>
        <w:rPr>
          <w:rFonts w:ascii="Arial" w:cs="Arial"/>
        </w:rPr>
      </w:pPr>
      <w:r w:rsidRPr="00F54737">
        <w:rPr>
          <w:rFonts w:ascii="Arial" w:cs="Arial"/>
        </w:rPr>
        <w:t xml:space="preserve">European Commission. (2021d). </w:t>
      </w:r>
      <w:r w:rsidRPr="00F54737">
        <w:rPr>
          <w:rFonts w:ascii="Arial" w:cs="Arial"/>
          <w:i/>
          <w:iCs/>
        </w:rPr>
        <w:t>Regional impacts of the COVID-19 crisis on the tourist sector. Final Report.</w:t>
      </w:r>
    </w:p>
    <w:p w14:paraId="5E01CBCD" w14:textId="77777777" w:rsidR="00F54737" w:rsidRPr="00F54737" w:rsidRDefault="00F54737" w:rsidP="00F54737">
      <w:pPr>
        <w:pStyle w:val="Bibliography"/>
        <w:rPr>
          <w:rFonts w:ascii="Arial" w:cs="Arial"/>
        </w:rPr>
      </w:pPr>
      <w:r w:rsidRPr="00F54737">
        <w:rPr>
          <w:rFonts w:ascii="Arial" w:cs="Arial"/>
        </w:rPr>
        <w:t xml:space="preserve">European Commission. DG Research and Innovation. (2021). </w:t>
      </w:r>
      <w:r w:rsidRPr="00F54737">
        <w:rPr>
          <w:rFonts w:ascii="Arial" w:cs="Arial"/>
          <w:i/>
          <w:iCs/>
        </w:rPr>
        <w:t>Strategic Foresight in the Western Balkans: Recovery on the Horizon</w:t>
      </w:r>
      <w:r w:rsidRPr="00F54737">
        <w:rPr>
          <w:rFonts w:ascii="Arial" w:cs="Arial"/>
        </w:rPr>
        <w:t xml:space="preserve"> (Foresight).</w:t>
      </w:r>
    </w:p>
    <w:p w14:paraId="05F44FBE" w14:textId="77777777" w:rsidR="00F54737" w:rsidRPr="00F54737" w:rsidRDefault="00F54737" w:rsidP="00F54737">
      <w:pPr>
        <w:pStyle w:val="Bibliography"/>
        <w:rPr>
          <w:rFonts w:ascii="Arial" w:cs="Arial"/>
        </w:rPr>
      </w:pPr>
      <w:r w:rsidRPr="00F54737">
        <w:rPr>
          <w:rFonts w:ascii="Arial" w:cs="Arial"/>
        </w:rPr>
        <w:t xml:space="preserve">Fritsche, U., Brunori, G., Chiaramonti, D., Galanakis, C., Matthews, R. &amp; Panoutsou, C. (2021). </w:t>
      </w:r>
      <w:r w:rsidRPr="00F54737">
        <w:rPr>
          <w:rFonts w:ascii="Arial" w:cs="Arial"/>
          <w:i/>
          <w:iCs/>
        </w:rPr>
        <w:t>Future transitions for the bioeconomy towards sustainable development and a climate-neutral economy: foresight scenarios for the EU bioeconomy in 2050.</w:t>
      </w:r>
      <w:r w:rsidRPr="00F54737">
        <w:rPr>
          <w:rFonts w:ascii="Arial" w:cs="Arial"/>
        </w:rPr>
        <w:t xml:space="preserve"> https://op.europa.eu/publication/manifestation_identifier/PUB_KJ0121001ENN</w:t>
      </w:r>
    </w:p>
    <w:p w14:paraId="08A3DE74" w14:textId="77777777" w:rsidR="00F54737" w:rsidRPr="00F54737" w:rsidRDefault="00F54737" w:rsidP="00F54737">
      <w:pPr>
        <w:pStyle w:val="Bibliography"/>
        <w:rPr>
          <w:rFonts w:ascii="Arial" w:cs="Arial"/>
        </w:rPr>
      </w:pPr>
      <w:r w:rsidRPr="00F54737">
        <w:rPr>
          <w:rFonts w:ascii="Arial" w:cs="Arial"/>
        </w:rPr>
        <w:t xml:space="preserve">Interreg Danube Transnational Programme &amp; Danube Region Strategy Mobility. (2021). </w:t>
      </w:r>
      <w:r w:rsidRPr="00F54737">
        <w:rPr>
          <w:rFonts w:ascii="Arial" w:cs="Arial"/>
          <w:i/>
          <w:iCs/>
        </w:rPr>
        <w:t>Transport infrastructure in the Danube region - Rail links. Project Report</w:t>
      </w:r>
      <w:r w:rsidRPr="00F54737">
        <w:rPr>
          <w:rFonts w:ascii="Arial" w:cs="Arial"/>
        </w:rPr>
        <w:t>.</w:t>
      </w:r>
    </w:p>
    <w:p w14:paraId="1199C4FC" w14:textId="77777777" w:rsidR="00F54737" w:rsidRPr="00F54737" w:rsidRDefault="00F54737" w:rsidP="00F54737">
      <w:pPr>
        <w:pStyle w:val="Bibliography"/>
        <w:rPr>
          <w:rFonts w:ascii="Arial" w:cs="Arial"/>
        </w:rPr>
      </w:pPr>
      <w:r w:rsidRPr="00F54737">
        <w:rPr>
          <w:rFonts w:ascii="Arial" w:cs="Arial"/>
        </w:rPr>
        <w:t xml:space="preserve">Joint Research Centre. (2021a). </w:t>
      </w:r>
      <w:r w:rsidRPr="00F54737">
        <w:rPr>
          <w:rFonts w:ascii="Arial" w:cs="Arial"/>
          <w:i/>
          <w:iCs/>
        </w:rPr>
        <w:t>Farmers of the Future</w:t>
      </w:r>
      <w:r w:rsidRPr="00F54737">
        <w:rPr>
          <w:rFonts w:ascii="Arial" w:cs="Arial"/>
        </w:rPr>
        <w:t>.</w:t>
      </w:r>
    </w:p>
    <w:p w14:paraId="5326BDE7" w14:textId="77777777" w:rsidR="00F54737" w:rsidRPr="00F54737" w:rsidRDefault="00F54737" w:rsidP="00F54737">
      <w:pPr>
        <w:pStyle w:val="Bibliography"/>
        <w:rPr>
          <w:rFonts w:ascii="Arial" w:cs="Arial"/>
        </w:rPr>
      </w:pPr>
      <w:r w:rsidRPr="00F54737">
        <w:rPr>
          <w:rFonts w:ascii="Arial" w:cs="Arial"/>
        </w:rPr>
        <w:t xml:space="preserve">Joint Research Centre. (2021b). </w:t>
      </w:r>
      <w:r w:rsidRPr="00F54737">
        <w:rPr>
          <w:rFonts w:ascii="Arial" w:cs="Arial"/>
          <w:i/>
          <w:iCs/>
        </w:rPr>
        <w:t>Loneliness in the EU Insights from surveys and online media data</w:t>
      </w:r>
      <w:r w:rsidRPr="00F54737">
        <w:rPr>
          <w:rFonts w:ascii="Arial" w:cs="Arial"/>
        </w:rPr>
        <w:t>.</w:t>
      </w:r>
    </w:p>
    <w:p w14:paraId="10503644" w14:textId="77777777" w:rsidR="00F54737" w:rsidRPr="00F54737" w:rsidRDefault="00F54737" w:rsidP="00F54737">
      <w:pPr>
        <w:pStyle w:val="Bibliography"/>
        <w:rPr>
          <w:rFonts w:ascii="Arial" w:cs="Arial"/>
        </w:rPr>
      </w:pPr>
      <w:r w:rsidRPr="00F54737">
        <w:rPr>
          <w:rFonts w:ascii="Arial" w:cs="Arial"/>
        </w:rPr>
        <w:t xml:space="preserve">Joint Research Centre. (2021c). </w:t>
      </w:r>
      <w:r w:rsidRPr="00F54737">
        <w:rPr>
          <w:rFonts w:ascii="Arial" w:cs="Arial"/>
          <w:i/>
          <w:iCs/>
        </w:rPr>
        <w:t>Shaping &amp; securing the EU’s open strategic autonomy by 2040 and beyond</w:t>
      </w:r>
      <w:r w:rsidRPr="00F54737">
        <w:rPr>
          <w:rFonts w:ascii="Arial" w:cs="Arial"/>
        </w:rPr>
        <w:t>.</w:t>
      </w:r>
    </w:p>
    <w:p w14:paraId="703E7F07" w14:textId="77777777" w:rsidR="00F54737" w:rsidRPr="00F54737" w:rsidRDefault="00F54737" w:rsidP="00F54737">
      <w:pPr>
        <w:pStyle w:val="Bibliography"/>
        <w:rPr>
          <w:rFonts w:ascii="Arial" w:cs="Arial"/>
        </w:rPr>
      </w:pPr>
      <w:r w:rsidRPr="00F54737">
        <w:rPr>
          <w:rFonts w:ascii="Arial" w:cs="Arial"/>
        </w:rPr>
        <w:t>National Intelligence council. (2021). Global trends 2040. https://www.dni.gov/index.php/gt2040-home</w:t>
      </w:r>
    </w:p>
    <w:p w14:paraId="289C35D1" w14:textId="77777777" w:rsidR="00F54737" w:rsidRPr="00F54737" w:rsidRDefault="00F54737" w:rsidP="00F54737">
      <w:pPr>
        <w:pStyle w:val="Bibliography"/>
        <w:rPr>
          <w:rFonts w:ascii="Arial" w:cs="Arial"/>
        </w:rPr>
      </w:pPr>
      <w:r w:rsidRPr="00F54737">
        <w:rPr>
          <w:rFonts w:ascii="Arial" w:cs="Arial"/>
        </w:rPr>
        <w:t xml:space="preserve">OECD. (2021b). </w:t>
      </w:r>
      <w:r w:rsidRPr="00F54737">
        <w:rPr>
          <w:rFonts w:ascii="Arial" w:cs="Arial"/>
          <w:i/>
          <w:iCs/>
        </w:rPr>
        <w:t>Government at a Glance 2021</w:t>
      </w:r>
      <w:r w:rsidRPr="00F54737">
        <w:rPr>
          <w:rFonts w:ascii="Arial" w:cs="Arial"/>
        </w:rPr>
        <w:t xml:space="preserve"> (OECD Publishing). Paris.</w:t>
      </w:r>
    </w:p>
    <w:p w14:paraId="0BC95996" w14:textId="77777777" w:rsidR="00F54737" w:rsidRPr="00F54737" w:rsidRDefault="00F54737" w:rsidP="00F54737">
      <w:pPr>
        <w:pStyle w:val="Bibliography"/>
        <w:rPr>
          <w:rFonts w:ascii="Arial" w:cs="Arial"/>
        </w:rPr>
      </w:pPr>
      <w:r w:rsidRPr="00F54737">
        <w:rPr>
          <w:rFonts w:ascii="Arial" w:cs="Arial"/>
        </w:rPr>
        <w:t>OECD/EC-JRC. (2021). Access and costs of education and health services: preparing the regions for demographic change. OECD rural studies, OECD publishing, Paris. https://doi.org/10.1787/4ab69cf3-en</w:t>
      </w:r>
    </w:p>
    <w:p w14:paraId="467E8DFB" w14:textId="77777777" w:rsidR="00F54737" w:rsidRPr="00F54737" w:rsidRDefault="00F54737" w:rsidP="00F54737">
      <w:pPr>
        <w:pStyle w:val="Bibliography"/>
        <w:rPr>
          <w:rFonts w:ascii="Arial" w:cs="Arial"/>
        </w:rPr>
      </w:pPr>
      <w:r w:rsidRPr="00F54737">
        <w:rPr>
          <w:rFonts w:ascii="Arial" w:cs="Arial"/>
        </w:rPr>
        <w:t>ESPON EGTC. (2020, December 9). Call for tenders. Terms of Reference. "Territorial Scenarios for the Danube and Adriatic Ionian Macro-regions (TEVI2050). Technical and Administrative Terms and Conditions.</w:t>
      </w:r>
    </w:p>
    <w:p w14:paraId="0019C2C2" w14:textId="77777777" w:rsidR="00F54737" w:rsidRPr="00F54737" w:rsidRDefault="00F54737" w:rsidP="00F54737">
      <w:pPr>
        <w:pStyle w:val="Bibliography"/>
        <w:rPr>
          <w:rFonts w:ascii="Arial" w:cs="Arial"/>
        </w:rPr>
      </w:pPr>
      <w:r w:rsidRPr="00F54737">
        <w:rPr>
          <w:rFonts w:ascii="Arial" w:cs="Arial"/>
        </w:rPr>
        <w:t>European Commission. (2020a, December 9). Communication from the Commission to the European Parliament, the Council, the European Economic and Social Committee and the Committee of the Regions. Sustainable and Smart Mobility Strategy - putting European transport on track for the future. COM(2020) 789 final.</w:t>
      </w:r>
    </w:p>
    <w:p w14:paraId="77514784" w14:textId="77777777" w:rsidR="00F54737" w:rsidRPr="00F54737" w:rsidRDefault="00F54737" w:rsidP="00F54737">
      <w:pPr>
        <w:pStyle w:val="Bibliography"/>
        <w:rPr>
          <w:rFonts w:ascii="Arial" w:cs="Arial"/>
        </w:rPr>
      </w:pPr>
      <w:r w:rsidRPr="00F54737">
        <w:rPr>
          <w:rFonts w:ascii="Arial" w:cs="Arial"/>
        </w:rPr>
        <w:t>Barbiroglio, E. (2020, March 30). Nature started healing even before lockdowns  - But we can now see the results for ourselves. https://www.forbes.com/sites/emanuelabarbiroglio/2020/03/30/nature-has-not-started-healing-when-people-have-been-forced-in-lockdown/?sh=5e186ed55f78</w:t>
      </w:r>
    </w:p>
    <w:p w14:paraId="04319842" w14:textId="77777777" w:rsidR="00F54737" w:rsidRPr="00F54737" w:rsidRDefault="00F54737" w:rsidP="00F54737">
      <w:pPr>
        <w:pStyle w:val="Bibliography"/>
        <w:rPr>
          <w:rFonts w:ascii="Arial" w:cs="Arial"/>
        </w:rPr>
      </w:pPr>
      <w:r w:rsidRPr="00F54737">
        <w:rPr>
          <w:rFonts w:ascii="Arial" w:cs="Arial"/>
        </w:rPr>
        <w:t>European Commission. (2020b, February). Shaping Europe’s Digital future.</w:t>
      </w:r>
    </w:p>
    <w:p w14:paraId="7DAABC1E" w14:textId="77777777" w:rsidR="00F54737" w:rsidRPr="00F54737" w:rsidRDefault="00F54737" w:rsidP="00F54737">
      <w:pPr>
        <w:pStyle w:val="Bibliography"/>
        <w:rPr>
          <w:rFonts w:ascii="Arial" w:cs="Arial"/>
        </w:rPr>
      </w:pPr>
      <w:r w:rsidRPr="00F54737">
        <w:rPr>
          <w:rFonts w:ascii="Arial" w:cs="Arial"/>
        </w:rPr>
        <w:t>European Commission. (2020c, February). What’s in it for me. Shaping Europe’s digital future.</w:t>
      </w:r>
    </w:p>
    <w:p w14:paraId="19FFC82E" w14:textId="77777777" w:rsidR="00F54737" w:rsidRPr="00F54737" w:rsidRDefault="00F54737" w:rsidP="00F54737">
      <w:pPr>
        <w:pStyle w:val="Bibliography"/>
        <w:rPr>
          <w:rFonts w:ascii="Arial" w:cs="Arial"/>
        </w:rPr>
      </w:pPr>
      <w:r w:rsidRPr="00F54737">
        <w:rPr>
          <w:rFonts w:ascii="Arial" w:cs="Arial"/>
        </w:rPr>
        <w:t xml:space="preserve">BBSR &amp; ESPON. (2020). </w:t>
      </w:r>
      <w:r w:rsidRPr="00F54737">
        <w:rPr>
          <w:rFonts w:ascii="Arial" w:cs="Arial"/>
          <w:i/>
          <w:iCs/>
        </w:rPr>
        <w:t>Atlas for the Territorial Agenda 2030: Maps on European Territorial Development</w:t>
      </w:r>
      <w:r w:rsidRPr="00F54737">
        <w:rPr>
          <w:rFonts w:ascii="Arial" w:cs="Arial"/>
        </w:rPr>
        <w:t>. Berlin: Federal Ministry fo the Interior, Building and Community.</w:t>
      </w:r>
    </w:p>
    <w:p w14:paraId="04AF5B2A" w14:textId="77777777" w:rsidR="00F54737" w:rsidRPr="00673513" w:rsidRDefault="00F54737" w:rsidP="00F54737">
      <w:pPr>
        <w:pStyle w:val="Bibliography"/>
        <w:rPr>
          <w:rFonts w:ascii="Arial" w:cs="Arial"/>
          <w:lang w:val="fr-FR"/>
        </w:rPr>
      </w:pPr>
      <w:r w:rsidRPr="00F54737">
        <w:rPr>
          <w:rFonts w:ascii="Arial" w:cs="Arial"/>
        </w:rPr>
        <w:t xml:space="preserve">Capello, R., Lenzi, C., Nausedaite, R. &amp; Romanainen, J. (2020). </w:t>
      </w:r>
      <w:r w:rsidRPr="00673513">
        <w:rPr>
          <w:rFonts w:ascii="Arial" w:cs="Arial"/>
          <w:i/>
          <w:iCs/>
          <w:lang w:val="fr-FR"/>
        </w:rPr>
        <w:t>T4 – Territorial Trends in Technological Transformations</w:t>
      </w:r>
      <w:r w:rsidRPr="00673513">
        <w:rPr>
          <w:rFonts w:ascii="Arial" w:cs="Arial"/>
          <w:lang w:val="fr-FR"/>
        </w:rPr>
        <w:t>. ESPON EGTC.</w:t>
      </w:r>
    </w:p>
    <w:p w14:paraId="5649148D" w14:textId="77777777" w:rsidR="00F54737" w:rsidRPr="00F54737" w:rsidRDefault="00F54737" w:rsidP="00F54737">
      <w:pPr>
        <w:pStyle w:val="Bibliography"/>
        <w:rPr>
          <w:rFonts w:ascii="Arial" w:cs="Arial"/>
        </w:rPr>
      </w:pPr>
      <w:r w:rsidRPr="00F54737">
        <w:rPr>
          <w:rFonts w:ascii="Arial" w:cs="Arial"/>
        </w:rPr>
        <w:t xml:space="preserve">CESCI. (2020). </w:t>
      </w:r>
      <w:r w:rsidRPr="00F54737">
        <w:rPr>
          <w:rFonts w:ascii="Arial" w:cs="Arial"/>
          <w:i/>
          <w:iCs/>
        </w:rPr>
        <w:t>Analysis of territorial challenges, needs and potentials of the Danube region and strategic options in view of the transnational cooperaiton for the period 2021-2027</w:t>
      </w:r>
      <w:r w:rsidRPr="00F54737">
        <w:rPr>
          <w:rFonts w:ascii="Arial" w:cs="Arial"/>
        </w:rPr>
        <w:t>.</w:t>
      </w:r>
    </w:p>
    <w:p w14:paraId="4CA64B33" w14:textId="77777777" w:rsidR="00F54737" w:rsidRPr="00F54737" w:rsidRDefault="00F54737" w:rsidP="00F54737">
      <w:pPr>
        <w:pStyle w:val="Bibliography"/>
        <w:rPr>
          <w:rFonts w:ascii="Arial" w:cs="Arial"/>
        </w:rPr>
      </w:pPr>
      <w:r w:rsidRPr="00F54737">
        <w:rPr>
          <w:rFonts w:ascii="Arial" w:cs="Arial"/>
        </w:rPr>
        <w:t>COM(2020) 380 final. (2020). EU Biodiversity Strategy for 2030 Bringing nature back into our lives. COMMUNICATION FROM THE COMMISSION TO THE EUROPEAN PARLIAMENT, THE COUNCIL, THE EUROPEAN ECONOMIC AND SOCIAL COMMITTEE AND THE COMMITTEE OF THE REGIONS. https://eur-lex.europa.eu/resource.html?uri=cellar:a3c806a6-9ab3-11ea-9d2d-01aa75ed71a1.0001.02/DOC_1&amp;format=PDF</w:t>
      </w:r>
    </w:p>
    <w:p w14:paraId="229FC589" w14:textId="77777777" w:rsidR="00F54737" w:rsidRPr="00F54737" w:rsidRDefault="00F54737" w:rsidP="00F54737">
      <w:pPr>
        <w:pStyle w:val="Bibliography"/>
        <w:rPr>
          <w:rFonts w:ascii="Arial" w:cs="Arial"/>
        </w:rPr>
      </w:pPr>
      <w:r w:rsidRPr="00F54737">
        <w:rPr>
          <w:rFonts w:ascii="Arial" w:cs="Arial"/>
        </w:rPr>
        <w:t>DanubeParks. (2020). Danube Parks Members. https://danubeparks.org/#members</w:t>
      </w:r>
    </w:p>
    <w:p w14:paraId="6669E2B9" w14:textId="77777777" w:rsidR="00F54737" w:rsidRPr="00F54737" w:rsidRDefault="00F54737" w:rsidP="00F54737">
      <w:pPr>
        <w:pStyle w:val="Bibliography"/>
        <w:rPr>
          <w:rFonts w:ascii="Arial" w:cs="Arial"/>
        </w:rPr>
      </w:pPr>
      <w:r w:rsidRPr="00F54737">
        <w:rPr>
          <w:rFonts w:ascii="Arial" w:cs="Arial"/>
        </w:rPr>
        <w:t>DG MOVE. (2020). TENtec Interactive Map Viewer [TENtec Geographic Information System]. https://ec.europa.eu/transport/infrastructure/tentec/tentec-portal/map/maps.html</w:t>
      </w:r>
    </w:p>
    <w:p w14:paraId="072BB7C4" w14:textId="77777777" w:rsidR="00F54737" w:rsidRPr="00F54737" w:rsidRDefault="00F54737" w:rsidP="00F54737">
      <w:pPr>
        <w:pStyle w:val="Bibliography"/>
        <w:rPr>
          <w:rFonts w:ascii="Arial" w:cs="Arial"/>
        </w:rPr>
      </w:pPr>
      <w:r w:rsidRPr="00F54737">
        <w:rPr>
          <w:rFonts w:ascii="Arial" w:cs="Arial"/>
        </w:rPr>
        <w:t>DHL. (2020). E-Commerce is growing. Are you growing with it?</w:t>
      </w:r>
    </w:p>
    <w:p w14:paraId="3335848A" w14:textId="77777777" w:rsidR="00F54737" w:rsidRPr="00F54737" w:rsidRDefault="00F54737" w:rsidP="00F54737">
      <w:pPr>
        <w:pStyle w:val="Bibliography"/>
        <w:rPr>
          <w:rFonts w:ascii="Arial" w:cs="Arial"/>
        </w:rPr>
      </w:pPr>
      <w:r w:rsidRPr="00F54737">
        <w:rPr>
          <w:rFonts w:ascii="Arial" w:cs="Arial"/>
        </w:rPr>
        <w:t xml:space="preserve">ESPON. (2020a). </w:t>
      </w:r>
      <w:r w:rsidRPr="00F54737">
        <w:rPr>
          <w:rFonts w:ascii="Arial" w:cs="Arial"/>
          <w:i/>
          <w:iCs/>
        </w:rPr>
        <w:t>ESPON QoL - Quality of Life Measurements and Methodology. Final Report.</w:t>
      </w:r>
      <w:r w:rsidRPr="00F54737">
        <w:rPr>
          <w:rFonts w:ascii="Arial" w:cs="Arial"/>
        </w:rPr>
        <w:t xml:space="preserve"> Luxembourg: ESPON EGTC.</w:t>
      </w:r>
    </w:p>
    <w:p w14:paraId="272A6DAA" w14:textId="77777777" w:rsidR="00F54737" w:rsidRPr="00F54737" w:rsidRDefault="00F54737" w:rsidP="00F54737">
      <w:pPr>
        <w:pStyle w:val="Bibliography"/>
        <w:rPr>
          <w:rFonts w:ascii="Arial" w:cs="Arial"/>
        </w:rPr>
      </w:pPr>
      <w:r w:rsidRPr="00F54737">
        <w:rPr>
          <w:rFonts w:ascii="Arial" w:cs="Arial"/>
        </w:rPr>
        <w:t xml:space="preserve">ESPON. (2020b). </w:t>
      </w:r>
      <w:r w:rsidRPr="00F54737">
        <w:rPr>
          <w:rFonts w:ascii="Arial" w:cs="Arial"/>
          <w:i/>
          <w:iCs/>
        </w:rPr>
        <w:t>European Monitoring Tool for Macro-regions (EMTM)</w:t>
      </w:r>
      <w:r w:rsidRPr="00F54737">
        <w:rPr>
          <w:rFonts w:ascii="Arial" w:cs="Arial"/>
        </w:rPr>
        <w:t>. https://mrs.espon.eu/index.html</w:t>
      </w:r>
    </w:p>
    <w:p w14:paraId="21BDC9D5" w14:textId="77777777" w:rsidR="00F54737" w:rsidRPr="00F54737" w:rsidRDefault="00F54737" w:rsidP="00F54737">
      <w:pPr>
        <w:pStyle w:val="Bibliography"/>
        <w:rPr>
          <w:rFonts w:ascii="Arial" w:cs="Arial"/>
        </w:rPr>
      </w:pPr>
      <w:r w:rsidRPr="00F54737">
        <w:rPr>
          <w:rFonts w:ascii="Arial" w:cs="Arial"/>
        </w:rPr>
        <w:t xml:space="preserve">European Commission. (2020d). </w:t>
      </w:r>
      <w:r w:rsidRPr="00F54737">
        <w:rPr>
          <w:rFonts w:ascii="Arial" w:cs="Arial"/>
          <w:i/>
          <w:iCs/>
        </w:rPr>
        <w:t>Action Plan replacing Staff Working Document SEC(2010) 1489 final accompanying the Communication from the Commission to the European Parliament, the Council, the European Economic and Social Committee and the Committee of the Regions. European Union Strategy for Danube Region</w:t>
      </w:r>
      <w:r w:rsidRPr="00F54737">
        <w:rPr>
          <w:rFonts w:ascii="Arial" w:cs="Arial"/>
        </w:rPr>
        <w:t xml:space="preserve"> (Staff Working Document). Brussels.</w:t>
      </w:r>
    </w:p>
    <w:p w14:paraId="08F4B744" w14:textId="77777777" w:rsidR="00F54737" w:rsidRPr="00F54737" w:rsidRDefault="00F54737" w:rsidP="00F54737">
      <w:pPr>
        <w:pStyle w:val="Bibliography"/>
        <w:rPr>
          <w:rFonts w:ascii="Arial" w:cs="Arial"/>
        </w:rPr>
      </w:pPr>
      <w:r w:rsidRPr="00F54737">
        <w:rPr>
          <w:rFonts w:ascii="Arial" w:cs="Arial"/>
        </w:rPr>
        <w:t xml:space="preserve">European Commission. (2020e). </w:t>
      </w:r>
      <w:r w:rsidRPr="00F54737">
        <w:rPr>
          <w:rFonts w:ascii="Arial" w:cs="Arial"/>
          <w:i/>
          <w:iCs/>
        </w:rPr>
        <w:t>Commission Staff Working Document. Guidelines for the Implementation of the Green Agenda for the Western Balkans. Accompanying the Communication from the Commission to the European Parliament, the Council, the European Economic and Social Committee and the Committee of the Regions, An Economic and Investment Plan for the Western balkans. (COM 2020 641 final)</w:t>
      </w:r>
      <w:r w:rsidRPr="00F54737">
        <w:rPr>
          <w:rFonts w:ascii="Arial" w:cs="Arial"/>
        </w:rPr>
        <w:t>.</w:t>
      </w:r>
    </w:p>
    <w:p w14:paraId="2F2758BD" w14:textId="77777777" w:rsidR="00F54737" w:rsidRPr="00F54737" w:rsidRDefault="00F54737" w:rsidP="00F54737">
      <w:pPr>
        <w:pStyle w:val="Bibliography"/>
        <w:rPr>
          <w:rFonts w:ascii="Arial" w:cs="Arial"/>
        </w:rPr>
      </w:pPr>
      <w:r w:rsidRPr="00F54737">
        <w:rPr>
          <w:rFonts w:ascii="Arial" w:cs="Arial"/>
        </w:rPr>
        <w:t>European Commission. (2020f). Communication from the Commission to the European Parliament, the Council, the European Economic and Social Committee and the Committee of the Regions. A Farm to Fork Strategy for a fair, healthy and environmentally-friendly food system. https://ec.europa.eu/food/farm2fork_en</w:t>
      </w:r>
    </w:p>
    <w:p w14:paraId="13840482" w14:textId="77777777" w:rsidR="00F54737" w:rsidRPr="00F54737" w:rsidRDefault="00F54737" w:rsidP="00F54737">
      <w:pPr>
        <w:pStyle w:val="Bibliography"/>
        <w:rPr>
          <w:rFonts w:ascii="Arial" w:cs="Arial"/>
        </w:rPr>
      </w:pPr>
      <w:r w:rsidRPr="00F54737">
        <w:rPr>
          <w:rFonts w:ascii="Arial" w:cs="Arial"/>
        </w:rPr>
        <w:t xml:space="preserve">European Commission. (2020g). </w:t>
      </w:r>
      <w:r w:rsidRPr="00F54737">
        <w:rPr>
          <w:rFonts w:ascii="Arial" w:cs="Arial"/>
          <w:i/>
          <w:iCs/>
        </w:rPr>
        <w:t>Report from the Commission to the European Parliament, the Council, the European Economic and Social Committee and the Committee of the Regions on the implementation of EU macro-regional strategies. {SWD(2020) 186 final}</w:t>
      </w:r>
      <w:r w:rsidRPr="00F54737">
        <w:rPr>
          <w:rFonts w:ascii="Arial" w:cs="Arial"/>
        </w:rPr>
        <w:t xml:space="preserve"> (COM(2020) 578 final).</w:t>
      </w:r>
    </w:p>
    <w:p w14:paraId="4AADAB65" w14:textId="77777777" w:rsidR="00F54737" w:rsidRPr="00F54737" w:rsidRDefault="00F54737" w:rsidP="00F54737">
      <w:pPr>
        <w:pStyle w:val="Bibliography"/>
        <w:rPr>
          <w:rFonts w:ascii="Arial" w:cs="Arial"/>
        </w:rPr>
      </w:pPr>
      <w:r w:rsidRPr="00F54737">
        <w:rPr>
          <w:rFonts w:ascii="Arial" w:cs="Arial"/>
        </w:rPr>
        <w:t xml:space="preserve">Eurostat. (2020a). </w:t>
      </w:r>
      <w:r w:rsidRPr="00F54737">
        <w:rPr>
          <w:rFonts w:ascii="Arial" w:cs="Arial"/>
          <w:i/>
          <w:iCs/>
        </w:rPr>
        <w:t>Eurostat regional yearbook: 2020 edition.</w:t>
      </w:r>
      <w:r w:rsidRPr="00F54737">
        <w:rPr>
          <w:rFonts w:ascii="Arial" w:cs="Arial"/>
        </w:rPr>
        <w:t xml:space="preserve"> Luxembourg: Publications Office of the European Union. https://data.europa.eu/doi/10.2785/98733</w:t>
      </w:r>
    </w:p>
    <w:p w14:paraId="03951611" w14:textId="77777777" w:rsidR="00F54737" w:rsidRPr="00F54737" w:rsidRDefault="00F54737" w:rsidP="00F54737">
      <w:pPr>
        <w:pStyle w:val="Bibliography"/>
        <w:rPr>
          <w:rFonts w:ascii="Arial" w:cs="Arial"/>
        </w:rPr>
      </w:pPr>
      <w:r w:rsidRPr="00F54737">
        <w:rPr>
          <w:rFonts w:ascii="Arial" w:cs="Arial"/>
        </w:rPr>
        <w:t>Eurostat. (2020b). Share of households with broadband use (as % of all households, 2019 data).</w:t>
      </w:r>
    </w:p>
    <w:p w14:paraId="097C2B86" w14:textId="77777777" w:rsidR="00F54737" w:rsidRPr="00F54737" w:rsidRDefault="00F54737" w:rsidP="00F54737">
      <w:pPr>
        <w:pStyle w:val="Bibliography"/>
        <w:rPr>
          <w:rFonts w:ascii="Arial" w:cs="Arial"/>
        </w:rPr>
      </w:pPr>
      <w:r w:rsidRPr="00F54737">
        <w:rPr>
          <w:rFonts w:ascii="Arial" w:cs="Arial"/>
        </w:rPr>
        <w:t xml:space="preserve">Ghiran, A., Hakami, A., Bontoux, L. &amp; Scapolo, F. (2020). </w:t>
      </w:r>
      <w:r w:rsidRPr="00F54737">
        <w:rPr>
          <w:rFonts w:ascii="Arial" w:cs="Arial"/>
          <w:i/>
          <w:iCs/>
        </w:rPr>
        <w:t>The Future of Customs in the EU 2040: A foresight project for EU policy</w:t>
      </w:r>
      <w:r w:rsidRPr="00F54737">
        <w:rPr>
          <w:rFonts w:ascii="Arial" w:cs="Arial"/>
        </w:rPr>
        <w:t>. Joint Research Centre.</w:t>
      </w:r>
    </w:p>
    <w:p w14:paraId="7B9E60A2" w14:textId="77777777" w:rsidR="00F54737" w:rsidRPr="00F54737" w:rsidRDefault="00F54737" w:rsidP="00F54737">
      <w:pPr>
        <w:pStyle w:val="Bibliography"/>
        <w:rPr>
          <w:rFonts w:ascii="Arial" w:cs="Arial"/>
        </w:rPr>
      </w:pPr>
      <w:r w:rsidRPr="00F54737">
        <w:rPr>
          <w:rFonts w:ascii="Arial" w:cs="Arial"/>
        </w:rPr>
        <w:t xml:space="preserve">REKK. (2020). </w:t>
      </w:r>
      <w:r w:rsidRPr="00F54737">
        <w:rPr>
          <w:rFonts w:ascii="Arial" w:cs="Arial"/>
          <w:i/>
          <w:iCs/>
        </w:rPr>
        <w:t>National Energy and Climate Plans in the Danube Region</w:t>
      </w:r>
      <w:r w:rsidRPr="00F54737">
        <w:rPr>
          <w:rFonts w:ascii="Arial" w:cs="Arial"/>
        </w:rPr>
        <w:t>.</w:t>
      </w:r>
    </w:p>
    <w:p w14:paraId="05EE2675" w14:textId="77777777" w:rsidR="00F54737" w:rsidRPr="00F54737" w:rsidRDefault="00F54737" w:rsidP="00F54737">
      <w:pPr>
        <w:pStyle w:val="Bibliography"/>
        <w:rPr>
          <w:rFonts w:ascii="Arial" w:cs="Arial"/>
        </w:rPr>
      </w:pPr>
      <w:r w:rsidRPr="00F54737">
        <w:rPr>
          <w:rFonts w:ascii="Arial" w:cs="Arial"/>
        </w:rPr>
        <w:t xml:space="preserve">Rodríguez-Pose, A. (2020). The Rise of Populism and the Revenge of the Places That Don’t Matter. </w:t>
      </w:r>
      <w:r w:rsidRPr="00F54737">
        <w:rPr>
          <w:rFonts w:ascii="Arial" w:cs="Arial"/>
          <w:i/>
          <w:iCs/>
        </w:rPr>
        <w:t>LSE Public Policy Review</w:t>
      </w:r>
      <w:r w:rsidRPr="00F54737">
        <w:rPr>
          <w:rFonts w:ascii="Arial" w:cs="Arial"/>
        </w:rPr>
        <w:t xml:space="preserve">, </w:t>
      </w:r>
      <w:r w:rsidRPr="00F54737">
        <w:rPr>
          <w:rFonts w:ascii="Arial" w:cs="Arial"/>
          <w:i/>
          <w:iCs/>
        </w:rPr>
        <w:t>1</w:t>
      </w:r>
      <w:r w:rsidRPr="00F54737">
        <w:rPr>
          <w:rFonts w:ascii="Arial" w:cs="Arial"/>
        </w:rPr>
        <w:t>(1), p.4. http://doi.org/10.31389/lseppr.4</w:t>
      </w:r>
    </w:p>
    <w:p w14:paraId="1C4616DF" w14:textId="77777777" w:rsidR="00F54737" w:rsidRPr="00F54737" w:rsidRDefault="00F54737" w:rsidP="00F54737">
      <w:pPr>
        <w:pStyle w:val="Bibliography"/>
        <w:rPr>
          <w:rFonts w:ascii="Arial" w:cs="Arial"/>
        </w:rPr>
      </w:pPr>
      <w:r w:rsidRPr="00F54737">
        <w:rPr>
          <w:rFonts w:ascii="Arial" w:cs="Arial"/>
        </w:rPr>
        <w:t xml:space="preserve">SITA-SOGES &amp; Osservatorio Balcani Caucaso Transeuropa. (2020). </w:t>
      </w:r>
      <w:r w:rsidRPr="00F54737">
        <w:rPr>
          <w:rFonts w:ascii="Arial" w:cs="Arial"/>
          <w:i/>
          <w:iCs/>
        </w:rPr>
        <w:t>Analysis of the territorial challenges, needs and potentials of the Adriatic-Ionian region and strategic options for post-2020 ADRION Programme</w:t>
      </w:r>
      <w:r w:rsidRPr="00F54737">
        <w:rPr>
          <w:rFonts w:ascii="Arial" w:cs="Arial"/>
        </w:rPr>
        <w:t>.</w:t>
      </w:r>
    </w:p>
    <w:p w14:paraId="47E81D9C" w14:textId="77777777" w:rsidR="00F54737" w:rsidRPr="00F54737" w:rsidRDefault="00F54737" w:rsidP="00F54737">
      <w:pPr>
        <w:pStyle w:val="Bibliography"/>
        <w:rPr>
          <w:rFonts w:ascii="Arial" w:cs="Arial"/>
        </w:rPr>
      </w:pPr>
      <w:r w:rsidRPr="00F54737">
        <w:rPr>
          <w:rFonts w:ascii="Arial" w:cs="Arial"/>
        </w:rPr>
        <w:t xml:space="preserve">Territorial Agenda. (2020). </w:t>
      </w:r>
      <w:r w:rsidRPr="00F54737">
        <w:rPr>
          <w:rFonts w:ascii="Arial" w:cs="Arial"/>
          <w:i/>
          <w:iCs/>
        </w:rPr>
        <w:t>Territorial Agenda 2030: A future for all places</w:t>
      </w:r>
      <w:r w:rsidRPr="00F54737">
        <w:rPr>
          <w:rFonts w:ascii="Arial" w:cs="Arial"/>
        </w:rPr>
        <w:t>. Berlin: Ministerial meeting of the EU under the German presidency of the Federal Ministry of the Interior, Building and Community. www.territorialagenda.eu</w:t>
      </w:r>
    </w:p>
    <w:p w14:paraId="2EC4D725" w14:textId="77777777" w:rsidR="00F54737" w:rsidRPr="00F54737" w:rsidRDefault="00F54737" w:rsidP="00F54737">
      <w:pPr>
        <w:pStyle w:val="Bibliography"/>
        <w:rPr>
          <w:rFonts w:ascii="Arial" w:cs="Arial"/>
        </w:rPr>
      </w:pPr>
      <w:r w:rsidRPr="00F54737">
        <w:rPr>
          <w:rFonts w:ascii="Arial" w:cs="Arial"/>
        </w:rPr>
        <w:t>World Economic Forum. (2019, June). Top 10 Emerging Technologies 2019.</w:t>
      </w:r>
    </w:p>
    <w:p w14:paraId="507E6861" w14:textId="77777777" w:rsidR="00F54737" w:rsidRPr="00F54737" w:rsidRDefault="00F54737" w:rsidP="00F54737">
      <w:pPr>
        <w:pStyle w:val="Bibliography"/>
        <w:rPr>
          <w:rFonts w:ascii="Arial" w:cs="Arial"/>
        </w:rPr>
      </w:pPr>
      <w:r w:rsidRPr="00F54737">
        <w:rPr>
          <w:rFonts w:ascii="Arial" w:cs="Arial"/>
        </w:rPr>
        <w:t>Council of the European Union. (2019, May 10). Council conclusions on the implementation of EU Macro-regional Strategies.</w:t>
      </w:r>
    </w:p>
    <w:p w14:paraId="1C772516" w14:textId="77777777" w:rsidR="00F54737" w:rsidRPr="00F54737" w:rsidRDefault="00F54737" w:rsidP="00F54737">
      <w:pPr>
        <w:pStyle w:val="Bibliography"/>
        <w:rPr>
          <w:rFonts w:ascii="Arial" w:cs="Arial"/>
        </w:rPr>
      </w:pPr>
      <w:r w:rsidRPr="00F54737">
        <w:rPr>
          <w:rFonts w:ascii="Arial" w:cs="Arial"/>
        </w:rPr>
        <w:t xml:space="preserve">Domenech, T., Bleischwitz, R., Doranova, A., Panayotopoulos, D. &amp; Roman, L. (2019). Mapping industrial symbiosis development in Europe_typologies of networks, characteristics, performance and contribution to the Circular Economy. </w:t>
      </w:r>
      <w:r w:rsidRPr="00F54737">
        <w:rPr>
          <w:rFonts w:ascii="Arial" w:cs="Arial"/>
          <w:i/>
          <w:iCs/>
        </w:rPr>
        <w:t>Resources, Conservation and Recycling</w:t>
      </w:r>
      <w:r w:rsidRPr="00F54737">
        <w:rPr>
          <w:rFonts w:ascii="Arial" w:cs="Arial"/>
        </w:rPr>
        <w:t xml:space="preserve">, </w:t>
      </w:r>
      <w:r w:rsidRPr="00F54737">
        <w:rPr>
          <w:rFonts w:ascii="Arial" w:cs="Arial"/>
          <w:i/>
          <w:iCs/>
        </w:rPr>
        <w:t>141</w:t>
      </w:r>
      <w:r w:rsidRPr="00F54737">
        <w:rPr>
          <w:rFonts w:ascii="Arial" w:cs="Arial"/>
        </w:rPr>
        <w:t>, pp.76–98.</w:t>
      </w:r>
    </w:p>
    <w:p w14:paraId="21D67A49" w14:textId="77777777" w:rsidR="00F54737" w:rsidRPr="00F54737" w:rsidRDefault="00F54737" w:rsidP="00F54737">
      <w:pPr>
        <w:pStyle w:val="Bibliography"/>
        <w:rPr>
          <w:rFonts w:ascii="Arial" w:cs="Arial"/>
        </w:rPr>
      </w:pPr>
      <w:r w:rsidRPr="00F54737">
        <w:rPr>
          <w:rFonts w:ascii="Arial" w:cs="Arial"/>
        </w:rPr>
        <w:t xml:space="preserve">ESPON. (2019a). </w:t>
      </w:r>
      <w:r w:rsidRPr="00F54737">
        <w:rPr>
          <w:rFonts w:ascii="Arial" w:cs="Arial"/>
          <w:i/>
          <w:iCs/>
        </w:rPr>
        <w:t>BT2050 - Territorial Scenarios for the Baltic Sea Region 2050. Final Report.</w:t>
      </w:r>
    </w:p>
    <w:p w14:paraId="3C1E0C53" w14:textId="77777777" w:rsidR="00F54737" w:rsidRPr="00F54737" w:rsidRDefault="00F54737" w:rsidP="00F54737">
      <w:pPr>
        <w:pStyle w:val="Bibliography"/>
        <w:rPr>
          <w:rFonts w:ascii="Arial" w:cs="Arial"/>
        </w:rPr>
      </w:pPr>
      <w:r w:rsidRPr="00F54737">
        <w:rPr>
          <w:rFonts w:ascii="Arial" w:cs="Arial"/>
        </w:rPr>
        <w:t>ESPON. (2019b). State of the European Territory. ESPON EGTC. https://soet.espon.eu/#</w:t>
      </w:r>
    </w:p>
    <w:p w14:paraId="67CBA2C4" w14:textId="77777777" w:rsidR="00F54737" w:rsidRPr="00F54737" w:rsidRDefault="00F54737" w:rsidP="00F54737">
      <w:pPr>
        <w:pStyle w:val="Bibliography"/>
        <w:rPr>
          <w:rFonts w:ascii="Arial" w:cs="Arial"/>
        </w:rPr>
      </w:pPr>
      <w:r w:rsidRPr="00F54737">
        <w:rPr>
          <w:rFonts w:ascii="Arial" w:cs="Arial"/>
        </w:rPr>
        <w:t xml:space="preserve">European Commission. (2019a). </w:t>
      </w:r>
      <w:r w:rsidRPr="00F54737">
        <w:rPr>
          <w:rFonts w:ascii="Arial" w:cs="Arial"/>
          <w:i/>
          <w:iCs/>
        </w:rPr>
        <w:t>AI. The future of work? work of the future! On how artificial intelligence, robotics and automation are transforming jobs and the economy in Europe.</w:t>
      </w:r>
    </w:p>
    <w:p w14:paraId="0A303883" w14:textId="77777777" w:rsidR="00F54737" w:rsidRPr="00F54737" w:rsidRDefault="00F54737" w:rsidP="00F54737">
      <w:pPr>
        <w:pStyle w:val="Bibliography"/>
        <w:rPr>
          <w:rFonts w:ascii="Arial" w:cs="Arial"/>
        </w:rPr>
      </w:pPr>
      <w:r w:rsidRPr="00F54737">
        <w:rPr>
          <w:rFonts w:ascii="Arial" w:cs="Arial"/>
        </w:rPr>
        <w:t xml:space="preserve">European Commission. (2019b). </w:t>
      </w:r>
      <w:r w:rsidRPr="00F54737">
        <w:rPr>
          <w:rFonts w:ascii="Arial" w:cs="Arial"/>
          <w:i/>
          <w:iCs/>
        </w:rPr>
        <w:t>Communication from The Commission to The European Parliament, The European Council, The Council, The European Economic And Social Committee and The Committee Of The Regions.  The European Green Deal</w:t>
      </w:r>
      <w:r w:rsidRPr="00F54737">
        <w:rPr>
          <w:rFonts w:ascii="Arial" w:cs="Arial"/>
        </w:rPr>
        <w:t xml:space="preserve"> (Text No. COM(2019) 640 final). Brussels. https://ec.europa.eu/info/strategy/priorities-2019-2024/european-green-deal_en</w:t>
      </w:r>
    </w:p>
    <w:p w14:paraId="76F49E01" w14:textId="77777777" w:rsidR="00F54737" w:rsidRPr="00F54737" w:rsidRDefault="00F54737" w:rsidP="00F54737">
      <w:pPr>
        <w:pStyle w:val="Bibliography"/>
        <w:rPr>
          <w:rFonts w:ascii="Arial" w:cs="Arial"/>
        </w:rPr>
      </w:pPr>
      <w:r w:rsidRPr="00F54737">
        <w:rPr>
          <w:rFonts w:ascii="Arial" w:cs="Arial"/>
        </w:rPr>
        <w:t xml:space="preserve">European Committee of the Regions. (2019). </w:t>
      </w:r>
      <w:r w:rsidRPr="00F54737">
        <w:rPr>
          <w:rFonts w:ascii="Arial" w:cs="Arial"/>
          <w:i/>
          <w:iCs/>
        </w:rPr>
        <w:t>Territorial Impact Assessment. Climate Neutrality.</w:t>
      </w:r>
      <w:r w:rsidRPr="00F54737">
        <w:rPr>
          <w:rFonts w:ascii="Arial" w:cs="Arial"/>
        </w:rPr>
        <w:t xml:space="preserve"> Brussels.</w:t>
      </w:r>
    </w:p>
    <w:p w14:paraId="215E70D8" w14:textId="77777777" w:rsidR="00F54737" w:rsidRPr="00F54737" w:rsidRDefault="00F54737" w:rsidP="00F54737">
      <w:pPr>
        <w:pStyle w:val="Bibliography"/>
        <w:rPr>
          <w:rFonts w:ascii="Arial" w:cs="Arial"/>
        </w:rPr>
      </w:pPr>
      <w:r w:rsidRPr="00F54737">
        <w:rPr>
          <w:rFonts w:ascii="Arial" w:cs="Arial"/>
        </w:rPr>
        <w:t>Fehér, A. &amp; Mérő, T. (2019). Sustainable Energy Storage Innovations in Danube Region Countries for the EU-Goals of the Paris Climate Agreement. Ministry of Foreign Affairs and Trade of Hungary, Budapest.</w:t>
      </w:r>
    </w:p>
    <w:p w14:paraId="3F1BD846" w14:textId="77777777" w:rsidR="00F54737" w:rsidRPr="00F54737" w:rsidRDefault="00F54737" w:rsidP="00F54737">
      <w:pPr>
        <w:pStyle w:val="Bibliography"/>
        <w:rPr>
          <w:rFonts w:ascii="Arial" w:cs="Arial"/>
        </w:rPr>
      </w:pPr>
      <w:r w:rsidRPr="00F54737">
        <w:rPr>
          <w:rFonts w:ascii="Arial" w:cs="Arial"/>
        </w:rPr>
        <w:t xml:space="preserve">Joint Research Centre. (2019). </w:t>
      </w:r>
      <w:r w:rsidRPr="00F54737">
        <w:rPr>
          <w:rFonts w:ascii="Arial" w:cs="Arial"/>
          <w:i/>
          <w:iCs/>
        </w:rPr>
        <w:t>The changing nature of work. And skills in the digital age</w:t>
      </w:r>
      <w:r w:rsidRPr="00F54737">
        <w:rPr>
          <w:rFonts w:ascii="Arial" w:cs="Arial"/>
        </w:rPr>
        <w:t>. European Commission.</w:t>
      </w:r>
    </w:p>
    <w:p w14:paraId="2A44CC0C" w14:textId="77777777" w:rsidR="00F54737" w:rsidRPr="00F54737" w:rsidRDefault="00F54737" w:rsidP="00F54737">
      <w:pPr>
        <w:pStyle w:val="Bibliography"/>
        <w:rPr>
          <w:rFonts w:ascii="Arial" w:cs="Arial"/>
        </w:rPr>
      </w:pPr>
      <w:r w:rsidRPr="00F54737">
        <w:rPr>
          <w:rFonts w:ascii="Arial" w:cs="Arial"/>
        </w:rPr>
        <w:t xml:space="preserve">Sandberg, M., Klockars, K. &amp; Wilén, K. (2019). Green growth or degrowth? Assessing the normative justificaitons for environmental sustainability and economic growth through critical social theory. </w:t>
      </w:r>
      <w:r w:rsidRPr="00F54737">
        <w:rPr>
          <w:rFonts w:ascii="Arial" w:cs="Arial"/>
          <w:i/>
          <w:iCs/>
        </w:rPr>
        <w:t>Journal of Cleaner Production</w:t>
      </w:r>
      <w:r w:rsidRPr="00F54737">
        <w:rPr>
          <w:rFonts w:ascii="Arial" w:cs="Arial"/>
        </w:rPr>
        <w:t xml:space="preserve">, </w:t>
      </w:r>
      <w:r w:rsidRPr="00F54737">
        <w:rPr>
          <w:rFonts w:ascii="Arial" w:cs="Arial"/>
          <w:i/>
          <w:iCs/>
        </w:rPr>
        <w:t>2006</w:t>
      </w:r>
      <w:r w:rsidRPr="00F54737">
        <w:rPr>
          <w:rFonts w:ascii="Arial" w:cs="Arial"/>
        </w:rPr>
        <w:t>, pp.133–141.</w:t>
      </w:r>
    </w:p>
    <w:p w14:paraId="2C54C14D" w14:textId="77777777" w:rsidR="00F54737" w:rsidRPr="00F54737" w:rsidRDefault="00F54737" w:rsidP="00F54737">
      <w:pPr>
        <w:pStyle w:val="Bibliography"/>
        <w:rPr>
          <w:rFonts w:ascii="Arial" w:cs="Arial"/>
        </w:rPr>
      </w:pPr>
      <w:r w:rsidRPr="00F54737">
        <w:rPr>
          <w:rFonts w:ascii="Arial" w:cs="Arial"/>
        </w:rPr>
        <w:t>Tech4i2, Time.lex &amp; Jurjevic, D. (2019). Monitoring the Digital Economy and Electronic Communication Services in the Western Balkans and Turkey. European Commission, DG Communications Networks, Content, Technologgy. https://www.rcc.int/files/user/docs/3%20-%20DESI%202019.pdf</w:t>
      </w:r>
    </w:p>
    <w:p w14:paraId="4A8871C0" w14:textId="77777777" w:rsidR="00F54737" w:rsidRPr="00F54737" w:rsidRDefault="00F54737" w:rsidP="00F54737">
      <w:pPr>
        <w:pStyle w:val="Bibliography"/>
        <w:rPr>
          <w:rFonts w:ascii="Arial" w:cs="Arial"/>
        </w:rPr>
      </w:pPr>
      <w:r w:rsidRPr="00F54737">
        <w:rPr>
          <w:rFonts w:ascii="Arial" w:cs="Arial"/>
        </w:rPr>
        <w:t>European Commission. (2018a, June 25). European Commission launches Digital Agenda for the Western Balkans. Press Release.</w:t>
      </w:r>
    </w:p>
    <w:p w14:paraId="6F80B73A" w14:textId="77777777" w:rsidR="00F54737" w:rsidRPr="00F54737" w:rsidRDefault="00F54737" w:rsidP="00F54737">
      <w:pPr>
        <w:pStyle w:val="Bibliography"/>
        <w:rPr>
          <w:rFonts w:ascii="Arial" w:cs="Arial"/>
        </w:rPr>
      </w:pPr>
      <w:r w:rsidRPr="00F54737">
        <w:rPr>
          <w:rFonts w:ascii="Arial" w:cs="Arial"/>
        </w:rPr>
        <w:t xml:space="preserve">Alves Dias, Patricia, Kanellopoulos, Konstantinos, Medarac, Hrvoje, Kapteaki, Zoi, Miranda Barbosa, Edesio, Shortall, Ruth, &amp; Czako, Veronika. (2018). </w:t>
      </w:r>
      <w:r w:rsidRPr="00F54737">
        <w:rPr>
          <w:rFonts w:ascii="Arial" w:cs="Arial"/>
          <w:i/>
          <w:iCs/>
        </w:rPr>
        <w:t>EU coal regions: opportunities and challenges ahead</w:t>
      </w:r>
      <w:r w:rsidRPr="00F54737">
        <w:rPr>
          <w:rFonts w:ascii="Arial" w:cs="Arial"/>
        </w:rPr>
        <w:t xml:space="preserve"> (JRC Science for Policy Report No. EUR 29292 EN). Luxembourg. https://ec.europa.eu/jrc/en/publication/eur-scientific-and-technical-research-reports/eu-coal-regions-opportunities-and-challenges-ahead</w:t>
      </w:r>
    </w:p>
    <w:p w14:paraId="38021C2A" w14:textId="77777777" w:rsidR="00F54737" w:rsidRPr="00F54737" w:rsidRDefault="00F54737" w:rsidP="00F54737">
      <w:pPr>
        <w:pStyle w:val="Bibliography"/>
        <w:rPr>
          <w:rFonts w:ascii="Arial" w:cs="Arial"/>
        </w:rPr>
      </w:pPr>
      <w:r w:rsidRPr="00F54737">
        <w:rPr>
          <w:rFonts w:ascii="Arial" w:cs="Arial"/>
        </w:rPr>
        <w:t xml:space="preserve">Dijkstra, L., Poelman, H. &amp; Rodríguez-Pose, A. (2018). </w:t>
      </w:r>
      <w:r w:rsidRPr="00F54737">
        <w:rPr>
          <w:rFonts w:ascii="Arial" w:cs="Arial"/>
          <w:i/>
          <w:iCs/>
        </w:rPr>
        <w:t>The Geography of EU Discontent</w:t>
      </w:r>
      <w:r w:rsidRPr="00F54737">
        <w:rPr>
          <w:rFonts w:ascii="Arial" w:cs="Arial"/>
        </w:rPr>
        <w:t xml:space="preserve"> (Working Papers No. 12/2018). Luxembourg: Publications Office of the European Union. https://ec.europa.eu/regional_policy/sources/docgener/work/2018_02_geog_discontent.pdf</w:t>
      </w:r>
    </w:p>
    <w:p w14:paraId="43FF46E8" w14:textId="77777777" w:rsidR="00F54737" w:rsidRPr="00F54737" w:rsidRDefault="00F54737" w:rsidP="00F54737">
      <w:pPr>
        <w:pStyle w:val="Bibliography"/>
        <w:rPr>
          <w:rFonts w:ascii="Arial" w:cs="Arial"/>
        </w:rPr>
      </w:pPr>
      <w:r w:rsidRPr="00F54737">
        <w:rPr>
          <w:rFonts w:ascii="Arial" w:cs="Arial"/>
        </w:rPr>
        <w:t xml:space="preserve">ESPON. (2018a). </w:t>
      </w:r>
      <w:r w:rsidRPr="00F54737">
        <w:rPr>
          <w:rFonts w:ascii="Arial" w:cs="Arial"/>
          <w:i/>
          <w:iCs/>
        </w:rPr>
        <w:t>Possible European Territorial Futures. Volume B - The European Territory Today and Tomorrow</w:t>
      </w:r>
      <w:r w:rsidRPr="00F54737">
        <w:rPr>
          <w:rFonts w:ascii="Arial" w:cs="Arial"/>
        </w:rPr>
        <w:t>. Luxembourg. https://www.espon.eu/territorial-futures</w:t>
      </w:r>
    </w:p>
    <w:p w14:paraId="33500F58" w14:textId="77777777" w:rsidR="00F54737" w:rsidRPr="00F54737" w:rsidRDefault="00F54737" w:rsidP="00F54737">
      <w:pPr>
        <w:pStyle w:val="Bibliography"/>
        <w:rPr>
          <w:rFonts w:ascii="Arial" w:cs="Arial"/>
        </w:rPr>
      </w:pPr>
      <w:r w:rsidRPr="00F54737">
        <w:rPr>
          <w:rFonts w:ascii="Arial" w:cs="Arial"/>
        </w:rPr>
        <w:t xml:space="preserve">ESPON. (2018b). </w:t>
      </w:r>
      <w:r w:rsidRPr="00F54737">
        <w:rPr>
          <w:rFonts w:ascii="Arial" w:cs="Arial"/>
          <w:i/>
          <w:iCs/>
        </w:rPr>
        <w:t>Possible European Territorial Futures. Volume D – Place Based Circular Economy.</w:t>
      </w:r>
      <w:r w:rsidRPr="00F54737">
        <w:rPr>
          <w:rFonts w:ascii="Arial" w:cs="Arial"/>
        </w:rPr>
        <w:t xml:space="preserve"> Luxembourg: ESPON. https://www.espon.eu/territorial-futures</w:t>
      </w:r>
    </w:p>
    <w:p w14:paraId="21696D60" w14:textId="77777777" w:rsidR="00F54737" w:rsidRPr="00673513" w:rsidRDefault="00F54737" w:rsidP="00F54737">
      <w:pPr>
        <w:pStyle w:val="Bibliography"/>
        <w:rPr>
          <w:rFonts w:ascii="Arial" w:cs="Arial"/>
          <w:lang w:val="fr-FR"/>
        </w:rPr>
      </w:pPr>
      <w:r w:rsidRPr="00673513">
        <w:rPr>
          <w:rFonts w:ascii="Arial" w:cs="Arial"/>
          <w:lang w:val="fr-FR"/>
        </w:rPr>
        <w:t xml:space="preserve">ESPON. (2018c). </w:t>
      </w:r>
      <w:r w:rsidRPr="00673513">
        <w:rPr>
          <w:rFonts w:ascii="Arial" w:cs="Arial"/>
          <w:i/>
          <w:iCs/>
          <w:lang w:val="fr-FR"/>
        </w:rPr>
        <w:t>Possible European Territorial Futures. Volume E - 100% renewable energy</w:t>
      </w:r>
      <w:r w:rsidRPr="00673513">
        <w:rPr>
          <w:rFonts w:ascii="Arial" w:cs="Arial"/>
          <w:lang w:val="fr-FR"/>
        </w:rPr>
        <w:t>. Luxembourg.</w:t>
      </w:r>
    </w:p>
    <w:p w14:paraId="6495BD83" w14:textId="77777777" w:rsidR="00F54737" w:rsidRPr="00F54737" w:rsidRDefault="00F54737" w:rsidP="00F54737">
      <w:pPr>
        <w:pStyle w:val="Bibliography"/>
        <w:rPr>
          <w:rFonts w:ascii="Arial" w:cs="Arial"/>
        </w:rPr>
      </w:pPr>
      <w:r w:rsidRPr="00673513">
        <w:rPr>
          <w:rFonts w:ascii="Arial" w:cs="Arial"/>
          <w:lang w:val="fr-FR"/>
        </w:rPr>
        <w:t xml:space="preserve">ESPON. </w:t>
      </w:r>
      <w:r w:rsidRPr="00F54737">
        <w:rPr>
          <w:rFonts w:ascii="Arial" w:cs="Arial"/>
        </w:rPr>
        <w:t xml:space="preserve">(2018d). </w:t>
      </w:r>
      <w:r w:rsidRPr="00F54737">
        <w:rPr>
          <w:rFonts w:ascii="Arial" w:cs="Arial"/>
          <w:i/>
          <w:iCs/>
        </w:rPr>
        <w:t>Small and Medium-Sized Enterprises in European Regions and Cities. Final Report</w:t>
      </w:r>
      <w:r w:rsidRPr="00F54737">
        <w:rPr>
          <w:rFonts w:ascii="Arial" w:cs="Arial"/>
        </w:rPr>
        <w:t>.</w:t>
      </w:r>
    </w:p>
    <w:p w14:paraId="5F9428EC" w14:textId="77777777" w:rsidR="00F54737" w:rsidRPr="00F54737" w:rsidRDefault="00F54737" w:rsidP="00F54737">
      <w:pPr>
        <w:pStyle w:val="Bibliography"/>
        <w:rPr>
          <w:rFonts w:ascii="Arial" w:cs="Arial"/>
        </w:rPr>
      </w:pPr>
      <w:r w:rsidRPr="00F54737">
        <w:rPr>
          <w:rFonts w:ascii="Arial" w:cs="Arial"/>
        </w:rPr>
        <w:t xml:space="preserve">ESPON. (2018e). </w:t>
      </w:r>
      <w:r w:rsidRPr="00F54737">
        <w:rPr>
          <w:rFonts w:ascii="Arial" w:cs="Arial"/>
          <w:i/>
          <w:iCs/>
        </w:rPr>
        <w:t>Territories and low-carbon economy (ESPON Locate). Final Report.</w:t>
      </w:r>
      <w:r w:rsidRPr="00F54737">
        <w:rPr>
          <w:rFonts w:ascii="Arial" w:cs="Arial"/>
        </w:rPr>
        <w:t xml:space="preserve"> Luxembourg: ESPON EGTC.</w:t>
      </w:r>
    </w:p>
    <w:p w14:paraId="51F2D9DF" w14:textId="77777777" w:rsidR="00F54737" w:rsidRPr="00F54737" w:rsidRDefault="00F54737" w:rsidP="00F54737">
      <w:pPr>
        <w:pStyle w:val="Bibliography"/>
        <w:rPr>
          <w:rFonts w:ascii="Arial" w:cs="Arial"/>
        </w:rPr>
      </w:pPr>
      <w:r w:rsidRPr="00F54737">
        <w:rPr>
          <w:rFonts w:ascii="Arial" w:cs="Arial"/>
        </w:rPr>
        <w:t xml:space="preserve">ESPON. (2018f). </w:t>
      </w:r>
      <w:r w:rsidRPr="00F54737">
        <w:rPr>
          <w:rFonts w:ascii="Arial" w:cs="Arial"/>
          <w:i/>
          <w:iCs/>
        </w:rPr>
        <w:t>The Geography of New Employment Dynamics in Europe</w:t>
      </w:r>
      <w:r w:rsidRPr="00F54737">
        <w:rPr>
          <w:rFonts w:ascii="Arial" w:cs="Arial"/>
        </w:rPr>
        <w:t>. Luxembourg: ESPON EGTC. https://www.espon.eu/employment</w:t>
      </w:r>
    </w:p>
    <w:p w14:paraId="6C9D2EAE" w14:textId="77777777" w:rsidR="00F54737" w:rsidRPr="00F54737" w:rsidRDefault="00F54737" w:rsidP="00F54737">
      <w:pPr>
        <w:pStyle w:val="Bibliography"/>
        <w:rPr>
          <w:rFonts w:ascii="Arial" w:cs="Arial"/>
        </w:rPr>
      </w:pPr>
      <w:r w:rsidRPr="00F54737">
        <w:rPr>
          <w:rFonts w:ascii="Arial" w:cs="Arial"/>
        </w:rPr>
        <w:t xml:space="preserve">ESPON. (2018g). </w:t>
      </w:r>
      <w:r w:rsidRPr="00F54737">
        <w:rPr>
          <w:rFonts w:ascii="Arial" w:cs="Arial"/>
          <w:i/>
          <w:iCs/>
        </w:rPr>
        <w:t>The World in Europe, global FDI flows towards Europe. Extra-European FDI towards Europe</w:t>
      </w:r>
      <w:r w:rsidRPr="00F54737">
        <w:rPr>
          <w:rFonts w:ascii="Arial" w:cs="Arial"/>
        </w:rPr>
        <w:t>. Luxembourg: ESPON.</w:t>
      </w:r>
    </w:p>
    <w:p w14:paraId="6514ADEA" w14:textId="77777777" w:rsidR="00F54737" w:rsidRPr="00F54737" w:rsidRDefault="00F54737" w:rsidP="00F54737">
      <w:pPr>
        <w:pStyle w:val="Bibliography"/>
        <w:rPr>
          <w:rFonts w:ascii="Arial" w:cs="Arial"/>
        </w:rPr>
      </w:pPr>
      <w:r w:rsidRPr="00F54737">
        <w:rPr>
          <w:rFonts w:ascii="Arial" w:cs="Arial"/>
        </w:rPr>
        <w:t>European Commission. (2018b). Industrial Symbiosis. Factsheet.</w:t>
      </w:r>
    </w:p>
    <w:p w14:paraId="6560C8A4" w14:textId="77777777" w:rsidR="00F54737" w:rsidRPr="00F54737" w:rsidRDefault="00F54737" w:rsidP="00F54737">
      <w:pPr>
        <w:pStyle w:val="Bibliography"/>
        <w:rPr>
          <w:rFonts w:ascii="Arial" w:cs="Arial"/>
        </w:rPr>
      </w:pPr>
      <w:r w:rsidRPr="00F54737">
        <w:rPr>
          <w:rFonts w:ascii="Arial" w:cs="Arial"/>
        </w:rPr>
        <w:t xml:space="preserve">Hanell, T. (2018). </w:t>
      </w:r>
      <w:r w:rsidRPr="00F54737">
        <w:rPr>
          <w:rFonts w:ascii="Arial" w:cs="Arial"/>
          <w:i/>
          <w:iCs/>
        </w:rPr>
        <w:t>Regional quality of life in the EU. Comprehending the European space beyond GDP through the capability approach</w:t>
      </w:r>
      <w:r w:rsidRPr="00F54737">
        <w:rPr>
          <w:rFonts w:ascii="Arial" w:cs="Arial"/>
        </w:rPr>
        <w:t>. Helsinki: Aalto university.</w:t>
      </w:r>
    </w:p>
    <w:p w14:paraId="4CFE253A" w14:textId="77777777" w:rsidR="00F54737" w:rsidRPr="00F54737" w:rsidRDefault="00F54737" w:rsidP="00F54737">
      <w:pPr>
        <w:pStyle w:val="Bibliography"/>
        <w:rPr>
          <w:rFonts w:ascii="Arial" w:cs="Arial"/>
        </w:rPr>
      </w:pPr>
      <w:r w:rsidRPr="00F54737">
        <w:rPr>
          <w:rFonts w:ascii="Arial" w:cs="Arial"/>
        </w:rPr>
        <w:t xml:space="preserve">Interreg Danube Transnational Programme &amp; EUSDR. (2018). </w:t>
      </w:r>
      <w:r w:rsidRPr="00F54737">
        <w:rPr>
          <w:rFonts w:ascii="Arial" w:cs="Arial"/>
          <w:i/>
          <w:iCs/>
        </w:rPr>
        <w:t>Transport Infrastructure in the Danube Region - Road Links. Project Report.</w:t>
      </w:r>
    </w:p>
    <w:p w14:paraId="4CE70041" w14:textId="77777777" w:rsidR="00F54737" w:rsidRPr="00F54737" w:rsidRDefault="00F54737" w:rsidP="00F54737">
      <w:pPr>
        <w:pStyle w:val="Bibliography"/>
        <w:rPr>
          <w:rFonts w:ascii="Arial" w:cs="Arial"/>
        </w:rPr>
      </w:pPr>
      <w:r w:rsidRPr="00F54737">
        <w:rPr>
          <w:rFonts w:ascii="Arial" w:cs="Arial"/>
        </w:rPr>
        <w:t xml:space="preserve">World Economic Forum. (2018). </w:t>
      </w:r>
      <w:r w:rsidRPr="00F54737">
        <w:rPr>
          <w:rFonts w:ascii="Arial" w:cs="Arial"/>
          <w:i/>
          <w:iCs/>
        </w:rPr>
        <w:t>Our Shared Digital Future. Building an Inclusive, Trustworthy and Sustainable Digital Society. Insight Report.</w:t>
      </w:r>
    </w:p>
    <w:p w14:paraId="5501A3D1" w14:textId="77777777" w:rsidR="00F54737" w:rsidRPr="00F54737" w:rsidRDefault="00F54737" w:rsidP="00F54737">
      <w:pPr>
        <w:pStyle w:val="Bibliography"/>
        <w:rPr>
          <w:rFonts w:ascii="Arial" w:cs="Arial"/>
        </w:rPr>
      </w:pPr>
      <w:r w:rsidRPr="00F54737">
        <w:rPr>
          <w:rFonts w:ascii="Arial" w:cs="Arial"/>
        </w:rPr>
        <w:t>Devarajan, V. (2017, June 21). Hyper-personalized manufacturing can drive inclusive growth - here’s how. https://www.weforum.org/agenda/2017/06/hyper-personalised-manufacturing-can-drive-inclusive-growth-heres-how/</w:t>
      </w:r>
    </w:p>
    <w:p w14:paraId="3AF65979" w14:textId="77777777" w:rsidR="00F54737" w:rsidRPr="00F54737" w:rsidRDefault="00F54737" w:rsidP="00F54737">
      <w:pPr>
        <w:pStyle w:val="Bibliography"/>
        <w:rPr>
          <w:rFonts w:ascii="Arial" w:cs="Arial"/>
        </w:rPr>
      </w:pPr>
      <w:r w:rsidRPr="00F54737">
        <w:rPr>
          <w:rFonts w:ascii="Arial" w:cs="Arial"/>
        </w:rPr>
        <w:t>Luke, T. (2017, February 27). From mass production to mass personalisazation. https://hpmegatrends.com/from-mass-production-to-mass-personalization-1ad6746dc24d</w:t>
      </w:r>
    </w:p>
    <w:p w14:paraId="17D35AEA" w14:textId="77777777" w:rsidR="00F54737" w:rsidRPr="00F54737" w:rsidRDefault="00F54737" w:rsidP="00F54737">
      <w:pPr>
        <w:pStyle w:val="Bibliography"/>
        <w:rPr>
          <w:rFonts w:ascii="Arial" w:cs="Arial"/>
        </w:rPr>
      </w:pPr>
      <w:r w:rsidRPr="00F54737">
        <w:rPr>
          <w:rFonts w:ascii="Arial" w:cs="Arial"/>
        </w:rPr>
        <w:t>EEA. (2017). Agricultural land use intensity.</w:t>
      </w:r>
    </w:p>
    <w:p w14:paraId="22538253" w14:textId="77777777" w:rsidR="00F54737" w:rsidRPr="00F54737" w:rsidRDefault="00F54737" w:rsidP="00F54737">
      <w:pPr>
        <w:pStyle w:val="Bibliography"/>
        <w:rPr>
          <w:rFonts w:ascii="Arial" w:cs="Arial"/>
        </w:rPr>
      </w:pPr>
      <w:r w:rsidRPr="00F54737">
        <w:rPr>
          <w:rFonts w:ascii="Arial" w:cs="Arial"/>
        </w:rPr>
        <w:t>Interreg Danube. (2017, 2019). Energy Barge. Building a Green Energy and Logistics Belt. https://www.interreg-danube.eu/approved-projects/energy-barge</w:t>
      </w:r>
    </w:p>
    <w:p w14:paraId="78BB7048" w14:textId="77777777" w:rsidR="00F54737" w:rsidRPr="00F54737" w:rsidRDefault="00F54737" w:rsidP="00F54737">
      <w:pPr>
        <w:pStyle w:val="Bibliography"/>
        <w:rPr>
          <w:rFonts w:ascii="Arial" w:cs="Arial"/>
        </w:rPr>
      </w:pPr>
      <w:r w:rsidRPr="00F54737">
        <w:rPr>
          <w:rFonts w:ascii="Arial" w:cs="Arial"/>
        </w:rPr>
        <w:t xml:space="preserve">Noguera, J., Mar Ortega-Reig, Hector del Alcazar, Copus Andres, Francesco Mantino, &amp; Barbara Forcina. (2017). </w:t>
      </w:r>
      <w:r w:rsidRPr="00F54737">
        <w:rPr>
          <w:rFonts w:ascii="Arial" w:cs="Arial"/>
          <w:i/>
          <w:iCs/>
        </w:rPr>
        <w:t>PROFECY - Processes, Features and Cycles of Inner Peripheries in Europe</w:t>
      </w:r>
      <w:r w:rsidRPr="00F54737">
        <w:rPr>
          <w:rFonts w:ascii="Arial" w:cs="Arial"/>
        </w:rPr>
        <w:t xml:space="preserve"> (Final Report). Luxembourg: ESPON EGTC.</w:t>
      </w:r>
    </w:p>
    <w:p w14:paraId="49CF7AF5" w14:textId="77777777" w:rsidR="00F54737" w:rsidRPr="00F54737" w:rsidRDefault="00F54737" w:rsidP="00F54737">
      <w:pPr>
        <w:pStyle w:val="Bibliography"/>
        <w:rPr>
          <w:rFonts w:ascii="Arial" w:cs="Arial"/>
        </w:rPr>
      </w:pPr>
      <w:r w:rsidRPr="00F54737">
        <w:rPr>
          <w:rFonts w:ascii="Arial" w:cs="Arial"/>
        </w:rPr>
        <w:t>ProDanube International. (2016, September). Factsheet Danube Transportation.</w:t>
      </w:r>
    </w:p>
    <w:p w14:paraId="37ACEC23" w14:textId="77777777" w:rsidR="00F54737" w:rsidRPr="00F54737" w:rsidRDefault="00F54737" w:rsidP="00F54737">
      <w:pPr>
        <w:pStyle w:val="Bibliography"/>
        <w:rPr>
          <w:rFonts w:ascii="Arial" w:cs="Arial"/>
        </w:rPr>
      </w:pPr>
      <w:r w:rsidRPr="00F54737">
        <w:rPr>
          <w:rFonts w:ascii="Arial" w:cs="Arial"/>
        </w:rPr>
        <w:t xml:space="preserve">European Commission DG COMM. (2016). </w:t>
      </w:r>
      <w:r w:rsidRPr="00F54737">
        <w:rPr>
          <w:rFonts w:ascii="Arial" w:cs="Arial"/>
          <w:i/>
          <w:iCs/>
        </w:rPr>
        <w:t>The use of collaborative platforms</w:t>
      </w:r>
      <w:r w:rsidRPr="00F54737">
        <w:rPr>
          <w:rFonts w:ascii="Arial" w:cs="Arial"/>
        </w:rPr>
        <w:t xml:space="preserve"> (Flash Eurobarometer No. 438-March 2016). Brussels.</w:t>
      </w:r>
    </w:p>
    <w:p w14:paraId="7FEBBA1A" w14:textId="77777777" w:rsidR="00F54737" w:rsidRPr="00F54737" w:rsidRDefault="00F54737" w:rsidP="00F54737">
      <w:pPr>
        <w:pStyle w:val="Bibliography"/>
        <w:rPr>
          <w:rFonts w:ascii="Arial" w:cs="Arial"/>
        </w:rPr>
      </w:pPr>
      <w:r w:rsidRPr="00F54737">
        <w:rPr>
          <w:rFonts w:ascii="Arial" w:cs="Arial"/>
        </w:rPr>
        <w:t xml:space="preserve">European Parliament. (2016). </w:t>
      </w:r>
      <w:r w:rsidRPr="00F54737">
        <w:rPr>
          <w:rFonts w:ascii="Arial" w:cs="Arial"/>
          <w:i/>
          <w:iCs/>
        </w:rPr>
        <w:t>Industry 4.0</w:t>
      </w:r>
      <w:r w:rsidRPr="00F54737">
        <w:rPr>
          <w:rFonts w:ascii="Arial" w:cs="Arial"/>
        </w:rPr>
        <w:t>.</w:t>
      </w:r>
    </w:p>
    <w:p w14:paraId="114F6AEA" w14:textId="77777777" w:rsidR="00F54737" w:rsidRPr="00F54737" w:rsidRDefault="00F54737" w:rsidP="00F54737">
      <w:pPr>
        <w:pStyle w:val="Bibliography"/>
        <w:rPr>
          <w:rFonts w:ascii="Arial" w:cs="Arial"/>
        </w:rPr>
      </w:pPr>
      <w:r w:rsidRPr="00F54737">
        <w:rPr>
          <w:rFonts w:ascii="Arial" w:cs="Arial"/>
        </w:rPr>
        <w:t xml:space="preserve">Joint Research Centre. (2016). </w:t>
      </w:r>
      <w:r w:rsidRPr="00F54737">
        <w:rPr>
          <w:rFonts w:ascii="Arial" w:cs="Arial"/>
          <w:i/>
          <w:iCs/>
        </w:rPr>
        <w:t>How to catch a unicorn. An exploration of the universe to tech companies with high market capitalisation. JRC Technical Reports.</w:t>
      </w:r>
    </w:p>
    <w:p w14:paraId="2EC5430A" w14:textId="77777777" w:rsidR="00F54737" w:rsidRPr="00F54737" w:rsidRDefault="00F54737" w:rsidP="00F54737">
      <w:pPr>
        <w:pStyle w:val="Bibliography"/>
        <w:rPr>
          <w:rFonts w:ascii="Arial" w:cs="Arial"/>
        </w:rPr>
      </w:pPr>
      <w:r w:rsidRPr="00F54737">
        <w:rPr>
          <w:rFonts w:ascii="Arial" w:cs="Arial"/>
        </w:rPr>
        <w:t xml:space="preserve">European Strategy and Policy Analysis System. (2015). </w:t>
      </w:r>
      <w:r w:rsidRPr="00F54737">
        <w:rPr>
          <w:rFonts w:ascii="Arial" w:cs="Arial"/>
          <w:i/>
          <w:iCs/>
        </w:rPr>
        <w:t>Global Trends to 2030: Can the EU meet the challenges ahead?</w:t>
      </w:r>
      <w:r w:rsidRPr="00F54737">
        <w:rPr>
          <w:rFonts w:ascii="Arial" w:cs="Arial"/>
        </w:rPr>
        <w:t xml:space="preserve"> European Strategy and Policy Analysis System.</w:t>
      </w:r>
    </w:p>
    <w:p w14:paraId="60A99AAB" w14:textId="77777777" w:rsidR="00F54737" w:rsidRPr="00F54737" w:rsidRDefault="00F54737" w:rsidP="00F54737">
      <w:pPr>
        <w:pStyle w:val="Bibliography"/>
        <w:rPr>
          <w:rFonts w:ascii="Arial" w:cs="Arial"/>
        </w:rPr>
      </w:pPr>
      <w:r w:rsidRPr="00F54737">
        <w:rPr>
          <w:rFonts w:ascii="Arial" w:cs="Arial"/>
        </w:rPr>
        <w:t xml:space="preserve">Schwartz, U. (2015). </w:t>
      </w:r>
      <w:r w:rsidRPr="00F54737">
        <w:rPr>
          <w:rFonts w:ascii="Arial" w:cs="Arial"/>
          <w:i/>
          <w:iCs/>
        </w:rPr>
        <w:t>Hydropower Projects on the Balkan Rivers - Update</w:t>
      </w:r>
      <w:r w:rsidRPr="00F54737">
        <w:rPr>
          <w:rFonts w:ascii="Arial" w:cs="Arial"/>
        </w:rPr>
        <w:t xml:space="preserve"> (RiverWatch &amp;EuroNatur).</w:t>
      </w:r>
    </w:p>
    <w:p w14:paraId="659F6943" w14:textId="77777777" w:rsidR="00F54737" w:rsidRPr="00F54737" w:rsidRDefault="00F54737" w:rsidP="00F54737">
      <w:pPr>
        <w:pStyle w:val="Bibliography"/>
        <w:rPr>
          <w:rFonts w:ascii="Arial" w:cs="Arial"/>
        </w:rPr>
      </w:pPr>
      <w:r w:rsidRPr="00F54737">
        <w:rPr>
          <w:rFonts w:ascii="Arial" w:cs="Arial"/>
        </w:rPr>
        <w:t xml:space="preserve">World Economic Forum. (2015). </w:t>
      </w:r>
      <w:r w:rsidRPr="00F54737">
        <w:rPr>
          <w:rFonts w:ascii="Arial" w:cs="Arial"/>
          <w:i/>
          <w:iCs/>
        </w:rPr>
        <w:t>Top 10 Emerging Technologies of 2015</w:t>
      </w:r>
      <w:r w:rsidRPr="00F54737">
        <w:rPr>
          <w:rFonts w:ascii="Arial" w:cs="Arial"/>
        </w:rPr>
        <w:t>. World Economic Forum.</w:t>
      </w:r>
    </w:p>
    <w:p w14:paraId="2F9612B2" w14:textId="77777777" w:rsidR="00F54737" w:rsidRPr="00F54737" w:rsidRDefault="00F54737" w:rsidP="00F54737">
      <w:pPr>
        <w:pStyle w:val="Bibliography"/>
        <w:rPr>
          <w:rFonts w:ascii="Arial" w:cs="Arial"/>
        </w:rPr>
      </w:pPr>
      <w:r w:rsidRPr="00F54737">
        <w:rPr>
          <w:rFonts w:ascii="Arial" w:cs="Arial"/>
        </w:rPr>
        <w:t>ESPON. (2014). Update of maps and related data on climate change.</w:t>
      </w:r>
    </w:p>
    <w:p w14:paraId="2B580AF6" w14:textId="77777777" w:rsidR="00F54737" w:rsidRPr="00F54737" w:rsidRDefault="00F54737" w:rsidP="00F54737">
      <w:pPr>
        <w:pStyle w:val="Bibliography"/>
        <w:rPr>
          <w:rFonts w:ascii="Arial" w:cs="Arial"/>
        </w:rPr>
      </w:pPr>
      <w:r w:rsidRPr="00F54737">
        <w:rPr>
          <w:rFonts w:ascii="Arial" w:cs="Arial"/>
        </w:rPr>
        <w:t>Hujber, D. &amp; et al. (2014). Danube Region Biomass Action Plan. Ministry of Foreign Affairs of Hungary, Budapest.</w:t>
      </w:r>
    </w:p>
    <w:p w14:paraId="6BA9401A" w14:textId="77777777" w:rsidR="00F54737" w:rsidRPr="00F54737" w:rsidRDefault="00F54737" w:rsidP="00F54737">
      <w:pPr>
        <w:pStyle w:val="Bibliography"/>
        <w:rPr>
          <w:rFonts w:ascii="Arial" w:cs="Arial"/>
        </w:rPr>
      </w:pPr>
      <w:r w:rsidRPr="00F54737">
        <w:rPr>
          <w:rFonts w:ascii="Arial" w:cs="Arial"/>
        </w:rPr>
        <w:t>World Economic Forum. (2013, January). World Scenario Series. The Future role of civil society.</w:t>
      </w:r>
    </w:p>
    <w:p w14:paraId="570D2340" w14:textId="77777777" w:rsidR="00F54737" w:rsidRPr="00F54737" w:rsidRDefault="00F54737" w:rsidP="00F54737">
      <w:pPr>
        <w:pStyle w:val="Bibliography"/>
        <w:rPr>
          <w:rFonts w:ascii="Arial" w:cs="Arial"/>
        </w:rPr>
      </w:pPr>
      <w:r w:rsidRPr="00F54737">
        <w:rPr>
          <w:rFonts w:ascii="Arial" w:cs="Arial"/>
        </w:rPr>
        <w:t xml:space="preserve">ESPON. (2013). </w:t>
      </w:r>
      <w:r w:rsidRPr="00F54737">
        <w:rPr>
          <w:rFonts w:ascii="Arial" w:cs="Arial"/>
          <w:i/>
          <w:iCs/>
        </w:rPr>
        <w:t>GREECO - Territorial Potentials for a Greener Economy. Final Report.</w:t>
      </w:r>
      <w:r w:rsidRPr="00F54737">
        <w:rPr>
          <w:rFonts w:ascii="Arial" w:cs="Arial"/>
        </w:rPr>
        <w:t xml:space="preserve"> Luxembourg: ESPON.</w:t>
      </w:r>
    </w:p>
    <w:p w14:paraId="2E0E2731" w14:textId="77777777" w:rsidR="00F54737" w:rsidRPr="00F54737" w:rsidRDefault="00F54737" w:rsidP="00F54737">
      <w:pPr>
        <w:pStyle w:val="Bibliography"/>
        <w:rPr>
          <w:rFonts w:ascii="Arial" w:cs="Arial"/>
        </w:rPr>
      </w:pPr>
      <w:r w:rsidRPr="00F54737">
        <w:rPr>
          <w:rFonts w:ascii="Arial" w:cs="Arial"/>
        </w:rPr>
        <w:t xml:space="preserve">Institute for Regional Studies, Research Centre for Economic and Regional Studies,Hungarian Academy of Sciences. (2013). </w:t>
      </w:r>
      <w:r w:rsidRPr="00F54737">
        <w:rPr>
          <w:rFonts w:ascii="Arial" w:cs="Arial"/>
          <w:i/>
          <w:iCs/>
        </w:rPr>
        <w:t>Discussion Papers. No.90. Danube Region - Analysis and Long-Term Development Trends of the Macro-Region.</w:t>
      </w:r>
    </w:p>
    <w:p w14:paraId="70024D94" w14:textId="77777777" w:rsidR="00F54737" w:rsidRPr="00673513" w:rsidRDefault="00F54737" w:rsidP="00F54737">
      <w:pPr>
        <w:pStyle w:val="Bibliography"/>
        <w:rPr>
          <w:rFonts w:ascii="Arial" w:cs="Arial"/>
          <w:lang w:val="fr-FR"/>
        </w:rPr>
      </w:pPr>
      <w:r w:rsidRPr="00F54737">
        <w:rPr>
          <w:rFonts w:ascii="Arial" w:cs="Arial"/>
        </w:rPr>
        <w:t xml:space="preserve">European Commission Directorate General for Research and Innovation. </w:t>
      </w:r>
      <w:r w:rsidRPr="00673513">
        <w:rPr>
          <w:rFonts w:ascii="Arial" w:cs="Arial"/>
          <w:lang w:val="fr-FR"/>
        </w:rPr>
        <w:t xml:space="preserve">(2012). </w:t>
      </w:r>
      <w:r w:rsidRPr="00673513">
        <w:rPr>
          <w:rFonts w:ascii="Arial" w:cs="Arial"/>
          <w:i/>
          <w:iCs/>
          <w:lang w:val="fr-FR"/>
        </w:rPr>
        <w:t>Global Europe 2050.</w:t>
      </w:r>
      <w:r w:rsidRPr="00673513">
        <w:rPr>
          <w:rFonts w:ascii="Arial" w:cs="Arial"/>
          <w:lang w:val="fr-FR"/>
        </w:rPr>
        <w:t xml:space="preserve"> LU: Publications Office. https://data.europa.eu/doi/10.2777/79992</w:t>
      </w:r>
    </w:p>
    <w:p w14:paraId="23670B3F" w14:textId="77777777" w:rsidR="00F54737" w:rsidRPr="00F54737" w:rsidRDefault="00F54737" w:rsidP="00F54737">
      <w:pPr>
        <w:pStyle w:val="Bibliography"/>
        <w:rPr>
          <w:rFonts w:ascii="Arial" w:cs="Arial"/>
        </w:rPr>
      </w:pPr>
      <w:r w:rsidRPr="00F54737">
        <w:rPr>
          <w:rFonts w:ascii="Arial" w:cs="Arial"/>
        </w:rPr>
        <w:t xml:space="preserve">European Union Institute for Security Studies. (2012). </w:t>
      </w:r>
      <w:r w:rsidRPr="00F54737">
        <w:rPr>
          <w:rFonts w:ascii="Arial" w:cs="Arial"/>
          <w:i/>
          <w:iCs/>
        </w:rPr>
        <w:t>Citizens in an Interconnected and Polycentric World. Global Trends 2030.</w:t>
      </w:r>
      <w:r w:rsidRPr="00F54737">
        <w:rPr>
          <w:rFonts w:ascii="Arial" w:cs="Arial"/>
        </w:rPr>
        <w:t xml:space="preserve"> ESPAS.</w:t>
      </w:r>
    </w:p>
    <w:p w14:paraId="432739B1" w14:textId="77777777" w:rsidR="00F54737" w:rsidRPr="00F54737" w:rsidRDefault="00F54737" w:rsidP="00F54737">
      <w:pPr>
        <w:pStyle w:val="Bibliography"/>
        <w:rPr>
          <w:rFonts w:ascii="Arial" w:cs="Arial"/>
        </w:rPr>
      </w:pPr>
      <w:r w:rsidRPr="00F54737">
        <w:rPr>
          <w:rFonts w:ascii="Arial" w:cs="Arial"/>
        </w:rPr>
        <w:t>Bachmann, J. (2010). Power from the Danube - can it be sustainable? https://www.icpdr.org/main/publications/power-danube-can-it-be-sustainable</w:t>
      </w:r>
    </w:p>
    <w:p w14:paraId="52DD11EB" w14:textId="77777777" w:rsidR="00F54737" w:rsidRPr="00F54737" w:rsidRDefault="00F54737" w:rsidP="00F54737">
      <w:pPr>
        <w:pStyle w:val="Bibliography"/>
        <w:rPr>
          <w:rFonts w:ascii="Arial" w:cs="Arial"/>
        </w:rPr>
      </w:pPr>
      <w:r w:rsidRPr="00673513">
        <w:rPr>
          <w:rFonts w:ascii="Arial" w:cs="Arial"/>
          <w:lang w:val="de-DE"/>
        </w:rPr>
        <w:t xml:space="preserve">Kahneman, D. &amp; Krueger, A. B. (2006). </w:t>
      </w:r>
      <w:r w:rsidRPr="00F54737">
        <w:rPr>
          <w:rFonts w:ascii="Arial" w:cs="Arial"/>
        </w:rPr>
        <w:t xml:space="preserve">Developments in the measurement of subjective well-being. </w:t>
      </w:r>
      <w:r w:rsidRPr="00F54737">
        <w:rPr>
          <w:rFonts w:ascii="Arial" w:cs="Arial"/>
          <w:i/>
          <w:iCs/>
        </w:rPr>
        <w:t>Journal of Economic Perspectives</w:t>
      </w:r>
      <w:r w:rsidRPr="00F54737">
        <w:rPr>
          <w:rFonts w:ascii="Arial" w:cs="Arial"/>
        </w:rPr>
        <w:t xml:space="preserve">, </w:t>
      </w:r>
      <w:r w:rsidRPr="00F54737">
        <w:rPr>
          <w:rFonts w:ascii="Arial" w:cs="Arial"/>
          <w:i/>
          <w:iCs/>
        </w:rPr>
        <w:t>20</w:t>
      </w:r>
      <w:r w:rsidRPr="00F54737">
        <w:rPr>
          <w:rFonts w:ascii="Arial" w:cs="Arial"/>
        </w:rPr>
        <w:t>(1), pp.3–24.</w:t>
      </w:r>
    </w:p>
    <w:p w14:paraId="06053D51" w14:textId="77777777" w:rsidR="00F54737" w:rsidRPr="00F54737" w:rsidRDefault="00F54737" w:rsidP="00F54737">
      <w:pPr>
        <w:pStyle w:val="Bibliography"/>
        <w:rPr>
          <w:rFonts w:ascii="Arial" w:cs="Arial"/>
        </w:rPr>
      </w:pPr>
      <w:r w:rsidRPr="00F54737">
        <w:rPr>
          <w:rFonts w:ascii="Arial" w:cs="Arial"/>
        </w:rPr>
        <w:t>ICPDR. (2002). Water Pollution.</w:t>
      </w:r>
    </w:p>
    <w:p w14:paraId="120DF0D8" w14:textId="77777777" w:rsidR="00F54737" w:rsidRPr="00F54737" w:rsidRDefault="00F54737" w:rsidP="00F54737">
      <w:pPr>
        <w:pStyle w:val="Bibliography"/>
        <w:rPr>
          <w:rFonts w:ascii="Arial" w:cs="Arial"/>
        </w:rPr>
      </w:pPr>
      <w:r w:rsidRPr="00F54737">
        <w:rPr>
          <w:rFonts w:ascii="Arial" w:cs="Arial"/>
        </w:rPr>
        <w:t xml:space="preserve">European Commission. (n.d.-a). </w:t>
      </w:r>
      <w:r w:rsidRPr="00F54737">
        <w:rPr>
          <w:rFonts w:ascii="Arial" w:cs="Arial"/>
          <w:i/>
          <w:iCs/>
        </w:rPr>
        <w:t>Coal Region in Transition Initiative. 9th EMA network meeting European Network of Energy authorities and Managing Authorities of the cohesion policy 2014-2020</w:t>
      </w:r>
      <w:r w:rsidRPr="00F54737">
        <w:rPr>
          <w:rFonts w:ascii="Arial" w:cs="Arial"/>
        </w:rPr>
        <w:t>.</w:t>
      </w:r>
    </w:p>
    <w:p w14:paraId="3BDD4C96" w14:textId="77777777" w:rsidR="00F54737" w:rsidRPr="00F54737" w:rsidRDefault="00F54737" w:rsidP="00F54737">
      <w:pPr>
        <w:pStyle w:val="Bibliography"/>
        <w:rPr>
          <w:rFonts w:ascii="Arial" w:cs="Arial"/>
        </w:rPr>
      </w:pPr>
      <w:r w:rsidRPr="00F54737">
        <w:rPr>
          <w:rFonts w:ascii="Arial" w:cs="Arial"/>
        </w:rPr>
        <w:t>European Commission. (n.d.-b). Initiative for coal regions in transition in the Western Balkans and Ukraine. https://energy.ec.europa.eu/topics/oil-gas-and-coal/coal-regions-western-balkans-and-ukraine/initiative-coal-regions-transition-western-balkans-and-ukraine_en</w:t>
      </w:r>
    </w:p>
    <w:p w14:paraId="33CFE039" w14:textId="77777777" w:rsidR="00F54737" w:rsidRPr="00F54737" w:rsidRDefault="00F54737" w:rsidP="00F54737">
      <w:pPr>
        <w:pStyle w:val="Bibliography"/>
        <w:rPr>
          <w:rFonts w:ascii="Arial" w:cs="Arial"/>
        </w:rPr>
      </w:pPr>
      <w:r w:rsidRPr="00F54737">
        <w:rPr>
          <w:rFonts w:ascii="Arial" w:cs="Arial"/>
        </w:rPr>
        <w:t>S3Platform. (n.d.). What is H2&amp;Fuel Cells? https://s3platform-legacy.jrc.ec.europa.eu/hydrogen-and-fuel-cells</w:t>
      </w:r>
    </w:p>
    <w:p w14:paraId="48D9BA5B" w14:textId="77777777" w:rsidR="00F54737" w:rsidRPr="00F54737" w:rsidRDefault="00F54737" w:rsidP="00F54737">
      <w:pPr>
        <w:pStyle w:val="Bibliography"/>
        <w:rPr>
          <w:rFonts w:ascii="Arial" w:cs="Arial"/>
        </w:rPr>
      </w:pPr>
      <w:r w:rsidRPr="00F54737">
        <w:rPr>
          <w:rFonts w:ascii="Arial" w:cs="Arial"/>
        </w:rPr>
        <w:t>UNDP GEF Danube Regional Project. (n.d.). Dams and Reservoirs. http://www.undp-drp.org/drp/danube_dams_and_reservoirs.html</w:t>
      </w:r>
    </w:p>
    <w:p w14:paraId="5216B3B9" w14:textId="2B2545AA" w:rsidR="007954DB" w:rsidRPr="00362A04" w:rsidRDefault="00F54737" w:rsidP="00362A04">
      <w:pPr>
        <w:pStyle w:val="Bibliography"/>
        <w:jc w:val="both"/>
        <w:rPr>
          <w:rFonts w:cstheme="minorHAnsi"/>
        </w:rPr>
      </w:pPr>
      <w:r>
        <w:rPr>
          <w:rFonts w:cstheme="minorHAnsi"/>
        </w:rPr>
        <w:fldChar w:fldCharType="end"/>
      </w:r>
    </w:p>
    <w:p w14:paraId="78DE42DA" w14:textId="4934019D" w:rsidR="00866D52" w:rsidRDefault="00866D52" w:rsidP="00362A04"/>
    <w:p w14:paraId="4FC8826B" w14:textId="77777777" w:rsidR="007954DB" w:rsidRPr="00702488" w:rsidRDefault="007954DB" w:rsidP="00F63565"/>
    <w:p w14:paraId="3EE76498" w14:textId="77777777" w:rsidR="00D47D54" w:rsidRDefault="00D47D54" w:rsidP="00F63565"/>
    <w:p w14:paraId="1736DD4D" w14:textId="77777777" w:rsidR="0095271B" w:rsidRDefault="0095271B" w:rsidP="00F63565"/>
    <w:p w14:paraId="2E332D8A" w14:textId="77777777" w:rsidR="0095271B" w:rsidRDefault="0095271B" w:rsidP="00F63565"/>
    <w:p w14:paraId="20E17D1E" w14:textId="2ED4A10D" w:rsidR="0095271B" w:rsidRPr="00702488" w:rsidRDefault="0095271B" w:rsidP="00F63565">
      <w:pPr>
        <w:sectPr w:rsidR="0095271B" w:rsidRPr="00702488" w:rsidSect="000E5062">
          <w:headerReference w:type="even" r:id="rId37"/>
          <w:headerReference w:type="default" r:id="rId38"/>
          <w:footerReference w:type="even" r:id="rId39"/>
          <w:footerReference w:type="default" r:id="rId40"/>
          <w:pgSz w:w="11906" w:h="16838" w:code="9"/>
          <w:pgMar w:top="1418" w:right="1701" w:bottom="1418" w:left="1701" w:header="567" w:footer="737" w:gutter="0"/>
          <w:cols w:space="708"/>
          <w:docGrid w:linePitch="360"/>
        </w:sectPr>
      </w:pPr>
    </w:p>
    <w:p w14:paraId="0589B90D" w14:textId="77777777" w:rsidR="006954A8" w:rsidRPr="00702488" w:rsidRDefault="006954A8">
      <w:pPr>
        <w:spacing w:before="0"/>
      </w:pPr>
      <w:r w:rsidRPr="00702488">
        <w:br w:type="page"/>
      </w:r>
    </w:p>
    <w:p w14:paraId="0F8CD056" w14:textId="77777777" w:rsidR="00585EC9" w:rsidRPr="00702488" w:rsidRDefault="00E74C3E" w:rsidP="00F63565">
      <w:r w:rsidRPr="00702488">
        <w:rPr>
          <w:noProof/>
        </w:rPr>
        <mc:AlternateContent>
          <mc:Choice Requires="wps">
            <w:drawing>
              <wp:anchor distT="0" distB="0" distL="114300" distR="114300" simplePos="0" relativeHeight="251658242" behindDoc="0" locked="0" layoutInCell="1" allowOverlap="1" wp14:anchorId="4500B384" wp14:editId="46F39BC1">
                <wp:simplePos x="0" y="0"/>
                <wp:positionH relativeFrom="page">
                  <wp:align>left</wp:align>
                </wp:positionH>
                <wp:positionV relativeFrom="page">
                  <wp:align>top</wp:align>
                </wp:positionV>
                <wp:extent cx="4320000" cy="10692000"/>
                <wp:effectExtent l="0" t="0" r="4445" b="0"/>
                <wp:wrapTopAndBottom/>
                <wp:docPr id="13" name="Text Box 13"/>
                <wp:cNvGraphicFramePr/>
                <a:graphic xmlns:a="http://schemas.openxmlformats.org/drawingml/2006/main">
                  <a:graphicData uri="http://schemas.microsoft.com/office/word/2010/wordprocessingShape">
                    <wps:wsp>
                      <wps:cNvSpPr txBox="1"/>
                      <wps:spPr>
                        <a:xfrm>
                          <a:off x="0" y="0"/>
                          <a:ext cx="4320000" cy="10692000"/>
                        </a:xfrm>
                        <a:prstGeom prst="rect">
                          <a:avLst/>
                        </a:prstGeom>
                        <a:solidFill>
                          <a:schemeClr val="lt1"/>
                        </a:solidFill>
                        <a:ln w="6350">
                          <a:noFill/>
                        </a:ln>
                      </wps:spPr>
                      <wps:txbx>
                        <w:txbxContent>
                          <w:tbl>
                            <w:tblPr>
                              <w:tblW w:w="0" w:type="auto"/>
                              <w:tblLayout w:type="fixed"/>
                              <w:tblCellMar>
                                <w:left w:w="0" w:type="dxa"/>
                                <w:right w:w="0" w:type="dxa"/>
                              </w:tblCellMar>
                              <w:tblLook w:val="04A0" w:firstRow="1" w:lastRow="0" w:firstColumn="1" w:lastColumn="0" w:noHBand="0" w:noVBand="1"/>
                            </w:tblPr>
                            <w:tblGrid>
                              <w:gridCol w:w="1134"/>
                              <w:gridCol w:w="5669"/>
                            </w:tblGrid>
                            <w:tr w:rsidR="00306780" w14:paraId="7FFBE685" w14:textId="77777777" w:rsidTr="00A57A84">
                              <w:trPr>
                                <w:cantSplit/>
                                <w:trHeight w:hRule="exact" w:val="680"/>
                              </w:trPr>
                              <w:tc>
                                <w:tcPr>
                                  <w:tcW w:w="1134" w:type="dxa"/>
                                  <w:shd w:val="clear" w:color="auto" w:fill="E5EBF8"/>
                                </w:tcPr>
                                <w:p w14:paraId="177D0C41" w14:textId="77777777" w:rsidR="00306780" w:rsidRDefault="00306780" w:rsidP="00306780"/>
                              </w:tc>
                              <w:tc>
                                <w:tcPr>
                                  <w:tcW w:w="5669" w:type="dxa"/>
                                  <w:shd w:val="clear" w:color="auto" w:fill="E5EBF8"/>
                                </w:tcPr>
                                <w:p w14:paraId="334BDA21" w14:textId="77777777" w:rsidR="00306780" w:rsidRDefault="00306780" w:rsidP="00306780"/>
                              </w:tc>
                            </w:tr>
                            <w:tr w:rsidR="00306780" w14:paraId="587041A0" w14:textId="77777777" w:rsidTr="00A57A84">
                              <w:trPr>
                                <w:cantSplit/>
                                <w:trHeight w:hRule="exact" w:val="3175"/>
                              </w:trPr>
                              <w:tc>
                                <w:tcPr>
                                  <w:tcW w:w="1134" w:type="dxa"/>
                                  <w:shd w:val="clear" w:color="auto" w:fill="E5EBF8"/>
                                </w:tcPr>
                                <w:p w14:paraId="7DC787E8" w14:textId="77777777" w:rsidR="00306780" w:rsidRDefault="00306780" w:rsidP="00306780"/>
                              </w:tc>
                              <w:tc>
                                <w:tcPr>
                                  <w:tcW w:w="5669" w:type="dxa"/>
                                  <w:shd w:val="clear" w:color="auto" w:fill="E5EBF8"/>
                                </w:tcPr>
                                <w:p w14:paraId="6AB5B867" w14:textId="77777777" w:rsidR="00306780" w:rsidRDefault="00306780" w:rsidP="00306780">
                                  <w:pPr>
                                    <w:pStyle w:val="NoSpacing"/>
                                  </w:pPr>
                                  <w:r>
                                    <w:rPr>
                                      <w:noProof/>
                                    </w:rPr>
                                    <w:drawing>
                                      <wp:inline distT="0" distB="0" distL="0" distR="0" wp14:anchorId="0E7EEF64" wp14:editId="36B29204">
                                        <wp:extent cx="2412000" cy="201960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ker til woed_pos logo.png"/>
                                                <pic:cNvPicPr/>
                                              </pic:nvPicPr>
                                              <pic:blipFill>
                                                <a:blip r:embed="rId41">
                                                  <a:extLst>
                                                    <a:ext uri="{28A0092B-C50C-407E-A947-70E740481C1C}">
                                                      <a14:useLocalDpi xmlns:a14="http://schemas.microsoft.com/office/drawing/2010/main" val="0"/>
                                                    </a:ext>
                                                  </a:extLst>
                                                </a:blip>
                                                <a:stretch>
                                                  <a:fillRect/>
                                                </a:stretch>
                                              </pic:blipFill>
                                              <pic:spPr>
                                                <a:xfrm>
                                                  <a:off x="0" y="0"/>
                                                  <a:ext cx="2412000" cy="2019600"/>
                                                </a:xfrm>
                                                <a:prstGeom prst="rect">
                                                  <a:avLst/>
                                                </a:prstGeom>
                                              </pic:spPr>
                                            </pic:pic>
                                          </a:graphicData>
                                        </a:graphic>
                                      </wp:inline>
                                    </w:drawing>
                                  </w:r>
                                </w:p>
                              </w:tc>
                            </w:tr>
                            <w:tr w:rsidR="00306780" w14:paraId="2DFF1FDF" w14:textId="77777777" w:rsidTr="00A57A84">
                              <w:trPr>
                                <w:cantSplit/>
                                <w:trHeight w:hRule="exact" w:val="11565"/>
                              </w:trPr>
                              <w:tc>
                                <w:tcPr>
                                  <w:tcW w:w="1134" w:type="dxa"/>
                                  <w:shd w:val="clear" w:color="auto" w:fill="E5EBF8"/>
                                </w:tcPr>
                                <w:p w14:paraId="65927AC7" w14:textId="77777777" w:rsidR="00306780" w:rsidRDefault="00306780" w:rsidP="00306780"/>
                              </w:tc>
                              <w:tc>
                                <w:tcPr>
                                  <w:tcW w:w="5669" w:type="dxa"/>
                                  <w:shd w:val="clear" w:color="auto" w:fill="E5EBF8"/>
                                  <w:tcMar>
                                    <w:left w:w="0" w:type="dxa"/>
                                    <w:bottom w:w="0" w:type="dxa"/>
                                    <w:right w:w="0" w:type="dxa"/>
                                  </w:tcMar>
                                  <w:vAlign w:val="bottom"/>
                                </w:tcPr>
                                <w:p w14:paraId="3F7D1476" w14:textId="77777777" w:rsidR="00306780" w:rsidRPr="006A3997" w:rsidRDefault="00306780" w:rsidP="00306780">
                                  <w:pPr>
                                    <w:pStyle w:val="Backcoverbold"/>
                                    <w:rPr>
                                      <w:lang w:val="fr-FR"/>
                                    </w:rPr>
                                  </w:pPr>
                                  <w:r w:rsidRPr="006A3997">
                                    <w:rPr>
                                      <w:lang w:val="fr-FR"/>
                                    </w:rPr>
                                    <w:t>ESPON 2020</w:t>
                                  </w:r>
                                </w:p>
                                <w:p w14:paraId="3C86C97C" w14:textId="77777777" w:rsidR="00306780" w:rsidRPr="006A3997" w:rsidRDefault="00306780" w:rsidP="00306780">
                                  <w:pPr>
                                    <w:pStyle w:val="Backcover"/>
                                    <w:rPr>
                                      <w:lang w:val="fr-FR"/>
                                    </w:rPr>
                                  </w:pPr>
                                  <w:r w:rsidRPr="006A3997">
                                    <w:rPr>
                                      <w:lang w:val="fr-FR"/>
                                    </w:rPr>
                                    <w:t>ESPON EGTC</w:t>
                                  </w:r>
                                </w:p>
                                <w:p w14:paraId="19EC72FD" w14:textId="77777777" w:rsidR="00306780" w:rsidRPr="006A3997" w:rsidRDefault="00306780" w:rsidP="00306780">
                                  <w:pPr>
                                    <w:pStyle w:val="Backcover"/>
                                    <w:rPr>
                                      <w:lang w:val="fr-FR"/>
                                    </w:rPr>
                                  </w:pPr>
                                  <w:r w:rsidRPr="006A3997">
                                    <w:rPr>
                                      <w:lang w:val="fr-FR"/>
                                    </w:rPr>
                                    <w:t>4 rue Erasme, L-1468 Luxembourg</w:t>
                                  </w:r>
                                </w:p>
                                <w:p w14:paraId="1F041EB1" w14:textId="77777777" w:rsidR="00306780" w:rsidRPr="00A57A84" w:rsidRDefault="00306780" w:rsidP="00306780">
                                  <w:pPr>
                                    <w:pStyle w:val="Backcover"/>
                                  </w:pPr>
                                  <w:r w:rsidRPr="00A57A84">
                                    <w:t>Grand Duchy of Luxembourg</w:t>
                                  </w:r>
                                </w:p>
                                <w:p w14:paraId="7C1A2A6A" w14:textId="77777777" w:rsidR="00306780" w:rsidRPr="00A57A84" w:rsidRDefault="00306780" w:rsidP="00306780">
                                  <w:pPr>
                                    <w:pStyle w:val="Backcover"/>
                                  </w:pPr>
                                  <w:r w:rsidRPr="00A57A84">
                                    <w:t>Phone: +352 20 600 280</w:t>
                                  </w:r>
                                </w:p>
                                <w:p w14:paraId="12DA149B" w14:textId="77777777" w:rsidR="00306780" w:rsidRPr="00A57A84" w:rsidRDefault="00306780" w:rsidP="00306780">
                                  <w:pPr>
                                    <w:pStyle w:val="Backcover"/>
                                  </w:pPr>
                                  <w:r w:rsidRPr="00A57A84">
                                    <w:t xml:space="preserve">Email: </w:t>
                                  </w:r>
                                  <w:hyperlink r:id="rId42" w:history="1">
                                    <w:r w:rsidRPr="00A57A84">
                                      <w:t>info@espon.eu</w:t>
                                    </w:r>
                                  </w:hyperlink>
                                </w:p>
                                <w:p w14:paraId="53552798" w14:textId="77777777" w:rsidR="00306780" w:rsidRPr="00A57A84" w:rsidRDefault="006839DA" w:rsidP="00306780">
                                  <w:pPr>
                                    <w:pStyle w:val="Backcover"/>
                                  </w:pPr>
                                  <w:hyperlink r:id="rId43" w:history="1">
                                    <w:r w:rsidR="00306780" w:rsidRPr="00A57A84">
                                      <w:t>www.espon.eu</w:t>
                                    </w:r>
                                  </w:hyperlink>
                                </w:p>
                                <w:p w14:paraId="04DCCF49" w14:textId="77777777" w:rsidR="00306780" w:rsidRPr="00A57A84" w:rsidRDefault="00306780" w:rsidP="00306780">
                                  <w:pPr>
                                    <w:pStyle w:val="Backcover"/>
                                  </w:pPr>
                                </w:p>
                                <w:p w14:paraId="2608C790" w14:textId="77777777" w:rsidR="00306780" w:rsidRDefault="00431591" w:rsidP="00306780">
                                  <w:pPr>
                                    <w:pStyle w:val="Backcover"/>
                                  </w:pPr>
                                  <w:r w:rsidRPr="00431591">
                                    <w:t>The Single Operation within the programme is implemented by the ESPON EGTC and co-financed by the European Regional Development Fund, the EU Member States, the United Kingdom and the Partner States, Iceland, Liechtenstein, Norway and Switzerland.</w:t>
                                  </w:r>
                                </w:p>
                                <w:p w14:paraId="39DCA0F3" w14:textId="77777777" w:rsidR="00431591" w:rsidRPr="00431591" w:rsidRDefault="00431591" w:rsidP="00306780">
                                  <w:pPr>
                                    <w:pStyle w:val="Backcover"/>
                                    <w:rPr>
                                      <w:lang w:val="en-US"/>
                                    </w:rPr>
                                  </w:pPr>
                                </w:p>
                                <w:p w14:paraId="6017689C" w14:textId="77777777" w:rsidR="00306780" w:rsidRPr="00A57A84" w:rsidRDefault="00306780" w:rsidP="00306780">
                                  <w:pPr>
                                    <w:pStyle w:val="Backcover"/>
                                  </w:pPr>
                                  <w:r w:rsidRPr="00A57A84">
                                    <w:t>Disclaimer</w:t>
                                  </w:r>
                                </w:p>
                                <w:p w14:paraId="7D151CCF" w14:textId="77777777" w:rsidR="00306780" w:rsidRPr="001952A3" w:rsidRDefault="00306780" w:rsidP="00306780">
                                  <w:pPr>
                                    <w:pStyle w:val="Backcover"/>
                                  </w:pPr>
                                  <w:r w:rsidRPr="00A57A84">
                                    <w:t>This delivery does not necessarily reflect the opinion of the members of the ESPON 2020 Monitoring C</w:t>
                                  </w:r>
                                  <w:r>
                                    <w:t>ommittee.</w:t>
                                  </w:r>
                                </w:p>
                              </w:tc>
                            </w:tr>
                            <w:tr w:rsidR="00306780" w14:paraId="112BC50F" w14:textId="77777777" w:rsidTr="00A57A84">
                              <w:trPr>
                                <w:cantSplit/>
                                <w:trHeight w:hRule="exact" w:val="1418"/>
                              </w:trPr>
                              <w:tc>
                                <w:tcPr>
                                  <w:tcW w:w="1134" w:type="dxa"/>
                                  <w:shd w:val="clear" w:color="auto" w:fill="E5EBF8"/>
                                </w:tcPr>
                                <w:p w14:paraId="2F766C6E" w14:textId="77777777" w:rsidR="00306780" w:rsidRDefault="00306780" w:rsidP="00306780"/>
                              </w:tc>
                              <w:tc>
                                <w:tcPr>
                                  <w:tcW w:w="5669" w:type="dxa"/>
                                  <w:shd w:val="clear" w:color="auto" w:fill="E5EBF8"/>
                                  <w:tcMar>
                                    <w:left w:w="0" w:type="dxa"/>
                                    <w:bottom w:w="0" w:type="dxa"/>
                                    <w:right w:w="1871" w:type="dxa"/>
                                  </w:tcMar>
                                  <w:vAlign w:val="bottom"/>
                                </w:tcPr>
                                <w:p w14:paraId="6D2A7733" w14:textId="77777777" w:rsidR="00306780" w:rsidRPr="001952A3" w:rsidRDefault="00306780" w:rsidP="00306780"/>
                              </w:tc>
                            </w:tr>
                          </w:tbl>
                          <w:p w14:paraId="573388B8" w14:textId="77777777" w:rsidR="00E74C3E" w:rsidRDefault="00E74C3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0B384" id="Text Box 13" o:spid="_x0000_s1028" type="#_x0000_t202" style="position:absolute;left:0;text-align:left;margin-left:0;margin-top:0;width:340.15pt;height:841.9pt;z-index:25165824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" fillcolor="white [3201]" stroked="f" strokeweight=".5pt">
                <v:textbox inset="0,0,0,0">
                  <w:txbxContent>
                    <w:tbl>
                      <w:tblPr>
                        <w:tblW w:w="0" w:type="auto"/>
                        <w:tblLayout w:type="fixed"/>
                        <w:tblCellMar>
                          <w:left w:w="0" w:type="dxa"/>
                          <w:right w:w="0" w:type="dxa"/>
                        </w:tblCellMar>
                        <w:tblLook w:val="04A0" w:firstRow="1" w:lastRow="0" w:firstColumn="1" w:lastColumn="0" w:noHBand="0" w:noVBand="1"/>
                      </w:tblPr>
                      <w:tblGrid>
                        <w:gridCol w:w="1134"/>
                        <w:gridCol w:w="5669"/>
                      </w:tblGrid>
                      <w:tr w:rsidR="00306780" w14:paraId="7FFBE685" w14:textId="77777777" w:rsidTr="00A57A84">
                        <w:trPr>
                          <w:cantSplit/>
                          <w:trHeight w:hRule="exact" w:val="680"/>
                        </w:trPr>
                        <w:tc>
                          <w:tcPr>
                            <w:tcW w:w="1134" w:type="dxa"/>
                            <w:shd w:val="clear" w:color="auto" w:fill="E5EBF8"/>
                          </w:tcPr>
                          <w:p w14:paraId="177D0C41" w14:textId="77777777" w:rsidR="00306780" w:rsidRDefault="00306780" w:rsidP="00306780"/>
                        </w:tc>
                        <w:tc>
                          <w:tcPr>
                            <w:tcW w:w="5669" w:type="dxa"/>
                            <w:shd w:val="clear" w:color="auto" w:fill="E5EBF8"/>
                          </w:tcPr>
                          <w:p w14:paraId="334BDA21" w14:textId="77777777" w:rsidR="00306780" w:rsidRDefault="00306780" w:rsidP="00306780"/>
                        </w:tc>
                      </w:tr>
                      <w:tr w:rsidR="00306780" w14:paraId="587041A0" w14:textId="77777777" w:rsidTr="00A57A84">
                        <w:trPr>
                          <w:cantSplit/>
                          <w:trHeight w:hRule="exact" w:val="3175"/>
                        </w:trPr>
                        <w:tc>
                          <w:tcPr>
                            <w:tcW w:w="1134" w:type="dxa"/>
                            <w:shd w:val="clear" w:color="auto" w:fill="E5EBF8"/>
                          </w:tcPr>
                          <w:p w14:paraId="7DC787E8" w14:textId="77777777" w:rsidR="00306780" w:rsidRDefault="00306780" w:rsidP="00306780"/>
                        </w:tc>
                        <w:tc>
                          <w:tcPr>
                            <w:tcW w:w="5669" w:type="dxa"/>
                            <w:shd w:val="clear" w:color="auto" w:fill="E5EBF8"/>
                          </w:tcPr>
                          <w:p w14:paraId="6AB5B867" w14:textId="77777777" w:rsidR="00306780" w:rsidRDefault="00306780" w:rsidP="00306780">
                            <w:pPr>
                              <w:pStyle w:val="NoSpacing"/>
                            </w:pPr>
                            <w:r>
                              <w:rPr>
                                <w:noProof/>
                              </w:rPr>
                              <w:drawing>
                                <wp:inline distT="0" distB="0" distL="0" distR="0" wp14:anchorId="0E7EEF64" wp14:editId="36B29204">
                                  <wp:extent cx="2412000" cy="201960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ker til woed_pos logo.png"/>
                                          <pic:cNvPicPr/>
                                        </pic:nvPicPr>
                                        <pic:blipFill>
                                          <a:blip r:embed="rId41">
                                            <a:extLst>
                                              <a:ext uri="{28A0092B-C50C-407E-A947-70E740481C1C}">
                                                <a14:useLocalDpi xmlns:a14="http://schemas.microsoft.com/office/drawing/2010/main" val="0"/>
                                              </a:ext>
                                            </a:extLst>
                                          </a:blip>
                                          <a:stretch>
                                            <a:fillRect/>
                                          </a:stretch>
                                        </pic:blipFill>
                                        <pic:spPr>
                                          <a:xfrm>
                                            <a:off x="0" y="0"/>
                                            <a:ext cx="2412000" cy="2019600"/>
                                          </a:xfrm>
                                          <a:prstGeom prst="rect">
                                            <a:avLst/>
                                          </a:prstGeom>
                                        </pic:spPr>
                                      </pic:pic>
                                    </a:graphicData>
                                  </a:graphic>
                                </wp:inline>
                              </w:drawing>
                            </w:r>
                          </w:p>
                        </w:tc>
                      </w:tr>
                      <w:tr w:rsidR="00306780" w14:paraId="2DFF1FDF" w14:textId="77777777" w:rsidTr="00A57A84">
                        <w:trPr>
                          <w:cantSplit/>
                          <w:trHeight w:hRule="exact" w:val="11565"/>
                        </w:trPr>
                        <w:tc>
                          <w:tcPr>
                            <w:tcW w:w="1134" w:type="dxa"/>
                            <w:shd w:val="clear" w:color="auto" w:fill="E5EBF8"/>
                          </w:tcPr>
                          <w:p w14:paraId="65927AC7" w14:textId="77777777" w:rsidR="00306780" w:rsidRDefault="00306780" w:rsidP="00306780"/>
                        </w:tc>
                        <w:tc>
                          <w:tcPr>
                            <w:tcW w:w="5669" w:type="dxa"/>
                            <w:shd w:val="clear" w:color="auto" w:fill="E5EBF8"/>
                            <w:tcMar>
                              <w:left w:w="0" w:type="dxa"/>
                              <w:bottom w:w="0" w:type="dxa"/>
                              <w:right w:w="0" w:type="dxa"/>
                            </w:tcMar>
                            <w:vAlign w:val="bottom"/>
                          </w:tcPr>
                          <w:p w14:paraId="3F7D1476" w14:textId="77777777" w:rsidR="00306780" w:rsidRPr="006A3997" w:rsidRDefault="00306780" w:rsidP="00306780">
                            <w:pPr>
                              <w:pStyle w:val="Backcoverbold"/>
                              <w:rPr>
                                <w:lang w:val="fr-FR"/>
                              </w:rPr>
                            </w:pPr>
                            <w:r w:rsidRPr="006A3997">
                              <w:rPr>
                                <w:lang w:val="fr-FR"/>
                              </w:rPr>
                              <w:t>ESPON 2020</w:t>
                            </w:r>
                          </w:p>
                          <w:p w14:paraId="3C86C97C" w14:textId="77777777" w:rsidR="00306780" w:rsidRPr="006A3997" w:rsidRDefault="00306780" w:rsidP="00306780">
                            <w:pPr>
                              <w:pStyle w:val="Backcover"/>
                              <w:rPr>
                                <w:lang w:val="fr-FR"/>
                              </w:rPr>
                            </w:pPr>
                            <w:r w:rsidRPr="006A3997">
                              <w:rPr>
                                <w:lang w:val="fr-FR"/>
                              </w:rPr>
                              <w:t>ESPON EGTC</w:t>
                            </w:r>
                          </w:p>
                          <w:p w14:paraId="19EC72FD" w14:textId="77777777" w:rsidR="00306780" w:rsidRPr="006A3997" w:rsidRDefault="00306780" w:rsidP="00306780">
                            <w:pPr>
                              <w:pStyle w:val="Backcover"/>
                              <w:rPr>
                                <w:lang w:val="fr-FR"/>
                              </w:rPr>
                            </w:pPr>
                            <w:r w:rsidRPr="006A3997">
                              <w:rPr>
                                <w:lang w:val="fr-FR"/>
                              </w:rPr>
                              <w:t>4 rue Erasme, L-1468 Luxembourg</w:t>
                            </w:r>
                          </w:p>
                          <w:p w14:paraId="1F041EB1" w14:textId="77777777" w:rsidR="00306780" w:rsidRPr="00A57A84" w:rsidRDefault="00306780" w:rsidP="00306780">
                            <w:pPr>
                              <w:pStyle w:val="Backcover"/>
                            </w:pPr>
                            <w:r w:rsidRPr="00A57A84">
                              <w:t>Grand Duchy of Luxembourg</w:t>
                            </w:r>
                          </w:p>
                          <w:p w14:paraId="7C1A2A6A" w14:textId="77777777" w:rsidR="00306780" w:rsidRPr="00A57A84" w:rsidRDefault="00306780" w:rsidP="00306780">
                            <w:pPr>
                              <w:pStyle w:val="Backcover"/>
                            </w:pPr>
                            <w:r w:rsidRPr="00A57A84">
                              <w:t>Phone: +352 20 600 280</w:t>
                            </w:r>
                          </w:p>
                          <w:p w14:paraId="12DA149B" w14:textId="77777777" w:rsidR="00306780" w:rsidRPr="00A57A84" w:rsidRDefault="00306780" w:rsidP="00306780">
                            <w:pPr>
                              <w:pStyle w:val="Backcover"/>
                            </w:pPr>
                            <w:r w:rsidRPr="00A57A84">
                              <w:t xml:space="preserve">Email: </w:t>
                            </w:r>
                            <w:hyperlink r:id="rId44" w:history="1">
                              <w:r w:rsidRPr="00A57A84">
                                <w:t>info@espon.eu</w:t>
                              </w:r>
                            </w:hyperlink>
                          </w:p>
                          <w:p w14:paraId="53552798" w14:textId="77777777" w:rsidR="00306780" w:rsidRPr="00A57A84" w:rsidRDefault="006839DA" w:rsidP="00306780">
                            <w:pPr>
                              <w:pStyle w:val="Backcover"/>
                            </w:pPr>
                            <w:hyperlink r:id="rId45" w:history="1">
                              <w:r w:rsidR="00306780" w:rsidRPr="00A57A84">
                                <w:t>www.espon.eu</w:t>
                              </w:r>
                            </w:hyperlink>
                          </w:p>
                          <w:p w14:paraId="04DCCF49" w14:textId="77777777" w:rsidR="00306780" w:rsidRPr="00A57A84" w:rsidRDefault="00306780" w:rsidP="00306780">
                            <w:pPr>
                              <w:pStyle w:val="Backcover"/>
                            </w:pPr>
                          </w:p>
                          <w:p w14:paraId="2608C790" w14:textId="77777777" w:rsidR="00306780" w:rsidRDefault="00431591" w:rsidP="00306780">
                            <w:pPr>
                              <w:pStyle w:val="Backcover"/>
                            </w:pPr>
                            <w:r w:rsidRPr="00431591">
                              <w:t>The Single Operation within the programme is implemented by the ESPON EGTC and co-financed by the European Regional Development Fund, the EU Member States, the United Kingdom and the Partner States, Iceland, Liechtenstein, Norway and Switzerland.</w:t>
                            </w:r>
                          </w:p>
                          <w:p w14:paraId="39DCA0F3" w14:textId="77777777" w:rsidR="00431591" w:rsidRPr="00431591" w:rsidRDefault="00431591" w:rsidP="00306780">
                            <w:pPr>
                              <w:pStyle w:val="Backcover"/>
                              <w:rPr>
                                <w:lang w:val="en-US"/>
                              </w:rPr>
                            </w:pPr>
                          </w:p>
                          <w:p w14:paraId="6017689C" w14:textId="77777777" w:rsidR="00306780" w:rsidRPr="00A57A84" w:rsidRDefault="00306780" w:rsidP="00306780">
                            <w:pPr>
                              <w:pStyle w:val="Backcover"/>
                            </w:pPr>
                            <w:r w:rsidRPr="00A57A84">
                              <w:t>Disclaimer</w:t>
                            </w:r>
                          </w:p>
                          <w:p w14:paraId="7D151CCF" w14:textId="77777777" w:rsidR="00306780" w:rsidRPr="001952A3" w:rsidRDefault="00306780" w:rsidP="00306780">
                            <w:pPr>
                              <w:pStyle w:val="Backcover"/>
                            </w:pPr>
                            <w:r w:rsidRPr="00A57A84">
                              <w:t>This delivery does not necessarily reflect the opinion of the members of the ESPON 2020 Monitoring C</w:t>
                            </w:r>
                            <w:r>
                              <w:t>ommittee.</w:t>
                            </w:r>
                          </w:p>
                        </w:tc>
                      </w:tr>
                      <w:tr w:rsidR="00306780" w14:paraId="112BC50F" w14:textId="77777777" w:rsidTr="00A57A84">
                        <w:trPr>
                          <w:cantSplit/>
                          <w:trHeight w:hRule="exact" w:val="1418"/>
                        </w:trPr>
                        <w:tc>
                          <w:tcPr>
                            <w:tcW w:w="1134" w:type="dxa"/>
                            <w:shd w:val="clear" w:color="auto" w:fill="E5EBF8"/>
                          </w:tcPr>
                          <w:p w14:paraId="2F766C6E" w14:textId="77777777" w:rsidR="00306780" w:rsidRDefault="00306780" w:rsidP="00306780"/>
                        </w:tc>
                        <w:tc>
                          <w:tcPr>
                            <w:tcW w:w="5669" w:type="dxa"/>
                            <w:shd w:val="clear" w:color="auto" w:fill="E5EBF8"/>
                            <w:tcMar>
                              <w:left w:w="0" w:type="dxa"/>
                              <w:bottom w:w="0" w:type="dxa"/>
                              <w:right w:w="1871" w:type="dxa"/>
                            </w:tcMar>
                            <w:vAlign w:val="bottom"/>
                          </w:tcPr>
                          <w:p w14:paraId="6D2A7733" w14:textId="77777777" w:rsidR="00306780" w:rsidRPr="001952A3" w:rsidRDefault="00306780" w:rsidP="00306780"/>
                        </w:tc>
                      </w:tr>
                    </w:tbl>
                    <w:p w14:paraId="573388B8" w14:textId="77777777" w:rsidR="00E74C3E" w:rsidRDefault="00E74C3E"/>
                  </w:txbxContent>
                </v:textbox>
                <w10:wrap type="topAndBottom" anchorx="page" anchory="page"/>
              </v:shape>
            </w:pict>
          </mc:Fallback>
        </mc:AlternateContent>
      </w:r>
      <w:r w:rsidR="004B36CA" w:rsidRPr="00702488">
        <w:rPr>
          <w:noProof/>
        </w:rPr>
        <mc:AlternateContent>
          <mc:Choice Requires="wps">
            <w:drawing>
              <wp:anchor distT="0" distB="0" distL="114300" distR="114300" simplePos="0" relativeHeight="251658241" behindDoc="0" locked="0" layoutInCell="1" allowOverlap="1" wp14:anchorId="0AAB1BED" wp14:editId="615AFA49">
                <wp:simplePos x="0" y="0"/>
                <wp:positionH relativeFrom="rightMargin">
                  <wp:align>right</wp:align>
                </wp:positionH>
                <wp:positionV relativeFrom="page">
                  <wp:align>top</wp:align>
                </wp:positionV>
                <wp:extent cx="7560000" cy="10692000"/>
                <wp:effectExtent l="0" t="0" r="3175" b="0"/>
                <wp:wrapTopAndBottom/>
                <wp:docPr id="9" name="Text Box 9"/>
                <wp:cNvGraphicFramePr/>
                <a:graphic xmlns:a="http://schemas.openxmlformats.org/drawingml/2006/main">
                  <a:graphicData uri="http://schemas.microsoft.com/office/word/2010/wordprocessingShape">
                    <wps:wsp>
                      <wps:cNvSpPr txBox="1"/>
                      <wps:spPr>
                        <a:xfrm>
                          <a:off x="0" y="0"/>
                          <a:ext cx="7560000" cy="10692000"/>
                        </a:xfrm>
                        <a:prstGeom prst="rect">
                          <a:avLst/>
                        </a:prstGeom>
                        <a:solidFill>
                          <a:srgbClr val="C8D5EF"/>
                        </a:solidFill>
                        <a:ln w="6350">
                          <a:noFill/>
                        </a:ln>
                      </wps:spPr>
                      <wps:txbx>
                        <w:txbxContent>
                          <w:p w14:paraId="761A93F5" w14:textId="77777777" w:rsidR="004B36CA" w:rsidRDefault="004B36CA" w:rsidP="00550A26">
                            <w:pPr>
                              <w:jc w:val="right"/>
                            </w:pPr>
                          </w:p>
                        </w:txbxContent>
                      </wps:txbx>
                      <wps:bodyPr rot="0" spcFirstLastPara="0" vertOverflow="overflow" horzOverflow="overflow" vert="horz" wrap="square" lIns="0" tIns="0" rIns="1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B1BED" id="Text Box 9" o:spid="_x0000_s1029" type="#_x0000_t202" style="position:absolute;left:0;text-align:left;margin-left:544.1pt;margin-top:0;width:595.3pt;height:841.9pt;z-index:251658241;visibility:visible;mso-wrap-style:square;mso-width-percent:0;mso-height-percent:0;mso-wrap-distance-left:9pt;mso-wrap-distance-top:0;mso-wrap-distance-right:9pt;mso-wrap-distance-bottom:0;mso-position-horizontal:right;mso-position-horizontal-relative:right-margin-area;mso-position-vertical:top;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" fillcolor="#c8d5ef" stroked="f" strokeweight=".5pt">
                <v:textbox inset="0,0,5mm,0">
                  <w:txbxContent>
                    <w:p w14:paraId="761A93F5" w14:textId="77777777" w:rsidR="004B36CA" w:rsidRDefault="004B36CA" w:rsidP="00550A26">
                      <w:pPr>
                        <w:jc w:val="right"/>
                      </w:pPr>
                    </w:p>
                  </w:txbxContent>
                </v:textbox>
                <w10:wrap type="topAndBottom" anchorx="margin" anchory="page"/>
              </v:shape>
            </w:pict>
          </mc:Fallback>
        </mc:AlternateContent>
      </w:r>
    </w:p>
    <w:sectPr w:rsidR="00585EC9" w:rsidRPr="00702488" w:rsidSect="00D47D54">
      <w:headerReference w:type="default" r:id="rId46"/>
      <w:footerReference w:type="default" r:id="rId47"/>
      <w:headerReference w:type="first" r:id="rId48"/>
      <w:footerReference w:type="first" r:id="rId49"/>
      <w:type w:val="oddPage"/>
      <w:pgSz w:w="11906" w:h="16838" w:code="9"/>
      <w:pgMar w:top="1418" w:right="1701" w:bottom="1418" w:left="1701"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8E293" w14:textId="77777777" w:rsidR="00776DC4" w:rsidRDefault="00776DC4" w:rsidP="00524A38">
      <w:pPr>
        <w:spacing w:before="0" w:line="240" w:lineRule="auto"/>
      </w:pPr>
      <w:r>
        <w:separator/>
      </w:r>
    </w:p>
  </w:endnote>
  <w:endnote w:type="continuationSeparator" w:id="0">
    <w:p w14:paraId="2A77EAB2" w14:textId="77777777" w:rsidR="00776DC4" w:rsidRDefault="00776DC4" w:rsidP="00524A38">
      <w:pPr>
        <w:spacing w:before="0" w:line="240" w:lineRule="auto"/>
      </w:pPr>
      <w:r>
        <w:continuationSeparator/>
      </w:r>
    </w:p>
  </w:endnote>
  <w:endnote w:type="continuationNotice" w:id="1">
    <w:p w14:paraId="4ABEC041" w14:textId="77777777" w:rsidR="00776DC4" w:rsidRDefault="00776DC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A1"/>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E2CCB" w14:textId="77777777" w:rsidR="00251584" w:rsidRPr="00251584" w:rsidRDefault="00251584" w:rsidP="00251584">
    <w:pPr>
      <w:pStyle w:val="Header"/>
      <w:rPr>
        <w:color w:val="777776"/>
      </w:rPr>
    </w:pPr>
    <w:r w:rsidRPr="00397C07">
      <w:rPr>
        <w:b/>
        <w:bCs/>
      </w:rPr>
      <w:fldChar w:fldCharType="begin"/>
    </w:r>
    <w:r w:rsidRPr="00397C07">
      <w:rPr>
        <w:b/>
        <w:bCs/>
      </w:rPr>
      <w:instrText>PAGE   \* MERGEFORMAT</w:instrText>
    </w:r>
    <w:r w:rsidRPr="00397C07">
      <w:rPr>
        <w:b/>
        <w:bCs/>
      </w:rPr>
      <w:fldChar w:fldCharType="separate"/>
    </w:r>
    <w:r>
      <w:rPr>
        <w:b/>
        <w:bCs/>
      </w:rPr>
      <w:t>6</w:t>
    </w:r>
    <w:r w:rsidRPr="00397C07">
      <w:rPr>
        <w:b/>
        <w:bCs/>
      </w:rPr>
      <w:fldChar w:fldCharType="end"/>
    </w:r>
    <w:r>
      <w:rPr>
        <w:b/>
        <w:bCs/>
      </w:rPr>
      <w:tab/>
    </w:r>
    <w:r w:rsidRPr="00397C07">
      <w:t>ESPON</w:t>
    </w:r>
    <w:r>
      <w:t xml:space="preserve"> // </w:t>
    </w:r>
    <w:r w:rsidRPr="00397C07">
      <w:rPr>
        <w:rStyle w:val="HeaderFooterGrey"/>
        <w:caps w:val="0"/>
      </w:rPr>
      <w:t>espon.eu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C6780" w14:textId="77777777" w:rsidR="00397C07" w:rsidRPr="00397C07" w:rsidRDefault="00251584" w:rsidP="00364622">
    <w:pPr>
      <w:pStyle w:val="Header"/>
      <w:tabs>
        <w:tab w:val="clear" w:pos="340"/>
        <w:tab w:val="clear" w:pos="4513"/>
        <w:tab w:val="right" w:pos="8165"/>
      </w:tabs>
      <w:rPr>
        <w:rStyle w:val="HeaderFooterGrey"/>
      </w:rPr>
    </w:pPr>
    <w:r>
      <w:tab/>
    </w:r>
    <w:r w:rsidR="00397C07" w:rsidRPr="00397C07">
      <w:t>ESPON</w:t>
    </w:r>
    <w:r w:rsidR="00397C07">
      <w:t xml:space="preserve"> // </w:t>
    </w:r>
    <w:r w:rsidR="00397C07" w:rsidRPr="00397C07">
      <w:rPr>
        <w:rStyle w:val="HeaderFooterGrey"/>
        <w:caps w:val="0"/>
      </w:rPr>
      <w:t>espon.eu</w:t>
    </w:r>
    <w:r>
      <w:rPr>
        <w:rStyle w:val="HeaderFooterGrey"/>
        <w:caps w:val="0"/>
      </w:rPr>
      <w:tab/>
    </w:r>
    <w:r w:rsidRPr="00397C07">
      <w:rPr>
        <w:b/>
        <w:bCs/>
      </w:rPr>
      <w:fldChar w:fldCharType="begin"/>
    </w:r>
    <w:r w:rsidRPr="00397C07">
      <w:rPr>
        <w:b/>
        <w:bCs/>
      </w:rPr>
      <w:instrText>PAGE   \* MERGEFORMAT</w:instrText>
    </w:r>
    <w:r w:rsidRPr="00397C07">
      <w:rPr>
        <w:b/>
        <w:bCs/>
      </w:rPr>
      <w:fldChar w:fldCharType="separate"/>
    </w:r>
    <w:r>
      <w:rPr>
        <w:b/>
        <w:bCs/>
      </w:rPr>
      <w:t>5</w:t>
    </w:r>
    <w:r w:rsidRPr="00397C07">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83289" w14:textId="77777777" w:rsidR="00593B6A" w:rsidRPr="00251584" w:rsidRDefault="00593B6A" w:rsidP="00251584">
    <w:pPr>
      <w:pStyle w:val="Header"/>
      <w:rPr>
        <w:color w:val="777776"/>
      </w:rPr>
    </w:pPr>
    <w:r w:rsidRPr="00397C07">
      <w:rPr>
        <w:b/>
        <w:bCs/>
      </w:rPr>
      <w:fldChar w:fldCharType="begin"/>
    </w:r>
    <w:r w:rsidRPr="00397C07">
      <w:rPr>
        <w:b/>
        <w:bCs/>
      </w:rPr>
      <w:instrText>PAGE   \* MERGEFORMAT</w:instrText>
    </w:r>
    <w:r w:rsidRPr="00397C07">
      <w:rPr>
        <w:b/>
        <w:bCs/>
      </w:rPr>
      <w:fldChar w:fldCharType="separate"/>
    </w:r>
    <w:r>
      <w:rPr>
        <w:b/>
        <w:bCs/>
      </w:rPr>
      <w:t>6</w:t>
    </w:r>
    <w:r w:rsidRPr="00397C07">
      <w:rPr>
        <w:b/>
        <w:bCs/>
      </w:rPr>
      <w:fldChar w:fldCharType="end"/>
    </w:r>
    <w:r>
      <w:rPr>
        <w:b/>
        <w:bCs/>
      </w:rPr>
      <w:tab/>
    </w:r>
    <w:r w:rsidRPr="00397C07">
      <w:t>ESPON</w:t>
    </w:r>
    <w:r>
      <w:t xml:space="preserve"> // </w:t>
    </w:r>
    <w:r w:rsidRPr="00397C07">
      <w:rPr>
        <w:rStyle w:val="HeaderFooterGrey"/>
        <w:caps w:val="0"/>
      </w:rPr>
      <w:t>espon.eu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2BEBE" w14:textId="77777777" w:rsidR="00593B6A" w:rsidRPr="00397C07" w:rsidRDefault="00593B6A" w:rsidP="00364622">
    <w:pPr>
      <w:pStyle w:val="Header"/>
      <w:tabs>
        <w:tab w:val="clear" w:pos="340"/>
        <w:tab w:val="clear" w:pos="4513"/>
        <w:tab w:val="right" w:pos="8165"/>
      </w:tabs>
      <w:rPr>
        <w:rStyle w:val="HeaderFooterGrey"/>
      </w:rPr>
    </w:pPr>
    <w:r>
      <w:tab/>
    </w:r>
    <w:r w:rsidRPr="00397C07">
      <w:t>ESPON</w:t>
    </w:r>
    <w:r>
      <w:t xml:space="preserve"> // </w:t>
    </w:r>
    <w:r w:rsidRPr="00397C07">
      <w:rPr>
        <w:rStyle w:val="HeaderFooterGrey"/>
        <w:caps w:val="0"/>
      </w:rPr>
      <w:t>espon.eu</w:t>
    </w:r>
    <w:r>
      <w:rPr>
        <w:rStyle w:val="HeaderFooterGrey"/>
        <w:caps w:val="0"/>
      </w:rPr>
      <w:tab/>
    </w:r>
    <w:r w:rsidRPr="00397C07">
      <w:rPr>
        <w:b/>
        <w:bCs/>
      </w:rPr>
      <w:fldChar w:fldCharType="begin"/>
    </w:r>
    <w:r w:rsidRPr="00397C07">
      <w:rPr>
        <w:b/>
        <w:bCs/>
      </w:rPr>
      <w:instrText>PAGE   \* MERGEFORMAT</w:instrText>
    </w:r>
    <w:r w:rsidRPr="00397C07">
      <w:rPr>
        <w:b/>
        <w:bCs/>
      </w:rPr>
      <w:fldChar w:fldCharType="separate"/>
    </w:r>
    <w:r>
      <w:rPr>
        <w:b/>
        <w:bCs/>
      </w:rPr>
      <w:t>5</w:t>
    </w:r>
    <w:r w:rsidRPr="00397C07">
      <w:rPr>
        <w:b/>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1DBF7" w14:textId="77777777" w:rsidR="006954A8" w:rsidRPr="006954A8" w:rsidRDefault="006954A8" w:rsidP="006954A8">
    <w:pPr>
      <w:pStyle w:val="Footer"/>
      <w:rPr>
        <w:rStyle w:val="HeaderFooterGrey"/>
        <w:color w:val="auto"/>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5D7A9" w14:textId="77777777" w:rsidR="00D47D54" w:rsidRDefault="00D47D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AFC7F" w14:textId="77777777" w:rsidR="00776DC4" w:rsidRDefault="00776DC4" w:rsidP="00827BDF">
      <w:pPr>
        <w:pStyle w:val="Footer"/>
        <w:spacing w:before="600"/>
      </w:pPr>
    </w:p>
    <w:p w14:paraId="4F956C7A" w14:textId="77777777" w:rsidR="00776DC4" w:rsidRPr="00827BDF" w:rsidRDefault="00776DC4" w:rsidP="008F11B5">
      <w:pPr>
        <w:pStyle w:val="Footer"/>
        <w:pBdr>
          <w:top w:val="single" w:sz="4" w:space="1" w:color="0B1741"/>
        </w:pBdr>
        <w:spacing w:before="0" w:line="20" w:lineRule="exact"/>
      </w:pPr>
    </w:p>
  </w:footnote>
  <w:footnote w:type="continuationSeparator" w:id="0">
    <w:p w14:paraId="765F3259" w14:textId="77777777" w:rsidR="00776DC4" w:rsidRDefault="00776DC4" w:rsidP="00524A38">
      <w:pPr>
        <w:spacing w:before="0" w:line="240" w:lineRule="auto"/>
      </w:pPr>
      <w:r>
        <w:continuationSeparator/>
      </w:r>
    </w:p>
  </w:footnote>
  <w:footnote w:type="continuationNotice" w:id="1">
    <w:p w14:paraId="6041DA6B" w14:textId="77777777" w:rsidR="00776DC4" w:rsidRDefault="00776DC4">
      <w:pPr>
        <w:spacing w:before="0" w:line="240" w:lineRule="auto"/>
      </w:pPr>
    </w:p>
  </w:footnote>
  <w:footnote w:id="2">
    <w:p w14:paraId="03C270A2" w14:textId="77777777" w:rsidR="006A2C15" w:rsidRPr="007814C2" w:rsidRDefault="006A2C15" w:rsidP="006A2C15">
      <w:pPr>
        <w:pStyle w:val="FootnoteText"/>
        <w:rPr>
          <w:lang w:val="en-US"/>
        </w:rPr>
      </w:pPr>
      <w:r w:rsidRPr="00F54737">
        <w:rPr>
          <w:rStyle w:val="FootnoteReference"/>
        </w:rPr>
        <w:footnoteRef/>
      </w:r>
      <w:r>
        <w:t xml:space="preserve"> </w:t>
      </w:r>
      <w:r w:rsidRPr="006B1EE9">
        <w:t>https://danube-region.eu/</w:t>
      </w:r>
    </w:p>
  </w:footnote>
  <w:footnote w:id="3">
    <w:p w14:paraId="3F44E872" w14:textId="77777777" w:rsidR="00210242" w:rsidRPr="00C738E2" w:rsidRDefault="00210242" w:rsidP="00210242">
      <w:pPr>
        <w:pStyle w:val="FootnoteText"/>
      </w:pPr>
      <w:r w:rsidRPr="00F54737">
        <w:rPr>
          <w:rStyle w:val="FootnoteReference"/>
        </w:rPr>
        <w:footnoteRef/>
      </w:r>
      <w:r>
        <w:t xml:space="preserve"> Summum bonum: latin for the greatest good. </w:t>
      </w:r>
    </w:p>
  </w:footnote>
  <w:footnote w:id="4">
    <w:p w14:paraId="4BE45996" w14:textId="498809CB" w:rsidR="009B4D45" w:rsidRPr="009B4D45" w:rsidRDefault="009B4D45">
      <w:pPr>
        <w:pStyle w:val="FootnoteText"/>
        <w:rPr>
          <w:lang w:val="en-US"/>
        </w:rPr>
      </w:pPr>
      <w:r w:rsidRPr="00F54737">
        <w:rPr>
          <w:rStyle w:val="FootnoteReference"/>
        </w:rPr>
        <w:footnoteRef/>
      </w:r>
      <w:r>
        <w:t xml:space="preserve"> </w:t>
      </w:r>
      <w:r w:rsidRPr="00FC11F3">
        <w:rPr>
          <w:sz w:val="15"/>
          <w:szCs w:val="15"/>
          <w:lang w:val="en-US"/>
        </w:rPr>
        <w:t>Taxes on a market transaction that creates a negative externality, or an additional cost, borne by individuals not directly involved in the transaction.</w:t>
      </w:r>
    </w:p>
  </w:footnote>
  <w:footnote w:id="5">
    <w:p w14:paraId="007D4405" w14:textId="77777777" w:rsidR="00E513AA" w:rsidRPr="00FC11F3" w:rsidRDefault="00E513AA" w:rsidP="00E513AA">
      <w:pPr>
        <w:pStyle w:val="FootnoteText"/>
        <w:rPr>
          <w:lang w:val="en-US"/>
        </w:rPr>
      </w:pPr>
      <w:r w:rsidRPr="00F54737">
        <w:rPr>
          <w:rStyle w:val="FootnoteReference"/>
        </w:rPr>
        <w:footnoteRef/>
      </w:r>
      <w:r>
        <w:t xml:space="preserve"> </w:t>
      </w:r>
      <w:r w:rsidRPr="00FC11F3">
        <w:rPr>
          <w:sz w:val="15"/>
          <w:szCs w:val="15"/>
          <w:lang w:val="en-US"/>
        </w:rPr>
        <w:t>Taxes on a market transaction that creates a negative externality, or an additional cost, borne by individuals not directly involved in the transaction.</w:t>
      </w:r>
    </w:p>
  </w:footnote>
  <w:footnote w:id="6">
    <w:p w14:paraId="0D390F8B" w14:textId="77777777" w:rsidR="00873B21" w:rsidRPr="001A7558" w:rsidRDefault="00873B21" w:rsidP="00873B21">
      <w:pPr>
        <w:pStyle w:val="FootnoteText"/>
        <w:rPr>
          <w:lang w:val="en-US"/>
        </w:rPr>
      </w:pPr>
      <w:r w:rsidRPr="00F54737">
        <w:rPr>
          <w:rStyle w:val="FootnoteReference"/>
        </w:rPr>
        <w:footnoteRef/>
      </w:r>
      <w:r>
        <w:t xml:space="preserve"> </w:t>
      </w:r>
      <w:r w:rsidRPr="001A7558">
        <w:rPr>
          <w:lang w:val="en-US"/>
        </w:rPr>
        <w:t xml:space="preserve">See e.g. </w:t>
      </w:r>
      <w:hyperlink r:id="rId1" w:history="1">
        <w:r w:rsidRPr="000C69FC">
          <w:rPr>
            <w:rStyle w:val="Hyperlink"/>
          </w:rPr>
          <w:t>https://www.iea.org/reports/a-10-point-plan-to-cut-oil-use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84D5C" w14:textId="77777777" w:rsidR="00251584" w:rsidRDefault="00251584">
    <w:pPr>
      <w:pStyle w:val="Header"/>
    </w:pPr>
    <w:r>
      <w:rPr>
        <w:noProof/>
      </w:rPr>
      <mc:AlternateContent>
        <mc:Choice Requires="wps">
          <w:drawing>
            <wp:anchor distT="0" distB="0" distL="114300" distR="114300" simplePos="0" relativeHeight="251658242" behindDoc="1" locked="0" layoutInCell="1" allowOverlap="1" wp14:anchorId="41542295" wp14:editId="53BF7636">
              <wp:simplePos x="0" y="0"/>
              <wp:positionH relativeFrom="page">
                <wp:align>left</wp:align>
              </wp:positionH>
              <wp:positionV relativeFrom="page">
                <wp:align>top</wp:align>
              </wp:positionV>
              <wp:extent cx="7560000" cy="10692000"/>
              <wp:effectExtent l="0" t="0" r="3175" b="0"/>
              <wp:wrapNone/>
              <wp:docPr id="2" name="Text Box 2"/>
              <wp:cNvGraphicFramePr/>
              <a:graphic xmlns:a="http://schemas.openxmlformats.org/drawingml/2006/main">
                <a:graphicData uri="http://schemas.microsoft.com/office/word/2010/wordprocessingShape">
                  <wps:wsp>
                    <wps:cNvSpPr txBox="1"/>
                    <wps:spPr>
                      <a:xfrm>
                        <a:off x="0" y="0"/>
                        <a:ext cx="7560000" cy="10692000"/>
                      </a:xfrm>
                      <a:prstGeom prst="rect">
                        <a:avLst/>
                      </a:prstGeom>
                      <a:solidFill>
                        <a:srgbClr val="E5EBF8"/>
                      </a:solidFill>
                      <a:ln w="6350">
                        <a:noFill/>
                      </a:ln>
                    </wps:spPr>
                    <wps:txbx>
                      <w:txbxContent>
                        <w:p w14:paraId="7B987040" w14:textId="77777777" w:rsidR="00251584" w:rsidRDefault="00251584" w:rsidP="0025158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542295" id="_x0000_t202" coordsize="21600,21600" o:spt="202" path="m,l,21600r21600,l21600,xe">
              <v:stroke joinstyle="miter"/>
              <v:path gradientshapeok="t" o:connecttype="rect"/>
            </v:shapetype>
            <v:shape id="Text Box 2" o:spid="_x0000_s1030" type="#_x0000_t202" style="position:absolute;margin-left:0;margin-top:0;width:595.3pt;height:841.9pt;z-index:-25165823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" fillcolor="#e5ebf8" stroked="f" strokeweight=".5pt">
              <v:textbox inset="0,0,0,0">
                <w:txbxContent>
                  <w:p w14:paraId="7B987040" w14:textId="77777777" w:rsidR="00251584" w:rsidRDefault="00251584" w:rsidP="00251584"/>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DB190" w14:textId="77777777" w:rsidR="00524A38" w:rsidRDefault="00524A38">
    <w:pPr>
      <w:pStyle w:val="Header"/>
    </w:pPr>
    <w:r>
      <w:rPr>
        <w:noProof/>
      </w:rPr>
      <mc:AlternateContent>
        <mc:Choice Requires="wps">
          <w:drawing>
            <wp:anchor distT="0" distB="0" distL="114300" distR="114300" simplePos="0" relativeHeight="251658240" behindDoc="1" locked="0" layoutInCell="1" allowOverlap="1" wp14:anchorId="7326C56A" wp14:editId="31705E82">
              <wp:simplePos x="1257300" y="571500"/>
              <wp:positionH relativeFrom="page">
                <wp:align>left</wp:align>
              </wp:positionH>
              <wp:positionV relativeFrom="page">
                <wp:align>top</wp:align>
              </wp:positionV>
              <wp:extent cx="7560000" cy="10692000"/>
              <wp:effectExtent l="0" t="0" r="3175" b="0"/>
              <wp:wrapNone/>
              <wp:docPr id="4" name="Text Box 4"/>
              <wp:cNvGraphicFramePr/>
              <a:graphic xmlns:a="http://schemas.openxmlformats.org/drawingml/2006/main">
                <a:graphicData uri="http://schemas.microsoft.com/office/word/2010/wordprocessingShape">
                  <wps:wsp>
                    <wps:cNvSpPr txBox="1"/>
                    <wps:spPr>
                      <a:xfrm>
                        <a:off x="0" y="0"/>
                        <a:ext cx="7560000" cy="10692000"/>
                      </a:xfrm>
                      <a:prstGeom prst="rect">
                        <a:avLst/>
                      </a:prstGeom>
                      <a:solidFill>
                        <a:srgbClr val="E5EBF8"/>
                      </a:solidFill>
                      <a:ln w="6350">
                        <a:noFill/>
                      </a:ln>
                    </wps:spPr>
                    <wps:txbx>
                      <w:txbxContent>
                        <w:p w14:paraId="732852C8" w14:textId="77777777" w:rsidR="00524A38" w:rsidRDefault="00524A38" w:rsidP="00524A3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26C56A" id="_x0000_t202" coordsize="21600,21600" o:spt="202" path="m,l,21600r21600,l21600,xe">
              <v:stroke joinstyle="miter"/>
              <v:path gradientshapeok="t" o:connecttype="rect"/>
            </v:shapetype>
            <v:shape id="Text Box 4" o:spid="_x0000_s1031" type="#_x0000_t202" style="position:absolute;margin-left:0;margin-top:0;width:595.3pt;height:841.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" fillcolor="#e5ebf8" stroked="f" strokeweight=".5pt">
              <v:textbox inset="0,0,0,0">
                <w:txbxContent>
                  <w:p w14:paraId="732852C8" w14:textId="77777777" w:rsidR="00524A38" w:rsidRDefault="00524A38" w:rsidP="00524A38"/>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9866C" w14:textId="77777777" w:rsidR="00524A38" w:rsidRPr="00B302C8" w:rsidRDefault="00524A38" w:rsidP="00B302C8">
    <w:pPr>
      <w:pStyle w:val="Header"/>
      <w:rPr>
        <w:rStyle w:val="HeaderFooterGrey"/>
        <w:color w:val="16419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CAE94" w14:textId="0AE5DA1F" w:rsidR="00251584" w:rsidRPr="00251584" w:rsidRDefault="006839DA" w:rsidP="00251584">
    <w:pPr>
      <w:pStyle w:val="Header"/>
      <w:rPr>
        <w:color w:val="777776"/>
      </w:rPr>
    </w:pPr>
    <w:sdt>
      <w:sdtPr>
        <w:rPr>
          <w:color w:val="777776"/>
        </w:rPr>
        <w:id w:val="269899200"/>
        <w:placeholder>
          <w:docPart w:val="1C96597ED83D8A448C1BD8C31F94FE60"/>
        </w:placeholder>
        <w:dataBinding w:prefixMappings="xmlns:ns0='http://www.getsharp.dk/gsit_espon_report' " w:xpath="/ns0:gsit_espon_report[1]/ns0:publicationdata[1]/ns0:publicationtype[1]" w:storeItemID="{A9FD399A-B783-48CD-9A92-4847D56C8A13}"/>
        <w:text/>
      </w:sdtPr>
      <w:sdtEndPr>
        <w:rPr>
          <w:color w:val="164194"/>
        </w:rPr>
      </w:sdtEndPr>
      <w:sdtContent>
        <w:r w:rsidR="002D21C7">
          <w:rPr>
            <w:color w:val="777776"/>
          </w:rPr>
          <w:t>ESPON targeted analysis</w:t>
        </w:r>
      </w:sdtContent>
    </w:sdt>
    <w:r w:rsidR="00251584">
      <w:t xml:space="preserve"> // </w:t>
    </w:r>
    <w:sdt>
      <w:sdtPr>
        <w:rPr>
          <w:rStyle w:val="HeaderFooterGrey"/>
          <w:caps w:val="0"/>
        </w:rPr>
        <w:id w:val="105319162"/>
        <w:placeholder>
          <w:docPart w:val="9253BB8FC00F08488A98D8557FEFD52A"/>
        </w:placeholder>
        <w:dataBinding w:prefixMappings="xmlns:ns0='http://www.getsharp.dk/gsit_espon_report' " w:xpath="/ns0:gsit_espon_report[1]/ns0:publicationdata[1]/ns0:reporttitle[1]" w:storeItemID="{A9FD399A-B783-48CD-9A92-4847D56C8A13}"/>
        <w:text/>
      </w:sdtPr>
      <w:sdtEndPr>
        <w:rPr>
          <w:rStyle w:val="HeaderFooterGrey"/>
        </w:rPr>
      </w:sdtEndPr>
      <w:sdtContent>
        <w:r w:rsidR="006C658F">
          <w:rPr>
            <w:rStyle w:val="HeaderFooterGrey"/>
            <w:caps w:val="0"/>
          </w:rPr>
          <w:t>TEVI 2050</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A6EEC" w14:textId="5F7B4EBF" w:rsidR="00B302C8" w:rsidRPr="00E120F3" w:rsidRDefault="006839DA" w:rsidP="00251584">
    <w:pPr>
      <w:pStyle w:val="Header"/>
      <w:jc w:val="right"/>
      <w:rPr>
        <w:rStyle w:val="HeaderFooterGrey"/>
      </w:rPr>
    </w:pPr>
    <w:sdt>
      <w:sdtPr>
        <w:rPr>
          <w:color w:val="777776"/>
        </w:rPr>
        <w:id w:val="-1920856048"/>
        <w:placeholder>
          <w:docPart w:val="00F3EEAF8898D14EA0E3D5884A16C8CB"/>
        </w:placeholder>
        <w:dataBinding w:prefixMappings="xmlns:ns0='http://www.getsharp.dk/gsit_espon_report' " w:xpath="/ns0:gsit_espon_report[1]/ns0:publicationdata[1]/ns0:publicationtype[1]" w:storeItemID="{A9FD399A-B783-48CD-9A92-4847D56C8A13}"/>
        <w:text/>
      </w:sdtPr>
      <w:sdtEndPr>
        <w:rPr>
          <w:color w:val="164194"/>
        </w:rPr>
      </w:sdtEndPr>
      <w:sdtContent>
        <w:r w:rsidR="002D21C7">
          <w:rPr>
            <w:color w:val="777776"/>
          </w:rPr>
          <w:t>ESPON targeted analysis</w:t>
        </w:r>
      </w:sdtContent>
    </w:sdt>
    <w:r w:rsidR="00B302C8">
      <w:t xml:space="preserve"> // </w:t>
    </w:r>
    <w:sdt>
      <w:sdtPr>
        <w:rPr>
          <w:rStyle w:val="HeaderFooterGrey"/>
          <w:caps w:val="0"/>
        </w:rPr>
        <w:id w:val="2006326997"/>
        <w:placeholder>
          <w:docPart w:val="ACB21E3C39E4FA4290057C69F635E9E5"/>
        </w:placeholder>
        <w:dataBinding w:prefixMappings="xmlns:ns0='http://www.getsharp.dk/gsit_espon_report' " w:xpath="/ns0:gsit_espon_report[1]/ns0:publicationdata[1]/ns0:reporttitle[1]" w:storeItemID="{A9FD399A-B783-48CD-9A92-4847D56C8A13}"/>
        <w:text/>
      </w:sdtPr>
      <w:sdtEndPr>
        <w:rPr>
          <w:rStyle w:val="HeaderFooterGrey"/>
        </w:rPr>
      </w:sdtEndPr>
      <w:sdtContent>
        <w:r w:rsidR="006C658F">
          <w:rPr>
            <w:rStyle w:val="HeaderFooterGrey"/>
            <w:caps w:val="0"/>
          </w:rPr>
          <w:t>TEVI 2050</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94DB3" w14:textId="77777777" w:rsidR="00593B6A" w:rsidRPr="00251584" w:rsidRDefault="006839DA" w:rsidP="00251584">
    <w:pPr>
      <w:pStyle w:val="Header"/>
      <w:rPr>
        <w:color w:val="777776"/>
      </w:rPr>
    </w:pPr>
    <w:sdt>
      <w:sdtPr>
        <w:rPr>
          <w:color w:val="777776"/>
        </w:rPr>
        <w:id w:val="-775093610"/>
        <w:placeholder>
          <w:docPart w:val="1C96597ED83D8A448C1BD8C31F94FE60"/>
        </w:placeholder>
        <w:dataBinding w:prefixMappings="xmlns:ns0='http://www.getsharp.dk/gsit_espon_report' " w:xpath="/ns0:gsit_espon_report[1]/ns0:publicationdata[1]/ns0:publicationtype[1]" w:storeItemID="{A9FD399A-B783-48CD-9A92-4847D56C8A13}"/>
        <w:text/>
      </w:sdtPr>
      <w:sdtEndPr>
        <w:rPr>
          <w:color w:val="164194"/>
        </w:rPr>
      </w:sdtEndPr>
      <w:sdtContent>
        <w:r w:rsidR="00593B6A">
          <w:rPr>
            <w:color w:val="777776"/>
          </w:rPr>
          <w:t>ESPON targeted analysis</w:t>
        </w:r>
      </w:sdtContent>
    </w:sdt>
    <w:r w:rsidR="00593B6A">
      <w:t xml:space="preserve"> // </w:t>
    </w:r>
    <w:sdt>
      <w:sdtPr>
        <w:rPr>
          <w:rStyle w:val="HeaderFooterGrey"/>
          <w:caps w:val="0"/>
        </w:rPr>
        <w:id w:val="-2059468975"/>
        <w:placeholder>
          <w:docPart w:val="9253BB8FC00F08488A98D8557FEFD52A"/>
        </w:placeholder>
        <w:dataBinding w:prefixMappings="xmlns:ns0='http://www.getsharp.dk/gsit_espon_report' " w:xpath="/ns0:gsit_espon_report[1]/ns0:publicationdata[1]/ns0:reporttitle[1]" w:storeItemID="{A9FD399A-B783-48CD-9A92-4847D56C8A13}"/>
        <w:text/>
      </w:sdtPr>
      <w:sdtEndPr>
        <w:rPr>
          <w:rStyle w:val="HeaderFooterGrey"/>
        </w:rPr>
      </w:sdtEndPr>
      <w:sdtContent>
        <w:r w:rsidR="00593B6A">
          <w:rPr>
            <w:rStyle w:val="HeaderFooterGrey"/>
            <w:caps w:val="0"/>
          </w:rPr>
          <w:t>TEVI 2050</w:t>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2CA5A" w14:textId="77777777" w:rsidR="00593B6A" w:rsidRPr="00E120F3" w:rsidRDefault="006839DA" w:rsidP="00251584">
    <w:pPr>
      <w:pStyle w:val="Header"/>
      <w:jc w:val="right"/>
      <w:rPr>
        <w:rStyle w:val="HeaderFooterGrey"/>
      </w:rPr>
    </w:pPr>
    <w:sdt>
      <w:sdtPr>
        <w:rPr>
          <w:color w:val="777776"/>
        </w:rPr>
        <w:id w:val="861948758"/>
        <w:placeholder>
          <w:docPart w:val="00F3EEAF8898D14EA0E3D5884A16C8CB"/>
        </w:placeholder>
        <w:dataBinding w:prefixMappings="xmlns:ns0='http://www.getsharp.dk/gsit_espon_report' " w:xpath="/ns0:gsit_espon_report[1]/ns0:publicationdata[1]/ns0:publicationtype[1]" w:storeItemID="{A9FD399A-B783-48CD-9A92-4847D56C8A13}"/>
        <w:text/>
      </w:sdtPr>
      <w:sdtEndPr>
        <w:rPr>
          <w:color w:val="164194"/>
        </w:rPr>
      </w:sdtEndPr>
      <w:sdtContent>
        <w:r w:rsidR="00593B6A">
          <w:rPr>
            <w:color w:val="777776"/>
          </w:rPr>
          <w:t>ESPON targeted analysis</w:t>
        </w:r>
      </w:sdtContent>
    </w:sdt>
    <w:r w:rsidR="00593B6A">
      <w:t xml:space="preserve"> // </w:t>
    </w:r>
    <w:sdt>
      <w:sdtPr>
        <w:rPr>
          <w:rStyle w:val="HeaderFooterGrey"/>
          <w:caps w:val="0"/>
        </w:rPr>
        <w:id w:val="2013642230"/>
        <w:placeholder>
          <w:docPart w:val="ACB21E3C39E4FA4290057C69F635E9E5"/>
        </w:placeholder>
        <w:dataBinding w:prefixMappings="xmlns:ns0='http://www.getsharp.dk/gsit_espon_report' " w:xpath="/ns0:gsit_espon_report[1]/ns0:publicationdata[1]/ns0:reporttitle[1]" w:storeItemID="{A9FD399A-B783-48CD-9A92-4847D56C8A13}"/>
        <w:text/>
      </w:sdtPr>
      <w:sdtEndPr>
        <w:rPr>
          <w:rStyle w:val="HeaderFooterGrey"/>
        </w:rPr>
      </w:sdtEndPr>
      <w:sdtContent>
        <w:r w:rsidR="00593B6A">
          <w:rPr>
            <w:rStyle w:val="HeaderFooterGrey"/>
            <w:caps w:val="0"/>
          </w:rPr>
          <w:t>TEVI 2050</w:t>
        </w:r>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BB1CC" w14:textId="77777777" w:rsidR="006954A8" w:rsidRPr="006954A8" w:rsidRDefault="006954A8" w:rsidP="006954A8">
    <w:pPr>
      <w:rPr>
        <w:rStyle w:val="HeaderFooterGrey"/>
        <w:color w:val="auto"/>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C43D9" w14:textId="77777777" w:rsidR="00D47D54" w:rsidRDefault="00D47D54" w:rsidP="00D47D54">
    <w:r>
      <w:rPr>
        <w:noProof/>
      </w:rPr>
      <mc:AlternateContent>
        <mc:Choice Requires="wps">
          <w:drawing>
            <wp:anchor distT="0" distB="0" distL="114300" distR="114300" simplePos="0" relativeHeight="251658241" behindDoc="1" locked="0" layoutInCell="1" allowOverlap="1" wp14:anchorId="3EE66363" wp14:editId="277FB5B7">
              <wp:simplePos x="0" y="0"/>
              <wp:positionH relativeFrom="page">
                <wp:align>left</wp:align>
              </wp:positionH>
              <wp:positionV relativeFrom="page">
                <wp:align>top</wp:align>
              </wp:positionV>
              <wp:extent cx="7560000" cy="10692000"/>
              <wp:effectExtent l="0" t="0" r="3175" b="0"/>
              <wp:wrapNone/>
              <wp:docPr id="5" name="Text Box 5"/>
              <wp:cNvGraphicFramePr/>
              <a:graphic xmlns:a="http://schemas.openxmlformats.org/drawingml/2006/main">
                <a:graphicData uri="http://schemas.microsoft.com/office/word/2010/wordprocessingShape">
                  <wps:wsp>
                    <wps:cNvSpPr txBox="1"/>
                    <wps:spPr>
                      <a:xfrm>
                        <a:off x="0" y="0"/>
                        <a:ext cx="7560000" cy="10692000"/>
                      </a:xfrm>
                      <a:prstGeom prst="rect">
                        <a:avLst/>
                      </a:prstGeom>
                      <a:solidFill>
                        <a:srgbClr val="E5EBF8"/>
                      </a:solidFill>
                      <a:ln w="6350">
                        <a:noFill/>
                      </a:ln>
                    </wps:spPr>
                    <wps:txbx>
                      <w:txbxContent>
                        <w:p w14:paraId="37C963E0" w14:textId="77777777" w:rsidR="00D47D54" w:rsidRDefault="00D47D54" w:rsidP="00D47D5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E66363" id="_x0000_t202" coordsize="21600,21600" o:spt="202" path="m,l,21600r21600,l21600,xe">
              <v:stroke joinstyle="miter"/>
              <v:path gradientshapeok="t" o:connecttype="rect"/>
            </v:shapetype>
            <v:shape id="Text Box 5" o:spid="_x0000_s1032" type="#_x0000_t202" style="position:absolute;left:0;text-align:left;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" fillcolor="#e5ebf8" stroked="f" strokeweight=".5pt">
              <v:textbox inset="0,0,0,0">
                <w:txbxContent>
                  <w:p w14:paraId="37C963E0" w14:textId="77777777" w:rsidR="00D47D54" w:rsidRDefault="00D47D54" w:rsidP="00D47D54"/>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B94748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53662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B80888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A36CC0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CE8AE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B846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68A78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BBCA01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8405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D09FD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9673E2"/>
    <w:multiLevelType w:val="multilevel"/>
    <w:tmpl w:val="C8C6E504"/>
    <w:styleLink w:val="ESPONNumbers"/>
    <w:lvl w:ilvl="0">
      <w:start w:val="1"/>
      <w:numFmt w:val="decimal"/>
      <w:lvlText w:val="%1."/>
      <w:lvlJc w:val="left"/>
      <w:pPr>
        <w:ind w:left="340" w:hanging="340"/>
      </w:pPr>
      <w:rPr>
        <w:rFonts w:hint="default"/>
      </w:rPr>
    </w:lvl>
    <w:lvl w:ilvl="1">
      <w:start w:val="1"/>
      <w:numFmt w:val="none"/>
      <w:lvlText w:val=""/>
      <w:lvlJc w:val="left"/>
      <w:pPr>
        <w:ind w:left="340" w:firstLine="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1" w15:restartNumberingAfterBreak="0">
    <w:nsid w:val="045F6DCC"/>
    <w:multiLevelType w:val="hybridMultilevel"/>
    <w:tmpl w:val="F6F00EF8"/>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2" w15:restartNumberingAfterBreak="0">
    <w:nsid w:val="04E97F3E"/>
    <w:multiLevelType w:val="hybridMultilevel"/>
    <w:tmpl w:val="884C7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5930755"/>
    <w:multiLevelType w:val="hybridMultilevel"/>
    <w:tmpl w:val="F122524C"/>
    <w:lvl w:ilvl="0" w:tplc="9F445E2C">
      <w:start w:val="1"/>
      <w:numFmt w:val="bullet"/>
      <w:lvlText w:val=""/>
      <w:lvlJc w:val="left"/>
      <w:pPr>
        <w:tabs>
          <w:tab w:val="num" w:pos="720"/>
        </w:tabs>
        <w:ind w:left="720" w:hanging="360"/>
      </w:pPr>
      <w:rPr>
        <w:rFonts w:ascii="Symbol" w:hAnsi="Symbol" w:hint="default"/>
      </w:rPr>
    </w:lvl>
    <w:lvl w:ilvl="1" w:tplc="3ADA43CA" w:tentative="1">
      <w:start w:val="1"/>
      <w:numFmt w:val="bullet"/>
      <w:lvlText w:val=""/>
      <w:lvlJc w:val="left"/>
      <w:pPr>
        <w:tabs>
          <w:tab w:val="num" w:pos="1440"/>
        </w:tabs>
        <w:ind w:left="1440" w:hanging="360"/>
      </w:pPr>
      <w:rPr>
        <w:rFonts w:ascii="Symbol" w:hAnsi="Symbol" w:hint="default"/>
      </w:rPr>
    </w:lvl>
    <w:lvl w:ilvl="2" w:tplc="315866CA" w:tentative="1">
      <w:start w:val="1"/>
      <w:numFmt w:val="bullet"/>
      <w:lvlText w:val=""/>
      <w:lvlJc w:val="left"/>
      <w:pPr>
        <w:tabs>
          <w:tab w:val="num" w:pos="2160"/>
        </w:tabs>
        <w:ind w:left="2160" w:hanging="360"/>
      </w:pPr>
      <w:rPr>
        <w:rFonts w:ascii="Symbol" w:hAnsi="Symbol" w:hint="default"/>
      </w:rPr>
    </w:lvl>
    <w:lvl w:ilvl="3" w:tplc="BC70AAE0" w:tentative="1">
      <w:start w:val="1"/>
      <w:numFmt w:val="bullet"/>
      <w:lvlText w:val=""/>
      <w:lvlJc w:val="left"/>
      <w:pPr>
        <w:tabs>
          <w:tab w:val="num" w:pos="2880"/>
        </w:tabs>
        <w:ind w:left="2880" w:hanging="360"/>
      </w:pPr>
      <w:rPr>
        <w:rFonts w:ascii="Symbol" w:hAnsi="Symbol" w:hint="default"/>
      </w:rPr>
    </w:lvl>
    <w:lvl w:ilvl="4" w:tplc="FD4CFEAC" w:tentative="1">
      <w:start w:val="1"/>
      <w:numFmt w:val="bullet"/>
      <w:lvlText w:val=""/>
      <w:lvlJc w:val="left"/>
      <w:pPr>
        <w:tabs>
          <w:tab w:val="num" w:pos="3600"/>
        </w:tabs>
        <w:ind w:left="3600" w:hanging="360"/>
      </w:pPr>
      <w:rPr>
        <w:rFonts w:ascii="Symbol" w:hAnsi="Symbol" w:hint="default"/>
      </w:rPr>
    </w:lvl>
    <w:lvl w:ilvl="5" w:tplc="C482678C" w:tentative="1">
      <w:start w:val="1"/>
      <w:numFmt w:val="bullet"/>
      <w:lvlText w:val=""/>
      <w:lvlJc w:val="left"/>
      <w:pPr>
        <w:tabs>
          <w:tab w:val="num" w:pos="4320"/>
        </w:tabs>
        <w:ind w:left="4320" w:hanging="360"/>
      </w:pPr>
      <w:rPr>
        <w:rFonts w:ascii="Symbol" w:hAnsi="Symbol" w:hint="default"/>
      </w:rPr>
    </w:lvl>
    <w:lvl w:ilvl="6" w:tplc="DF985C7C" w:tentative="1">
      <w:start w:val="1"/>
      <w:numFmt w:val="bullet"/>
      <w:lvlText w:val=""/>
      <w:lvlJc w:val="left"/>
      <w:pPr>
        <w:tabs>
          <w:tab w:val="num" w:pos="5040"/>
        </w:tabs>
        <w:ind w:left="5040" w:hanging="360"/>
      </w:pPr>
      <w:rPr>
        <w:rFonts w:ascii="Symbol" w:hAnsi="Symbol" w:hint="default"/>
      </w:rPr>
    </w:lvl>
    <w:lvl w:ilvl="7" w:tplc="94FAA584" w:tentative="1">
      <w:start w:val="1"/>
      <w:numFmt w:val="bullet"/>
      <w:lvlText w:val=""/>
      <w:lvlJc w:val="left"/>
      <w:pPr>
        <w:tabs>
          <w:tab w:val="num" w:pos="5760"/>
        </w:tabs>
        <w:ind w:left="5760" w:hanging="360"/>
      </w:pPr>
      <w:rPr>
        <w:rFonts w:ascii="Symbol" w:hAnsi="Symbol" w:hint="default"/>
      </w:rPr>
    </w:lvl>
    <w:lvl w:ilvl="8" w:tplc="604809B4"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06621BBF"/>
    <w:multiLevelType w:val="hybridMultilevel"/>
    <w:tmpl w:val="6944B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6756BD6"/>
    <w:multiLevelType w:val="hybridMultilevel"/>
    <w:tmpl w:val="97FAD2F4"/>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6" w15:restartNumberingAfterBreak="0">
    <w:nsid w:val="0FFE28B2"/>
    <w:multiLevelType w:val="hybridMultilevel"/>
    <w:tmpl w:val="DC3A3AF0"/>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7" w15:restartNumberingAfterBreak="0">
    <w:nsid w:val="108C0F0E"/>
    <w:multiLevelType w:val="hybridMultilevel"/>
    <w:tmpl w:val="5390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1EF412F"/>
    <w:multiLevelType w:val="hybridMultilevel"/>
    <w:tmpl w:val="C52254A4"/>
    <w:lvl w:ilvl="0" w:tplc="6F766204">
      <w:start w:val="1"/>
      <w:numFmt w:val="bullet"/>
      <w:lvlText w:val="•"/>
      <w:lvlJc w:val="left"/>
      <w:pPr>
        <w:tabs>
          <w:tab w:val="num" w:pos="720"/>
        </w:tabs>
        <w:ind w:left="720" w:hanging="360"/>
      </w:pPr>
      <w:rPr>
        <w:rFonts w:ascii="Arial" w:hAnsi="Arial" w:hint="default"/>
      </w:rPr>
    </w:lvl>
    <w:lvl w:ilvl="1" w:tplc="C69E4B4A" w:tentative="1">
      <w:start w:val="1"/>
      <w:numFmt w:val="bullet"/>
      <w:lvlText w:val="•"/>
      <w:lvlJc w:val="left"/>
      <w:pPr>
        <w:tabs>
          <w:tab w:val="num" w:pos="1440"/>
        </w:tabs>
        <w:ind w:left="1440" w:hanging="360"/>
      </w:pPr>
      <w:rPr>
        <w:rFonts w:ascii="Arial" w:hAnsi="Arial" w:hint="default"/>
      </w:rPr>
    </w:lvl>
    <w:lvl w:ilvl="2" w:tplc="A44C5F92" w:tentative="1">
      <w:start w:val="1"/>
      <w:numFmt w:val="bullet"/>
      <w:lvlText w:val="•"/>
      <w:lvlJc w:val="left"/>
      <w:pPr>
        <w:tabs>
          <w:tab w:val="num" w:pos="2160"/>
        </w:tabs>
        <w:ind w:left="2160" w:hanging="360"/>
      </w:pPr>
      <w:rPr>
        <w:rFonts w:ascii="Arial" w:hAnsi="Arial" w:hint="default"/>
      </w:rPr>
    </w:lvl>
    <w:lvl w:ilvl="3" w:tplc="BC2ED3BE" w:tentative="1">
      <w:start w:val="1"/>
      <w:numFmt w:val="bullet"/>
      <w:lvlText w:val="•"/>
      <w:lvlJc w:val="left"/>
      <w:pPr>
        <w:tabs>
          <w:tab w:val="num" w:pos="2880"/>
        </w:tabs>
        <w:ind w:left="2880" w:hanging="360"/>
      </w:pPr>
      <w:rPr>
        <w:rFonts w:ascii="Arial" w:hAnsi="Arial" w:hint="default"/>
      </w:rPr>
    </w:lvl>
    <w:lvl w:ilvl="4" w:tplc="A2E6D126" w:tentative="1">
      <w:start w:val="1"/>
      <w:numFmt w:val="bullet"/>
      <w:lvlText w:val="•"/>
      <w:lvlJc w:val="left"/>
      <w:pPr>
        <w:tabs>
          <w:tab w:val="num" w:pos="3600"/>
        </w:tabs>
        <w:ind w:left="3600" w:hanging="360"/>
      </w:pPr>
      <w:rPr>
        <w:rFonts w:ascii="Arial" w:hAnsi="Arial" w:hint="default"/>
      </w:rPr>
    </w:lvl>
    <w:lvl w:ilvl="5" w:tplc="3CBED840" w:tentative="1">
      <w:start w:val="1"/>
      <w:numFmt w:val="bullet"/>
      <w:lvlText w:val="•"/>
      <w:lvlJc w:val="left"/>
      <w:pPr>
        <w:tabs>
          <w:tab w:val="num" w:pos="4320"/>
        </w:tabs>
        <w:ind w:left="4320" w:hanging="360"/>
      </w:pPr>
      <w:rPr>
        <w:rFonts w:ascii="Arial" w:hAnsi="Arial" w:hint="default"/>
      </w:rPr>
    </w:lvl>
    <w:lvl w:ilvl="6" w:tplc="D08413C6" w:tentative="1">
      <w:start w:val="1"/>
      <w:numFmt w:val="bullet"/>
      <w:lvlText w:val="•"/>
      <w:lvlJc w:val="left"/>
      <w:pPr>
        <w:tabs>
          <w:tab w:val="num" w:pos="5040"/>
        </w:tabs>
        <w:ind w:left="5040" w:hanging="360"/>
      </w:pPr>
      <w:rPr>
        <w:rFonts w:ascii="Arial" w:hAnsi="Arial" w:hint="default"/>
      </w:rPr>
    </w:lvl>
    <w:lvl w:ilvl="7" w:tplc="FEC4296A" w:tentative="1">
      <w:start w:val="1"/>
      <w:numFmt w:val="bullet"/>
      <w:lvlText w:val="•"/>
      <w:lvlJc w:val="left"/>
      <w:pPr>
        <w:tabs>
          <w:tab w:val="num" w:pos="5760"/>
        </w:tabs>
        <w:ind w:left="5760" w:hanging="360"/>
      </w:pPr>
      <w:rPr>
        <w:rFonts w:ascii="Arial" w:hAnsi="Arial" w:hint="default"/>
      </w:rPr>
    </w:lvl>
    <w:lvl w:ilvl="8" w:tplc="3DA8E5F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5325B40"/>
    <w:multiLevelType w:val="hybridMultilevel"/>
    <w:tmpl w:val="F9E46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4B0544"/>
    <w:multiLevelType w:val="multilevel"/>
    <w:tmpl w:val="32F8CC76"/>
    <w:lvl w:ilvl="0">
      <w:start w:val="1"/>
      <w:numFmt w:val="decimal"/>
      <w:pStyle w:val="Heading1"/>
      <w:lvlText w:val="%1"/>
      <w:lvlJc w:val="left"/>
      <w:pPr>
        <w:tabs>
          <w:tab w:val="num" w:pos="567"/>
        </w:tabs>
        <w:ind w:left="0" w:firstLine="0"/>
      </w:pPr>
      <w:rPr>
        <w:rFonts w:hint="default"/>
        <w:color w:val="EE7D00"/>
      </w:rPr>
    </w:lvl>
    <w:lvl w:ilvl="1">
      <w:start w:val="1"/>
      <w:numFmt w:val="decimal"/>
      <w:pStyle w:val="Heading2"/>
      <w:lvlText w:val="%1.%2"/>
      <w:lvlJc w:val="left"/>
      <w:pPr>
        <w:ind w:left="0" w:firstLine="0"/>
      </w:pPr>
      <w:rPr>
        <w:rFonts w:hint="default"/>
        <w:color w:val="EE7D00"/>
      </w:rPr>
    </w:lvl>
    <w:lvl w:ilvl="2">
      <w:start w:val="1"/>
      <w:numFmt w:val="decimal"/>
      <w:pStyle w:val="Heading3"/>
      <w:lvlText w:val="%1.%2.%3"/>
      <w:lvlJc w:val="left"/>
      <w:pPr>
        <w:ind w:left="0" w:firstLine="0"/>
      </w:pPr>
      <w:rPr>
        <w:rFonts w:hint="default"/>
        <w:color w:val="EE7D00"/>
      </w:rPr>
    </w:lvl>
    <w:lvl w:ilvl="3">
      <w:start w:val="1"/>
      <w:numFmt w:val="decimal"/>
      <w:pStyle w:val="Heading4"/>
      <w:lvlText w:val="%1.%2.%3.%4"/>
      <w:lvlJc w:val="left"/>
      <w:pPr>
        <w:ind w:left="0" w:firstLine="0"/>
      </w:pPr>
      <w:rPr>
        <w:rFonts w:hint="default"/>
        <w:color w:val="EE7D00"/>
      </w:rPr>
    </w:lvl>
    <w:lvl w:ilvl="4">
      <w:start w:val="1"/>
      <w:numFmt w:val="none"/>
      <w:pStyle w:val="Heading5"/>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1" w15:restartNumberingAfterBreak="0">
    <w:nsid w:val="1DFD29C3"/>
    <w:multiLevelType w:val="hybridMultilevel"/>
    <w:tmpl w:val="A4C6B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0E1AAF"/>
    <w:multiLevelType w:val="hybridMultilevel"/>
    <w:tmpl w:val="C30AC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E749DC"/>
    <w:multiLevelType w:val="multilevel"/>
    <w:tmpl w:val="4F82895A"/>
    <w:styleLink w:val="ESPONBullets"/>
    <w:lvl w:ilvl="0">
      <w:start w:val="1"/>
      <w:numFmt w:val="bullet"/>
      <w:lvlText w:val="▪"/>
      <w:lvlJc w:val="left"/>
      <w:pPr>
        <w:ind w:left="340" w:hanging="198"/>
      </w:pPr>
      <w:rPr>
        <w:rFonts w:ascii="Arial" w:hAnsi="Arial" w:hint="default"/>
        <w:color w:val="auto"/>
      </w:rPr>
    </w:lvl>
    <w:lvl w:ilvl="1">
      <w:start w:val="1"/>
      <w:numFmt w:val="none"/>
      <w:lvlText w:val=""/>
      <w:lvlJc w:val="left"/>
      <w:pPr>
        <w:ind w:left="340" w:hanging="198"/>
      </w:pPr>
      <w:rPr>
        <w:rFonts w:hint="default"/>
      </w:rPr>
    </w:lvl>
    <w:lvl w:ilvl="2">
      <w:start w:val="1"/>
      <w:numFmt w:val="none"/>
      <w:lvlText w:val=""/>
      <w:lvlJc w:val="left"/>
      <w:pPr>
        <w:ind w:left="340" w:hanging="198"/>
      </w:pPr>
      <w:rPr>
        <w:rFonts w:hint="default"/>
      </w:rPr>
    </w:lvl>
    <w:lvl w:ilvl="3">
      <w:start w:val="1"/>
      <w:numFmt w:val="none"/>
      <w:lvlText w:val=""/>
      <w:lvlJc w:val="left"/>
      <w:pPr>
        <w:ind w:left="340" w:hanging="198"/>
      </w:pPr>
      <w:rPr>
        <w:rFonts w:hint="default"/>
      </w:rPr>
    </w:lvl>
    <w:lvl w:ilvl="4">
      <w:start w:val="1"/>
      <w:numFmt w:val="none"/>
      <w:lvlText w:val=""/>
      <w:lvlJc w:val="left"/>
      <w:pPr>
        <w:ind w:left="340" w:hanging="198"/>
      </w:pPr>
      <w:rPr>
        <w:rFonts w:hint="default"/>
      </w:rPr>
    </w:lvl>
    <w:lvl w:ilvl="5">
      <w:start w:val="1"/>
      <w:numFmt w:val="none"/>
      <w:lvlText w:val=""/>
      <w:lvlJc w:val="left"/>
      <w:pPr>
        <w:ind w:left="340" w:hanging="198"/>
      </w:pPr>
      <w:rPr>
        <w:rFonts w:hint="default"/>
      </w:rPr>
    </w:lvl>
    <w:lvl w:ilvl="6">
      <w:start w:val="1"/>
      <w:numFmt w:val="none"/>
      <w:lvlText w:val=""/>
      <w:lvlJc w:val="left"/>
      <w:pPr>
        <w:ind w:left="340" w:hanging="198"/>
      </w:pPr>
      <w:rPr>
        <w:rFonts w:hint="default"/>
      </w:rPr>
    </w:lvl>
    <w:lvl w:ilvl="7">
      <w:start w:val="1"/>
      <w:numFmt w:val="none"/>
      <w:lvlText w:val=""/>
      <w:lvlJc w:val="left"/>
      <w:pPr>
        <w:ind w:left="340" w:hanging="198"/>
      </w:pPr>
      <w:rPr>
        <w:rFonts w:hint="default"/>
      </w:rPr>
    </w:lvl>
    <w:lvl w:ilvl="8">
      <w:start w:val="1"/>
      <w:numFmt w:val="none"/>
      <w:lvlText w:val=""/>
      <w:lvlJc w:val="left"/>
      <w:pPr>
        <w:ind w:left="340" w:hanging="198"/>
      </w:pPr>
      <w:rPr>
        <w:rFonts w:hint="default"/>
      </w:rPr>
    </w:lvl>
  </w:abstractNum>
  <w:abstractNum w:abstractNumId="24" w15:restartNumberingAfterBreak="0">
    <w:nsid w:val="2DAF3EFE"/>
    <w:multiLevelType w:val="hybridMultilevel"/>
    <w:tmpl w:val="C7A46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E8570A6"/>
    <w:multiLevelType w:val="hybridMultilevel"/>
    <w:tmpl w:val="A1AE14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43225DC"/>
    <w:multiLevelType w:val="multilevel"/>
    <w:tmpl w:val="47BA35B0"/>
    <w:styleLink w:val="ESPONLetters"/>
    <w:lvl w:ilvl="0">
      <w:start w:val="1"/>
      <w:numFmt w:val="upperLetter"/>
      <w:lvlText w:val="%1."/>
      <w:lvlJc w:val="left"/>
      <w:pPr>
        <w:ind w:left="340" w:hanging="340"/>
      </w:pPr>
      <w:rPr>
        <w:rFonts w:hint="default"/>
      </w:rPr>
    </w:lvl>
    <w:lvl w:ilvl="1">
      <w:start w:val="1"/>
      <w:numFmt w:val="none"/>
      <w:lvlText w:val=""/>
      <w:lvlJc w:val="left"/>
      <w:pPr>
        <w:ind w:left="340" w:firstLine="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7" w15:restartNumberingAfterBreak="0">
    <w:nsid w:val="34765B89"/>
    <w:multiLevelType w:val="hybridMultilevel"/>
    <w:tmpl w:val="B1D26928"/>
    <w:lvl w:ilvl="0" w:tplc="7EB8DF0E">
      <w:start w:val="1"/>
      <w:numFmt w:val="bullet"/>
      <w:lvlText w:val="•"/>
      <w:lvlJc w:val="left"/>
      <w:pPr>
        <w:tabs>
          <w:tab w:val="num" w:pos="720"/>
        </w:tabs>
        <w:ind w:left="720" w:hanging="360"/>
      </w:pPr>
      <w:rPr>
        <w:rFonts w:ascii="Arial" w:hAnsi="Arial" w:hint="default"/>
      </w:rPr>
    </w:lvl>
    <w:lvl w:ilvl="1" w:tplc="CFAEFD7A" w:tentative="1">
      <w:start w:val="1"/>
      <w:numFmt w:val="bullet"/>
      <w:lvlText w:val="•"/>
      <w:lvlJc w:val="left"/>
      <w:pPr>
        <w:tabs>
          <w:tab w:val="num" w:pos="1440"/>
        </w:tabs>
        <w:ind w:left="1440" w:hanging="360"/>
      </w:pPr>
      <w:rPr>
        <w:rFonts w:ascii="Arial" w:hAnsi="Arial" w:hint="default"/>
      </w:rPr>
    </w:lvl>
    <w:lvl w:ilvl="2" w:tplc="FAAAEECA" w:tentative="1">
      <w:start w:val="1"/>
      <w:numFmt w:val="bullet"/>
      <w:lvlText w:val="•"/>
      <w:lvlJc w:val="left"/>
      <w:pPr>
        <w:tabs>
          <w:tab w:val="num" w:pos="2160"/>
        </w:tabs>
        <w:ind w:left="2160" w:hanging="360"/>
      </w:pPr>
      <w:rPr>
        <w:rFonts w:ascii="Arial" w:hAnsi="Arial" w:hint="default"/>
      </w:rPr>
    </w:lvl>
    <w:lvl w:ilvl="3" w:tplc="3AB0EE20" w:tentative="1">
      <w:start w:val="1"/>
      <w:numFmt w:val="bullet"/>
      <w:lvlText w:val="•"/>
      <w:lvlJc w:val="left"/>
      <w:pPr>
        <w:tabs>
          <w:tab w:val="num" w:pos="2880"/>
        </w:tabs>
        <w:ind w:left="2880" w:hanging="360"/>
      </w:pPr>
      <w:rPr>
        <w:rFonts w:ascii="Arial" w:hAnsi="Arial" w:hint="default"/>
      </w:rPr>
    </w:lvl>
    <w:lvl w:ilvl="4" w:tplc="E7C06868" w:tentative="1">
      <w:start w:val="1"/>
      <w:numFmt w:val="bullet"/>
      <w:lvlText w:val="•"/>
      <w:lvlJc w:val="left"/>
      <w:pPr>
        <w:tabs>
          <w:tab w:val="num" w:pos="3600"/>
        </w:tabs>
        <w:ind w:left="3600" w:hanging="360"/>
      </w:pPr>
      <w:rPr>
        <w:rFonts w:ascii="Arial" w:hAnsi="Arial" w:hint="default"/>
      </w:rPr>
    </w:lvl>
    <w:lvl w:ilvl="5" w:tplc="CF80EB58" w:tentative="1">
      <w:start w:val="1"/>
      <w:numFmt w:val="bullet"/>
      <w:lvlText w:val="•"/>
      <w:lvlJc w:val="left"/>
      <w:pPr>
        <w:tabs>
          <w:tab w:val="num" w:pos="4320"/>
        </w:tabs>
        <w:ind w:left="4320" w:hanging="360"/>
      </w:pPr>
      <w:rPr>
        <w:rFonts w:ascii="Arial" w:hAnsi="Arial" w:hint="default"/>
      </w:rPr>
    </w:lvl>
    <w:lvl w:ilvl="6" w:tplc="1DF6D968" w:tentative="1">
      <w:start w:val="1"/>
      <w:numFmt w:val="bullet"/>
      <w:lvlText w:val="•"/>
      <w:lvlJc w:val="left"/>
      <w:pPr>
        <w:tabs>
          <w:tab w:val="num" w:pos="5040"/>
        </w:tabs>
        <w:ind w:left="5040" w:hanging="360"/>
      </w:pPr>
      <w:rPr>
        <w:rFonts w:ascii="Arial" w:hAnsi="Arial" w:hint="default"/>
      </w:rPr>
    </w:lvl>
    <w:lvl w:ilvl="7" w:tplc="F69C74F4" w:tentative="1">
      <w:start w:val="1"/>
      <w:numFmt w:val="bullet"/>
      <w:lvlText w:val="•"/>
      <w:lvlJc w:val="left"/>
      <w:pPr>
        <w:tabs>
          <w:tab w:val="num" w:pos="5760"/>
        </w:tabs>
        <w:ind w:left="5760" w:hanging="360"/>
      </w:pPr>
      <w:rPr>
        <w:rFonts w:ascii="Arial" w:hAnsi="Arial" w:hint="default"/>
      </w:rPr>
    </w:lvl>
    <w:lvl w:ilvl="8" w:tplc="24E0FA2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7F43781"/>
    <w:multiLevelType w:val="hybridMultilevel"/>
    <w:tmpl w:val="3D8C8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1A13A0"/>
    <w:multiLevelType w:val="hybridMultilevel"/>
    <w:tmpl w:val="47CCA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5C3A8A"/>
    <w:multiLevelType w:val="hybridMultilevel"/>
    <w:tmpl w:val="1C02E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1370C8F"/>
    <w:multiLevelType w:val="hybridMultilevel"/>
    <w:tmpl w:val="32CC3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B836CB"/>
    <w:multiLevelType w:val="hybridMultilevel"/>
    <w:tmpl w:val="9EA0F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5663C5"/>
    <w:multiLevelType w:val="hybridMultilevel"/>
    <w:tmpl w:val="AD285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942200"/>
    <w:multiLevelType w:val="hybridMultilevel"/>
    <w:tmpl w:val="07BE5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B16640"/>
    <w:multiLevelType w:val="hybridMultilevel"/>
    <w:tmpl w:val="EE4EE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D16AD7"/>
    <w:multiLevelType w:val="hybridMultilevel"/>
    <w:tmpl w:val="F5AED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5B6F41"/>
    <w:multiLevelType w:val="multilevel"/>
    <w:tmpl w:val="B88A3A84"/>
    <w:lvl w:ilvl="0">
      <w:start w:val="1"/>
      <w:numFmt w:val="decimal"/>
      <w:pStyle w:val="1FBF4FCF2905483FABC50A767EC5C8B7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690C4CBF"/>
    <w:multiLevelType w:val="hybridMultilevel"/>
    <w:tmpl w:val="EF507758"/>
    <w:lvl w:ilvl="0" w:tplc="06ECC7CC">
      <w:start w:val="1"/>
      <w:numFmt w:val="bullet"/>
      <w:lvlText w:val="•"/>
      <w:lvlJc w:val="left"/>
      <w:pPr>
        <w:tabs>
          <w:tab w:val="num" w:pos="720"/>
        </w:tabs>
        <w:ind w:left="720" w:hanging="360"/>
      </w:pPr>
      <w:rPr>
        <w:rFonts w:ascii="Arial" w:hAnsi="Arial" w:hint="default"/>
      </w:rPr>
    </w:lvl>
    <w:lvl w:ilvl="1" w:tplc="80BE5C58" w:tentative="1">
      <w:start w:val="1"/>
      <w:numFmt w:val="bullet"/>
      <w:lvlText w:val="•"/>
      <w:lvlJc w:val="left"/>
      <w:pPr>
        <w:tabs>
          <w:tab w:val="num" w:pos="1440"/>
        </w:tabs>
        <w:ind w:left="1440" w:hanging="360"/>
      </w:pPr>
      <w:rPr>
        <w:rFonts w:ascii="Arial" w:hAnsi="Arial" w:hint="default"/>
      </w:rPr>
    </w:lvl>
    <w:lvl w:ilvl="2" w:tplc="0344A98C" w:tentative="1">
      <w:start w:val="1"/>
      <w:numFmt w:val="bullet"/>
      <w:lvlText w:val="•"/>
      <w:lvlJc w:val="left"/>
      <w:pPr>
        <w:tabs>
          <w:tab w:val="num" w:pos="2160"/>
        </w:tabs>
        <w:ind w:left="2160" w:hanging="360"/>
      </w:pPr>
      <w:rPr>
        <w:rFonts w:ascii="Arial" w:hAnsi="Arial" w:hint="default"/>
      </w:rPr>
    </w:lvl>
    <w:lvl w:ilvl="3" w:tplc="F8A201EA" w:tentative="1">
      <w:start w:val="1"/>
      <w:numFmt w:val="bullet"/>
      <w:lvlText w:val="•"/>
      <w:lvlJc w:val="left"/>
      <w:pPr>
        <w:tabs>
          <w:tab w:val="num" w:pos="2880"/>
        </w:tabs>
        <w:ind w:left="2880" w:hanging="360"/>
      </w:pPr>
      <w:rPr>
        <w:rFonts w:ascii="Arial" w:hAnsi="Arial" w:hint="default"/>
      </w:rPr>
    </w:lvl>
    <w:lvl w:ilvl="4" w:tplc="E80CA100" w:tentative="1">
      <w:start w:val="1"/>
      <w:numFmt w:val="bullet"/>
      <w:lvlText w:val="•"/>
      <w:lvlJc w:val="left"/>
      <w:pPr>
        <w:tabs>
          <w:tab w:val="num" w:pos="3600"/>
        </w:tabs>
        <w:ind w:left="3600" w:hanging="360"/>
      </w:pPr>
      <w:rPr>
        <w:rFonts w:ascii="Arial" w:hAnsi="Arial" w:hint="default"/>
      </w:rPr>
    </w:lvl>
    <w:lvl w:ilvl="5" w:tplc="1F545C30" w:tentative="1">
      <w:start w:val="1"/>
      <w:numFmt w:val="bullet"/>
      <w:lvlText w:val="•"/>
      <w:lvlJc w:val="left"/>
      <w:pPr>
        <w:tabs>
          <w:tab w:val="num" w:pos="4320"/>
        </w:tabs>
        <w:ind w:left="4320" w:hanging="360"/>
      </w:pPr>
      <w:rPr>
        <w:rFonts w:ascii="Arial" w:hAnsi="Arial" w:hint="default"/>
      </w:rPr>
    </w:lvl>
    <w:lvl w:ilvl="6" w:tplc="2DDA4BA4" w:tentative="1">
      <w:start w:val="1"/>
      <w:numFmt w:val="bullet"/>
      <w:lvlText w:val="•"/>
      <w:lvlJc w:val="left"/>
      <w:pPr>
        <w:tabs>
          <w:tab w:val="num" w:pos="5040"/>
        </w:tabs>
        <w:ind w:left="5040" w:hanging="360"/>
      </w:pPr>
      <w:rPr>
        <w:rFonts w:ascii="Arial" w:hAnsi="Arial" w:hint="default"/>
      </w:rPr>
    </w:lvl>
    <w:lvl w:ilvl="7" w:tplc="52D8B3B6" w:tentative="1">
      <w:start w:val="1"/>
      <w:numFmt w:val="bullet"/>
      <w:lvlText w:val="•"/>
      <w:lvlJc w:val="left"/>
      <w:pPr>
        <w:tabs>
          <w:tab w:val="num" w:pos="5760"/>
        </w:tabs>
        <w:ind w:left="5760" w:hanging="360"/>
      </w:pPr>
      <w:rPr>
        <w:rFonts w:ascii="Arial" w:hAnsi="Arial" w:hint="default"/>
      </w:rPr>
    </w:lvl>
    <w:lvl w:ilvl="8" w:tplc="C26E728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DC72D63"/>
    <w:multiLevelType w:val="hybridMultilevel"/>
    <w:tmpl w:val="D5942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5E27AA"/>
    <w:multiLevelType w:val="hybridMultilevel"/>
    <w:tmpl w:val="7C24F8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1E055F"/>
    <w:multiLevelType w:val="hybridMultilevel"/>
    <w:tmpl w:val="A0D0E906"/>
    <w:lvl w:ilvl="0" w:tplc="3EBE81A4">
      <w:start w:val="1"/>
      <w:numFmt w:val="bullet"/>
      <w:lvlText w:val="•"/>
      <w:lvlJc w:val="left"/>
      <w:pPr>
        <w:tabs>
          <w:tab w:val="num" w:pos="720"/>
        </w:tabs>
        <w:ind w:left="720" w:hanging="360"/>
      </w:pPr>
      <w:rPr>
        <w:rFonts w:ascii="Arial" w:hAnsi="Arial" w:hint="default"/>
      </w:rPr>
    </w:lvl>
    <w:lvl w:ilvl="1" w:tplc="10C82B18" w:tentative="1">
      <w:start w:val="1"/>
      <w:numFmt w:val="bullet"/>
      <w:lvlText w:val="•"/>
      <w:lvlJc w:val="left"/>
      <w:pPr>
        <w:tabs>
          <w:tab w:val="num" w:pos="1440"/>
        </w:tabs>
        <w:ind w:left="1440" w:hanging="360"/>
      </w:pPr>
      <w:rPr>
        <w:rFonts w:ascii="Arial" w:hAnsi="Arial" w:hint="default"/>
      </w:rPr>
    </w:lvl>
    <w:lvl w:ilvl="2" w:tplc="80DA9406" w:tentative="1">
      <w:start w:val="1"/>
      <w:numFmt w:val="bullet"/>
      <w:lvlText w:val="•"/>
      <w:lvlJc w:val="left"/>
      <w:pPr>
        <w:tabs>
          <w:tab w:val="num" w:pos="2160"/>
        </w:tabs>
        <w:ind w:left="2160" w:hanging="360"/>
      </w:pPr>
      <w:rPr>
        <w:rFonts w:ascii="Arial" w:hAnsi="Arial" w:hint="default"/>
      </w:rPr>
    </w:lvl>
    <w:lvl w:ilvl="3" w:tplc="3286CB18" w:tentative="1">
      <w:start w:val="1"/>
      <w:numFmt w:val="bullet"/>
      <w:lvlText w:val="•"/>
      <w:lvlJc w:val="left"/>
      <w:pPr>
        <w:tabs>
          <w:tab w:val="num" w:pos="2880"/>
        </w:tabs>
        <w:ind w:left="2880" w:hanging="360"/>
      </w:pPr>
      <w:rPr>
        <w:rFonts w:ascii="Arial" w:hAnsi="Arial" w:hint="default"/>
      </w:rPr>
    </w:lvl>
    <w:lvl w:ilvl="4" w:tplc="DA08EF8E" w:tentative="1">
      <w:start w:val="1"/>
      <w:numFmt w:val="bullet"/>
      <w:lvlText w:val="•"/>
      <w:lvlJc w:val="left"/>
      <w:pPr>
        <w:tabs>
          <w:tab w:val="num" w:pos="3600"/>
        </w:tabs>
        <w:ind w:left="3600" w:hanging="360"/>
      </w:pPr>
      <w:rPr>
        <w:rFonts w:ascii="Arial" w:hAnsi="Arial" w:hint="default"/>
      </w:rPr>
    </w:lvl>
    <w:lvl w:ilvl="5" w:tplc="B0B24476" w:tentative="1">
      <w:start w:val="1"/>
      <w:numFmt w:val="bullet"/>
      <w:lvlText w:val="•"/>
      <w:lvlJc w:val="left"/>
      <w:pPr>
        <w:tabs>
          <w:tab w:val="num" w:pos="4320"/>
        </w:tabs>
        <w:ind w:left="4320" w:hanging="360"/>
      </w:pPr>
      <w:rPr>
        <w:rFonts w:ascii="Arial" w:hAnsi="Arial" w:hint="default"/>
      </w:rPr>
    </w:lvl>
    <w:lvl w:ilvl="6" w:tplc="C316A63A" w:tentative="1">
      <w:start w:val="1"/>
      <w:numFmt w:val="bullet"/>
      <w:lvlText w:val="•"/>
      <w:lvlJc w:val="left"/>
      <w:pPr>
        <w:tabs>
          <w:tab w:val="num" w:pos="5040"/>
        </w:tabs>
        <w:ind w:left="5040" w:hanging="360"/>
      </w:pPr>
      <w:rPr>
        <w:rFonts w:ascii="Arial" w:hAnsi="Arial" w:hint="default"/>
      </w:rPr>
    </w:lvl>
    <w:lvl w:ilvl="7" w:tplc="A17C8F12" w:tentative="1">
      <w:start w:val="1"/>
      <w:numFmt w:val="bullet"/>
      <w:lvlText w:val="•"/>
      <w:lvlJc w:val="left"/>
      <w:pPr>
        <w:tabs>
          <w:tab w:val="num" w:pos="5760"/>
        </w:tabs>
        <w:ind w:left="5760" w:hanging="360"/>
      </w:pPr>
      <w:rPr>
        <w:rFonts w:ascii="Arial" w:hAnsi="Arial" w:hint="default"/>
      </w:rPr>
    </w:lvl>
    <w:lvl w:ilvl="8" w:tplc="2402C8A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44A104D"/>
    <w:multiLevelType w:val="hybridMultilevel"/>
    <w:tmpl w:val="FE02262C"/>
    <w:lvl w:ilvl="0" w:tplc="C9BA68E4">
      <w:start w:val="1"/>
      <w:numFmt w:val="bullet"/>
      <w:lvlText w:val="•"/>
      <w:lvlJc w:val="left"/>
      <w:pPr>
        <w:tabs>
          <w:tab w:val="num" w:pos="720"/>
        </w:tabs>
        <w:ind w:left="720" w:hanging="360"/>
      </w:pPr>
      <w:rPr>
        <w:rFonts w:ascii="Arial" w:hAnsi="Arial" w:hint="default"/>
      </w:rPr>
    </w:lvl>
    <w:lvl w:ilvl="1" w:tplc="7C706666">
      <w:numFmt w:val="bullet"/>
      <w:lvlText w:val="•"/>
      <w:lvlJc w:val="left"/>
      <w:pPr>
        <w:tabs>
          <w:tab w:val="num" w:pos="1440"/>
        </w:tabs>
        <w:ind w:left="1440" w:hanging="360"/>
      </w:pPr>
      <w:rPr>
        <w:rFonts w:ascii="Arial" w:hAnsi="Arial" w:hint="default"/>
      </w:rPr>
    </w:lvl>
    <w:lvl w:ilvl="2" w:tplc="BE1A8A50" w:tentative="1">
      <w:start w:val="1"/>
      <w:numFmt w:val="bullet"/>
      <w:lvlText w:val="•"/>
      <w:lvlJc w:val="left"/>
      <w:pPr>
        <w:tabs>
          <w:tab w:val="num" w:pos="2160"/>
        </w:tabs>
        <w:ind w:left="2160" w:hanging="360"/>
      </w:pPr>
      <w:rPr>
        <w:rFonts w:ascii="Arial" w:hAnsi="Arial" w:hint="default"/>
      </w:rPr>
    </w:lvl>
    <w:lvl w:ilvl="3" w:tplc="99DACA54" w:tentative="1">
      <w:start w:val="1"/>
      <w:numFmt w:val="bullet"/>
      <w:lvlText w:val="•"/>
      <w:lvlJc w:val="left"/>
      <w:pPr>
        <w:tabs>
          <w:tab w:val="num" w:pos="2880"/>
        </w:tabs>
        <w:ind w:left="2880" w:hanging="360"/>
      </w:pPr>
      <w:rPr>
        <w:rFonts w:ascii="Arial" w:hAnsi="Arial" w:hint="default"/>
      </w:rPr>
    </w:lvl>
    <w:lvl w:ilvl="4" w:tplc="A3581478" w:tentative="1">
      <w:start w:val="1"/>
      <w:numFmt w:val="bullet"/>
      <w:lvlText w:val="•"/>
      <w:lvlJc w:val="left"/>
      <w:pPr>
        <w:tabs>
          <w:tab w:val="num" w:pos="3600"/>
        </w:tabs>
        <w:ind w:left="3600" w:hanging="360"/>
      </w:pPr>
      <w:rPr>
        <w:rFonts w:ascii="Arial" w:hAnsi="Arial" w:hint="default"/>
      </w:rPr>
    </w:lvl>
    <w:lvl w:ilvl="5" w:tplc="8F14643C" w:tentative="1">
      <w:start w:val="1"/>
      <w:numFmt w:val="bullet"/>
      <w:lvlText w:val="•"/>
      <w:lvlJc w:val="left"/>
      <w:pPr>
        <w:tabs>
          <w:tab w:val="num" w:pos="4320"/>
        </w:tabs>
        <w:ind w:left="4320" w:hanging="360"/>
      </w:pPr>
      <w:rPr>
        <w:rFonts w:ascii="Arial" w:hAnsi="Arial" w:hint="default"/>
      </w:rPr>
    </w:lvl>
    <w:lvl w:ilvl="6" w:tplc="C1FEA6CA" w:tentative="1">
      <w:start w:val="1"/>
      <w:numFmt w:val="bullet"/>
      <w:lvlText w:val="•"/>
      <w:lvlJc w:val="left"/>
      <w:pPr>
        <w:tabs>
          <w:tab w:val="num" w:pos="5040"/>
        </w:tabs>
        <w:ind w:left="5040" w:hanging="360"/>
      </w:pPr>
      <w:rPr>
        <w:rFonts w:ascii="Arial" w:hAnsi="Arial" w:hint="default"/>
      </w:rPr>
    </w:lvl>
    <w:lvl w:ilvl="7" w:tplc="43DA7B28" w:tentative="1">
      <w:start w:val="1"/>
      <w:numFmt w:val="bullet"/>
      <w:lvlText w:val="•"/>
      <w:lvlJc w:val="left"/>
      <w:pPr>
        <w:tabs>
          <w:tab w:val="num" w:pos="5760"/>
        </w:tabs>
        <w:ind w:left="5760" w:hanging="360"/>
      </w:pPr>
      <w:rPr>
        <w:rFonts w:ascii="Arial" w:hAnsi="Arial" w:hint="default"/>
      </w:rPr>
    </w:lvl>
    <w:lvl w:ilvl="8" w:tplc="1136BF58"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7542968"/>
    <w:multiLevelType w:val="hybridMultilevel"/>
    <w:tmpl w:val="F8047976"/>
    <w:lvl w:ilvl="0" w:tplc="04090001">
      <w:start w:val="1"/>
      <w:numFmt w:val="bullet"/>
      <w:pStyle w:val="Bulletpoints"/>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4" w15:restartNumberingAfterBreak="0">
    <w:nsid w:val="7AAA0F6E"/>
    <w:multiLevelType w:val="hybridMultilevel"/>
    <w:tmpl w:val="4E382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5F4B1E"/>
    <w:multiLevelType w:val="hybridMultilevel"/>
    <w:tmpl w:val="25E41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0808856">
    <w:abstractNumId w:val="9"/>
  </w:num>
  <w:num w:numId="2" w16cid:durableId="1698390176">
    <w:abstractNumId w:val="7"/>
  </w:num>
  <w:num w:numId="3" w16cid:durableId="67189757">
    <w:abstractNumId w:val="6"/>
  </w:num>
  <w:num w:numId="4" w16cid:durableId="332803643">
    <w:abstractNumId w:val="5"/>
  </w:num>
  <w:num w:numId="5" w16cid:durableId="831481240">
    <w:abstractNumId w:val="4"/>
  </w:num>
  <w:num w:numId="6" w16cid:durableId="1572302126">
    <w:abstractNumId w:val="8"/>
  </w:num>
  <w:num w:numId="7" w16cid:durableId="2010018610">
    <w:abstractNumId w:val="3"/>
  </w:num>
  <w:num w:numId="8" w16cid:durableId="1307857367">
    <w:abstractNumId w:val="2"/>
  </w:num>
  <w:num w:numId="9" w16cid:durableId="1851527302">
    <w:abstractNumId w:val="1"/>
  </w:num>
  <w:num w:numId="10" w16cid:durableId="915868292">
    <w:abstractNumId w:val="0"/>
  </w:num>
  <w:num w:numId="11" w16cid:durableId="918054833">
    <w:abstractNumId w:val="20"/>
  </w:num>
  <w:num w:numId="12" w16cid:durableId="1334449332">
    <w:abstractNumId w:val="10"/>
  </w:num>
  <w:num w:numId="13" w16cid:durableId="132257638">
    <w:abstractNumId w:val="26"/>
  </w:num>
  <w:num w:numId="14" w16cid:durableId="1980726593">
    <w:abstractNumId w:val="23"/>
  </w:num>
  <w:num w:numId="15" w16cid:durableId="1803112821">
    <w:abstractNumId w:val="37"/>
  </w:num>
  <w:num w:numId="16" w16cid:durableId="532231765">
    <w:abstractNumId w:val="32"/>
  </w:num>
  <w:num w:numId="17" w16cid:durableId="414589685">
    <w:abstractNumId w:val="43"/>
  </w:num>
  <w:num w:numId="18" w16cid:durableId="52658046">
    <w:abstractNumId w:val="40"/>
  </w:num>
  <w:num w:numId="19" w16cid:durableId="449671019">
    <w:abstractNumId w:val="39"/>
  </w:num>
  <w:num w:numId="20" w16cid:durableId="404568050">
    <w:abstractNumId w:val="38"/>
  </w:num>
  <w:num w:numId="21" w16cid:durableId="1104885084">
    <w:abstractNumId w:val="18"/>
  </w:num>
  <w:num w:numId="22" w16cid:durableId="1691292531">
    <w:abstractNumId w:val="41"/>
  </w:num>
  <w:num w:numId="23" w16cid:durableId="391196585">
    <w:abstractNumId w:val="27"/>
  </w:num>
  <w:num w:numId="24" w16cid:durableId="1023018736">
    <w:abstractNumId w:val="42"/>
  </w:num>
  <w:num w:numId="25" w16cid:durableId="937105462">
    <w:abstractNumId w:val="13"/>
  </w:num>
  <w:num w:numId="26" w16cid:durableId="165874962">
    <w:abstractNumId w:val="30"/>
  </w:num>
  <w:num w:numId="27" w16cid:durableId="1845243596">
    <w:abstractNumId w:val="28"/>
  </w:num>
  <w:num w:numId="28" w16cid:durableId="1179194983">
    <w:abstractNumId w:val="12"/>
  </w:num>
  <w:num w:numId="29" w16cid:durableId="1063331364">
    <w:abstractNumId w:val="22"/>
  </w:num>
  <w:num w:numId="30" w16cid:durableId="364141420">
    <w:abstractNumId w:val="33"/>
  </w:num>
  <w:num w:numId="31" w16cid:durableId="1583299144">
    <w:abstractNumId w:val="25"/>
  </w:num>
  <w:num w:numId="32" w16cid:durableId="1044252192">
    <w:abstractNumId w:val="36"/>
  </w:num>
  <w:num w:numId="33" w16cid:durableId="1003776103">
    <w:abstractNumId w:val="31"/>
  </w:num>
  <w:num w:numId="34" w16cid:durableId="605237561">
    <w:abstractNumId w:val="43"/>
  </w:num>
  <w:num w:numId="35" w16cid:durableId="1461455104">
    <w:abstractNumId w:val="29"/>
  </w:num>
  <w:num w:numId="36" w16cid:durableId="1467696373">
    <w:abstractNumId w:val="11"/>
  </w:num>
  <w:num w:numId="37" w16cid:durableId="206530701">
    <w:abstractNumId w:val="19"/>
  </w:num>
  <w:num w:numId="38" w16cid:durableId="1199665581">
    <w:abstractNumId w:val="16"/>
  </w:num>
  <w:num w:numId="39" w16cid:durableId="1041174502">
    <w:abstractNumId w:val="45"/>
  </w:num>
  <w:num w:numId="40" w16cid:durableId="982585641">
    <w:abstractNumId w:val="35"/>
  </w:num>
  <w:num w:numId="41" w16cid:durableId="2027247832">
    <w:abstractNumId w:val="15"/>
  </w:num>
  <w:num w:numId="42" w16cid:durableId="739867355">
    <w:abstractNumId w:val="44"/>
  </w:num>
  <w:num w:numId="43" w16cid:durableId="1104543962">
    <w:abstractNumId w:val="21"/>
  </w:num>
  <w:num w:numId="44" w16cid:durableId="839273365">
    <w:abstractNumId w:val="34"/>
  </w:num>
  <w:num w:numId="45" w16cid:durableId="1853062076">
    <w:abstractNumId w:val="24"/>
  </w:num>
  <w:num w:numId="46" w16cid:durableId="1838619522">
    <w:abstractNumId w:val="17"/>
  </w:num>
  <w:num w:numId="47" w16cid:durableId="1328486011">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1304"/>
  <w:autoHyphenation/>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C4F"/>
    <w:rsid w:val="00000AE5"/>
    <w:rsid w:val="00000FA4"/>
    <w:rsid w:val="00001060"/>
    <w:rsid w:val="00001413"/>
    <w:rsid w:val="000014C6"/>
    <w:rsid w:val="00001C8B"/>
    <w:rsid w:val="00002E3C"/>
    <w:rsid w:val="0000413E"/>
    <w:rsid w:val="000047C1"/>
    <w:rsid w:val="00004C49"/>
    <w:rsid w:val="0000506C"/>
    <w:rsid w:val="00005AF2"/>
    <w:rsid w:val="00005CDF"/>
    <w:rsid w:val="00006909"/>
    <w:rsid w:val="000071AD"/>
    <w:rsid w:val="00007347"/>
    <w:rsid w:val="000108A8"/>
    <w:rsid w:val="00010907"/>
    <w:rsid w:val="00010C0F"/>
    <w:rsid w:val="00010F13"/>
    <w:rsid w:val="000114AE"/>
    <w:rsid w:val="00011635"/>
    <w:rsid w:val="00011DC4"/>
    <w:rsid w:val="00011E20"/>
    <w:rsid w:val="00011FDF"/>
    <w:rsid w:val="00012916"/>
    <w:rsid w:val="000134B6"/>
    <w:rsid w:val="0001350D"/>
    <w:rsid w:val="00013774"/>
    <w:rsid w:val="00015492"/>
    <w:rsid w:val="000155DB"/>
    <w:rsid w:val="0001562F"/>
    <w:rsid w:val="00015E2E"/>
    <w:rsid w:val="00015E3B"/>
    <w:rsid w:val="00016FB8"/>
    <w:rsid w:val="000173F9"/>
    <w:rsid w:val="00020E76"/>
    <w:rsid w:val="00020F1F"/>
    <w:rsid w:val="000210C1"/>
    <w:rsid w:val="00022862"/>
    <w:rsid w:val="00023A92"/>
    <w:rsid w:val="00023D60"/>
    <w:rsid w:val="000241AE"/>
    <w:rsid w:val="00024243"/>
    <w:rsid w:val="000245B6"/>
    <w:rsid w:val="000258FC"/>
    <w:rsid w:val="00026876"/>
    <w:rsid w:val="00026B46"/>
    <w:rsid w:val="00027C2B"/>
    <w:rsid w:val="000306BC"/>
    <w:rsid w:val="00030B1C"/>
    <w:rsid w:val="00030B47"/>
    <w:rsid w:val="00031975"/>
    <w:rsid w:val="00031B9C"/>
    <w:rsid w:val="00031D49"/>
    <w:rsid w:val="00031D7D"/>
    <w:rsid w:val="00032007"/>
    <w:rsid w:val="0003250C"/>
    <w:rsid w:val="00032888"/>
    <w:rsid w:val="0003332D"/>
    <w:rsid w:val="00033795"/>
    <w:rsid w:val="00033E2F"/>
    <w:rsid w:val="00034314"/>
    <w:rsid w:val="0003454A"/>
    <w:rsid w:val="00034645"/>
    <w:rsid w:val="00034992"/>
    <w:rsid w:val="000349A6"/>
    <w:rsid w:val="0003537E"/>
    <w:rsid w:val="00035383"/>
    <w:rsid w:val="00036924"/>
    <w:rsid w:val="00036A0C"/>
    <w:rsid w:val="00037428"/>
    <w:rsid w:val="000374E9"/>
    <w:rsid w:val="0003765A"/>
    <w:rsid w:val="000376BF"/>
    <w:rsid w:val="00040DA6"/>
    <w:rsid w:val="00040E8B"/>
    <w:rsid w:val="00041568"/>
    <w:rsid w:val="000415E3"/>
    <w:rsid w:val="00041912"/>
    <w:rsid w:val="00042549"/>
    <w:rsid w:val="00042904"/>
    <w:rsid w:val="00042B9D"/>
    <w:rsid w:val="00042D12"/>
    <w:rsid w:val="00042D7D"/>
    <w:rsid w:val="00043BA1"/>
    <w:rsid w:val="000441AE"/>
    <w:rsid w:val="000442DE"/>
    <w:rsid w:val="00045B41"/>
    <w:rsid w:val="0004611B"/>
    <w:rsid w:val="0004647D"/>
    <w:rsid w:val="000464D9"/>
    <w:rsid w:val="0004655D"/>
    <w:rsid w:val="00046A66"/>
    <w:rsid w:val="000470A7"/>
    <w:rsid w:val="0004785C"/>
    <w:rsid w:val="00047F6C"/>
    <w:rsid w:val="000517B9"/>
    <w:rsid w:val="00052436"/>
    <w:rsid w:val="00052829"/>
    <w:rsid w:val="00052FCD"/>
    <w:rsid w:val="00053B2F"/>
    <w:rsid w:val="00053F7C"/>
    <w:rsid w:val="000545B9"/>
    <w:rsid w:val="00054DAA"/>
    <w:rsid w:val="000551A5"/>
    <w:rsid w:val="00055BE1"/>
    <w:rsid w:val="00056165"/>
    <w:rsid w:val="00056A4B"/>
    <w:rsid w:val="0005740D"/>
    <w:rsid w:val="00057D50"/>
    <w:rsid w:val="00060435"/>
    <w:rsid w:val="00060555"/>
    <w:rsid w:val="00060901"/>
    <w:rsid w:val="00060FA2"/>
    <w:rsid w:val="00061434"/>
    <w:rsid w:val="00062730"/>
    <w:rsid w:val="000629AA"/>
    <w:rsid w:val="00062B79"/>
    <w:rsid w:val="00062C5F"/>
    <w:rsid w:val="00063436"/>
    <w:rsid w:val="000635CA"/>
    <w:rsid w:val="00063820"/>
    <w:rsid w:val="000639AC"/>
    <w:rsid w:val="00063AAC"/>
    <w:rsid w:val="00063D0C"/>
    <w:rsid w:val="00063F31"/>
    <w:rsid w:val="00064140"/>
    <w:rsid w:val="000645C1"/>
    <w:rsid w:val="0006463F"/>
    <w:rsid w:val="00064706"/>
    <w:rsid w:val="0006479B"/>
    <w:rsid w:val="00064977"/>
    <w:rsid w:val="00064FA3"/>
    <w:rsid w:val="000668CF"/>
    <w:rsid w:val="00066D17"/>
    <w:rsid w:val="0006782D"/>
    <w:rsid w:val="0007142F"/>
    <w:rsid w:val="000714E8"/>
    <w:rsid w:val="0007179D"/>
    <w:rsid w:val="000726A6"/>
    <w:rsid w:val="00072BFA"/>
    <w:rsid w:val="00073081"/>
    <w:rsid w:val="0007342B"/>
    <w:rsid w:val="000737D9"/>
    <w:rsid w:val="00073927"/>
    <w:rsid w:val="0007396A"/>
    <w:rsid w:val="00073EDB"/>
    <w:rsid w:val="00075C77"/>
    <w:rsid w:val="00076C1B"/>
    <w:rsid w:val="00076D18"/>
    <w:rsid w:val="00077327"/>
    <w:rsid w:val="000776F1"/>
    <w:rsid w:val="00077ACF"/>
    <w:rsid w:val="00077EBD"/>
    <w:rsid w:val="00080BF0"/>
    <w:rsid w:val="000810C4"/>
    <w:rsid w:val="00081F6F"/>
    <w:rsid w:val="00082065"/>
    <w:rsid w:val="0008231F"/>
    <w:rsid w:val="00083365"/>
    <w:rsid w:val="00083B3F"/>
    <w:rsid w:val="00084B8C"/>
    <w:rsid w:val="00084F77"/>
    <w:rsid w:val="0008569C"/>
    <w:rsid w:val="00085B85"/>
    <w:rsid w:val="00085EBC"/>
    <w:rsid w:val="00086129"/>
    <w:rsid w:val="0008678C"/>
    <w:rsid w:val="00086CBD"/>
    <w:rsid w:val="000873CC"/>
    <w:rsid w:val="00087731"/>
    <w:rsid w:val="00087750"/>
    <w:rsid w:val="000878D7"/>
    <w:rsid w:val="00087C42"/>
    <w:rsid w:val="00090B46"/>
    <w:rsid w:val="00091671"/>
    <w:rsid w:val="00091A9D"/>
    <w:rsid w:val="00091E02"/>
    <w:rsid w:val="000921BB"/>
    <w:rsid w:val="00092AEC"/>
    <w:rsid w:val="00093782"/>
    <w:rsid w:val="0009395D"/>
    <w:rsid w:val="00093EF1"/>
    <w:rsid w:val="000948B3"/>
    <w:rsid w:val="0009538C"/>
    <w:rsid w:val="0009575E"/>
    <w:rsid w:val="00096180"/>
    <w:rsid w:val="000965B8"/>
    <w:rsid w:val="0009671F"/>
    <w:rsid w:val="00096EF3"/>
    <w:rsid w:val="000970BB"/>
    <w:rsid w:val="00097372"/>
    <w:rsid w:val="000975E7"/>
    <w:rsid w:val="0009774A"/>
    <w:rsid w:val="000979EE"/>
    <w:rsid w:val="00097B4C"/>
    <w:rsid w:val="00097D47"/>
    <w:rsid w:val="000A0037"/>
    <w:rsid w:val="000A0C34"/>
    <w:rsid w:val="000A1217"/>
    <w:rsid w:val="000A2F97"/>
    <w:rsid w:val="000A37F7"/>
    <w:rsid w:val="000A3924"/>
    <w:rsid w:val="000A439C"/>
    <w:rsid w:val="000A4573"/>
    <w:rsid w:val="000A5F5A"/>
    <w:rsid w:val="000A607A"/>
    <w:rsid w:val="000A6AF6"/>
    <w:rsid w:val="000A6E4E"/>
    <w:rsid w:val="000A73BC"/>
    <w:rsid w:val="000A79DA"/>
    <w:rsid w:val="000A7CFD"/>
    <w:rsid w:val="000A7DE4"/>
    <w:rsid w:val="000B0810"/>
    <w:rsid w:val="000B096E"/>
    <w:rsid w:val="000B2649"/>
    <w:rsid w:val="000B2748"/>
    <w:rsid w:val="000B2826"/>
    <w:rsid w:val="000B2BE9"/>
    <w:rsid w:val="000B2DB0"/>
    <w:rsid w:val="000B33E8"/>
    <w:rsid w:val="000B54AD"/>
    <w:rsid w:val="000B5BFE"/>
    <w:rsid w:val="000B5DA6"/>
    <w:rsid w:val="000B665A"/>
    <w:rsid w:val="000B7383"/>
    <w:rsid w:val="000B74B1"/>
    <w:rsid w:val="000B7931"/>
    <w:rsid w:val="000B7EFC"/>
    <w:rsid w:val="000C0CD1"/>
    <w:rsid w:val="000C0E13"/>
    <w:rsid w:val="000C0FB1"/>
    <w:rsid w:val="000C116C"/>
    <w:rsid w:val="000C148A"/>
    <w:rsid w:val="000C19F1"/>
    <w:rsid w:val="000C229D"/>
    <w:rsid w:val="000C22FE"/>
    <w:rsid w:val="000C237B"/>
    <w:rsid w:val="000C2425"/>
    <w:rsid w:val="000C2FB6"/>
    <w:rsid w:val="000C34BD"/>
    <w:rsid w:val="000C3786"/>
    <w:rsid w:val="000C396A"/>
    <w:rsid w:val="000C4062"/>
    <w:rsid w:val="000C4F07"/>
    <w:rsid w:val="000C4F86"/>
    <w:rsid w:val="000C5395"/>
    <w:rsid w:val="000C571C"/>
    <w:rsid w:val="000C662F"/>
    <w:rsid w:val="000C6845"/>
    <w:rsid w:val="000C69DB"/>
    <w:rsid w:val="000C6DB9"/>
    <w:rsid w:val="000C6DF9"/>
    <w:rsid w:val="000D0024"/>
    <w:rsid w:val="000D0062"/>
    <w:rsid w:val="000D0077"/>
    <w:rsid w:val="000D081B"/>
    <w:rsid w:val="000D095B"/>
    <w:rsid w:val="000D1031"/>
    <w:rsid w:val="000D18A0"/>
    <w:rsid w:val="000D1BA4"/>
    <w:rsid w:val="000D2183"/>
    <w:rsid w:val="000D2723"/>
    <w:rsid w:val="000D2BD3"/>
    <w:rsid w:val="000D2E06"/>
    <w:rsid w:val="000D3531"/>
    <w:rsid w:val="000D3733"/>
    <w:rsid w:val="000D3C8F"/>
    <w:rsid w:val="000D3CB0"/>
    <w:rsid w:val="000D41B1"/>
    <w:rsid w:val="000D4A31"/>
    <w:rsid w:val="000D4BBC"/>
    <w:rsid w:val="000D5D59"/>
    <w:rsid w:val="000D61BC"/>
    <w:rsid w:val="000D61EC"/>
    <w:rsid w:val="000D7101"/>
    <w:rsid w:val="000D74D2"/>
    <w:rsid w:val="000D7524"/>
    <w:rsid w:val="000D7E7F"/>
    <w:rsid w:val="000E203E"/>
    <w:rsid w:val="000E22C8"/>
    <w:rsid w:val="000E359A"/>
    <w:rsid w:val="000E386C"/>
    <w:rsid w:val="000E4416"/>
    <w:rsid w:val="000E5062"/>
    <w:rsid w:val="000E56A6"/>
    <w:rsid w:val="000E635D"/>
    <w:rsid w:val="000E6846"/>
    <w:rsid w:val="000E6A13"/>
    <w:rsid w:val="000E6C24"/>
    <w:rsid w:val="000F1746"/>
    <w:rsid w:val="000F1A01"/>
    <w:rsid w:val="000F1AD6"/>
    <w:rsid w:val="000F1FFB"/>
    <w:rsid w:val="000F2BC8"/>
    <w:rsid w:val="000F35E4"/>
    <w:rsid w:val="000F3B34"/>
    <w:rsid w:val="000F3B41"/>
    <w:rsid w:val="000F48EC"/>
    <w:rsid w:val="000F5301"/>
    <w:rsid w:val="000F560A"/>
    <w:rsid w:val="000F6271"/>
    <w:rsid w:val="000F74D9"/>
    <w:rsid w:val="00100255"/>
    <w:rsid w:val="00100C33"/>
    <w:rsid w:val="0010310A"/>
    <w:rsid w:val="001033EA"/>
    <w:rsid w:val="00103676"/>
    <w:rsid w:val="00103D15"/>
    <w:rsid w:val="00103DB3"/>
    <w:rsid w:val="00104226"/>
    <w:rsid w:val="00104C28"/>
    <w:rsid w:val="001050AB"/>
    <w:rsid w:val="0010550D"/>
    <w:rsid w:val="00105620"/>
    <w:rsid w:val="00105C9A"/>
    <w:rsid w:val="00105D2F"/>
    <w:rsid w:val="00105D66"/>
    <w:rsid w:val="001060B4"/>
    <w:rsid w:val="0010612B"/>
    <w:rsid w:val="0010733C"/>
    <w:rsid w:val="00107C81"/>
    <w:rsid w:val="00107EF5"/>
    <w:rsid w:val="0011068D"/>
    <w:rsid w:val="0011070A"/>
    <w:rsid w:val="0011085C"/>
    <w:rsid w:val="001112C1"/>
    <w:rsid w:val="00111416"/>
    <w:rsid w:val="00111FB5"/>
    <w:rsid w:val="001121D6"/>
    <w:rsid w:val="00112434"/>
    <w:rsid w:val="00112C0C"/>
    <w:rsid w:val="00112F9C"/>
    <w:rsid w:val="00113C64"/>
    <w:rsid w:val="00114897"/>
    <w:rsid w:val="001154B4"/>
    <w:rsid w:val="00115AB6"/>
    <w:rsid w:val="0011710B"/>
    <w:rsid w:val="001179A3"/>
    <w:rsid w:val="00117A6C"/>
    <w:rsid w:val="0012098F"/>
    <w:rsid w:val="00121296"/>
    <w:rsid w:val="00121472"/>
    <w:rsid w:val="00122F32"/>
    <w:rsid w:val="00123C6E"/>
    <w:rsid w:val="00123CDD"/>
    <w:rsid w:val="001240DF"/>
    <w:rsid w:val="001247B2"/>
    <w:rsid w:val="001253A9"/>
    <w:rsid w:val="00125B52"/>
    <w:rsid w:val="00125F94"/>
    <w:rsid w:val="001262A1"/>
    <w:rsid w:val="00126889"/>
    <w:rsid w:val="00126B9F"/>
    <w:rsid w:val="00126BBD"/>
    <w:rsid w:val="00127AE6"/>
    <w:rsid w:val="001303A1"/>
    <w:rsid w:val="0013166C"/>
    <w:rsid w:val="00131E9B"/>
    <w:rsid w:val="00133CCB"/>
    <w:rsid w:val="0013404C"/>
    <w:rsid w:val="00134C51"/>
    <w:rsid w:val="00134E51"/>
    <w:rsid w:val="001352E2"/>
    <w:rsid w:val="001366A5"/>
    <w:rsid w:val="00137748"/>
    <w:rsid w:val="00137842"/>
    <w:rsid w:val="00140AD0"/>
    <w:rsid w:val="00141164"/>
    <w:rsid w:val="001411EF"/>
    <w:rsid w:val="00141C78"/>
    <w:rsid w:val="0014299D"/>
    <w:rsid w:val="00142AD1"/>
    <w:rsid w:val="00143BA1"/>
    <w:rsid w:val="00143EA1"/>
    <w:rsid w:val="00143EDD"/>
    <w:rsid w:val="00143FEB"/>
    <w:rsid w:val="0014417F"/>
    <w:rsid w:val="001456A8"/>
    <w:rsid w:val="00145A5C"/>
    <w:rsid w:val="00146119"/>
    <w:rsid w:val="001462F2"/>
    <w:rsid w:val="00146355"/>
    <w:rsid w:val="00146426"/>
    <w:rsid w:val="00147429"/>
    <w:rsid w:val="00147FC2"/>
    <w:rsid w:val="001506FF"/>
    <w:rsid w:val="00150C49"/>
    <w:rsid w:val="00151168"/>
    <w:rsid w:val="0015135F"/>
    <w:rsid w:val="001516BC"/>
    <w:rsid w:val="00152056"/>
    <w:rsid w:val="0015209B"/>
    <w:rsid w:val="00152701"/>
    <w:rsid w:val="00152B5B"/>
    <w:rsid w:val="001531E5"/>
    <w:rsid w:val="001533C1"/>
    <w:rsid w:val="001533F5"/>
    <w:rsid w:val="00153A7E"/>
    <w:rsid w:val="001544BC"/>
    <w:rsid w:val="0015454E"/>
    <w:rsid w:val="00154AF0"/>
    <w:rsid w:val="00154D2C"/>
    <w:rsid w:val="00154DB7"/>
    <w:rsid w:val="00154F82"/>
    <w:rsid w:val="00154FB5"/>
    <w:rsid w:val="001553F6"/>
    <w:rsid w:val="00155BF3"/>
    <w:rsid w:val="0015602F"/>
    <w:rsid w:val="0015672F"/>
    <w:rsid w:val="00156F93"/>
    <w:rsid w:val="001571F1"/>
    <w:rsid w:val="001574A5"/>
    <w:rsid w:val="001576A2"/>
    <w:rsid w:val="001577E8"/>
    <w:rsid w:val="001578F8"/>
    <w:rsid w:val="00160231"/>
    <w:rsid w:val="001607C7"/>
    <w:rsid w:val="00160BF3"/>
    <w:rsid w:val="00160D04"/>
    <w:rsid w:val="00161006"/>
    <w:rsid w:val="00161153"/>
    <w:rsid w:val="0016144F"/>
    <w:rsid w:val="001614D7"/>
    <w:rsid w:val="001625AD"/>
    <w:rsid w:val="001626F7"/>
    <w:rsid w:val="001627E4"/>
    <w:rsid w:val="0016394C"/>
    <w:rsid w:val="00163F2C"/>
    <w:rsid w:val="00163FE3"/>
    <w:rsid w:val="00164153"/>
    <w:rsid w:val="00164D17"/>
    <w:rsid w:val="00164F24"/>
    <w:rsid w:val="00165493"/>
    <w:rsid w:val="001662D0"/>
    <w:rsid w:val="0016680F"/>
    <w:rsid w:val="00166ADA"/>
    <w:rsid w:val="00166DE7"/>
    <w:rsid w:val="0016722F"/>
    <w:rsid w:val="00167AB0"/>
    <w:rsid w:val="00167BEE"/>
    <w:rsid w:val="001704A6"/>
    <w:rsid w:val="001704D9"/>
    <w:rsid w:val="00170CE0"/>
    <w:rsid w:val="00171007"/>
    <w:rsid w:val="001710DB"/>
    <w:rsid w:val="00171109"/>
    <w:rsid w:val="0017139B"/>
    <w:rsid w:val="001717EB"/>
    <w:rsid w:val="001723C7"/>
    <w:rsid w:val="001726D9"/>
    <w:rsid w:val="00172775"/>
    <w:rsid w:val="001727FA"/>
    <w:rsid w:val="001730A6"/>
    <w:rsid w:val="0017332A"/>
    <w:rsid w:val="001734B6"/>
    <w:rsid w:val="001734E4"/>
    <w:rsid w:val="001739C4"/>
    <w:rsid w:val="0017495C"/>
    <w:rsid w:val="00174BC7"/>
    <w:rsid w:val="00174D34"/>
    <w:rsid w:val="0017553B"/>
    <w:rsid w:val="00175D6E"/>
    <w:rsid w:val="00176626"/>
    <w:rsid w:val="001767CA"/>
    <w:rsid w:val="00176B97"/>
    <w:rsid w:val="001770FD"/>
    <w:rsid w:val="00177307"/>
    <w:rsid w:val="001775EB"/>
    <w:rsid w:val="00180B78"/>
    <w:rsid w:val="00180DB0"/>
    <w:rsid w:val="001812B8"/>
    <w:rsid w:val="0018152C"/>
    <w:rsid w:val="00182281"/>
    <w:rsid w:val="001828B4"/>
    <w:rsid w:val="001836C3"/>
    <w:rsid w:val="00183C00"/>
    <w:rsid w:val="0018432F"/>
    <w:rsid w:val="00184778"/>
    <w:rsid w:val="00184DEE"/>
    <w:rsid w:val="001851BA"/>
    <w:rsid w:val="001852CA"/>
    <w:rsid w:val="00185459"/>
    <w:rsid w:val="0018561F"/>
    <w:rsid w:val="00185695"/>
    <w:rsid w:val="00185BA9"/>
    <w:rsid w:val="00185EA3"/>
    <w:rsid w:val="00186159"/>
    <w:rsid w:val="001872E2"/>
    <w:rsid w:val="00187B6D"/>
    <w:rsid w:val="00187F68"/>
    <w:rsid w:val="00190312"/>
    <w:rsid w:val="001903DA"/>
    <w:rsid w:val="001904BF"/>
    <w:rsid w:val="00191583"/>
    <w:rsid w:val="001919BD"/>
    <w:rsid w:val="0019291D"/>
    <w:rsid w:val="00192D41"/>
    <w:rsid w:val="001932B4"/>
    <w:rsid w:val="001932D4"/>
    <w:rsid w:val="00193334"/>
    <w:rsid w:val="00193DBD"/>
    <w:rsid w:val="0019410F"/>
    <w:rsid w:val="0019418B"/>
    <w:rsid w:val="0019481B"/>
    <w:rsid w:val="0019490C"/>
    <w:rsid w:val="00194C92"/>
    <w:rsid w:val="00194CEB"/>
    <w:rsid w:val="00194EA9"/>
    <w:rsid w:val="00194F71"/>
    <w:rsid w:val="001952A3"/>
    <w:rsid w:val="001952DD"/>
    <w:rsid w:val="001957EF"/>
    <w:rsid w:val="00195D84"/>
    <w:rsid w:val="00195F04"/>
    <w:rsid w:val="0019629A"/>
    <w:rsid w:val="00197010"/>
    <w:rsid w:val="001970BC"/>
    <w:rsid w:val="0019789D"/>
    <w:rsid w:val="001A0D8A"/>
    <w:rsid w:val="001A1B86"/>
    <w:rsid w:val="001A1BC5"/>
    <w:rsid w:val="001A1EF6"/>
    <w:rsid w:val="001A226F"/>
    <w:rsid w:val="001A3307"/>
    <w:rsid w:val="001A36B6"/>
    <w:rsid w:val="001A3739"/>
    <w:rsid w:val="001A446C"/>
    <w:rsid w:val="001A457D"/>
    <w:rsid w:val="001A4C56"/>
    <w:rsid w:val="001A4E57"/>
    <w:rsid w:val="001A5CF2"/>
    <w:rsid w:val="001A61A3"/>
    <w:rsid w:val="001A75DC"/>
    <w:rsid w:val="001A776E"/>
    <w:rsid w:val="001A7A69"/>
    <w:rsid w:val="001A7BA3"/>
    <w:rsid w:val="001A7D6B"/>
    <w:rsid w:val="001B0012"/>
    <w:rsid w:val="001B0682"/>
    <w:rsid w:val="001B0B8F"/>
    <w:rsid w:val="001B0CE5"/>
    <w:rsid w:val="001B0E2E"/>
    <w:rsid w:val="001B1B53"/>
    <w:rsid w:val="001B1BE8"/>
    <w:rsid w:val="001B1C65"/>
    <w:rsid w:val="001B21D3"/>
    <w:rsid w:val="001B301F"/>
    <w:rsid w:val="001B3052"/>
    <w:rsid w:val="001B3DC1"/>
    <w:rsid w:val="001B432E"/>
    <w:rsid w:val="001B45A4"/>
    <w:rsid w:val="001B4773"/>
    <w:rsid w:val="001B47BF"/>
    <w:rsid w:val="001B4CEE"/>
    <w:rsid w:val="001B4D1E"/>
    <w:rsid w:val="001B58B2"/>
    <w:rsid w:val="001B5A26"/>
    <w:rsid w:val="001B628A"/>
    <w:rsid w:val="001B63CF"/>
    <w:rsid w:val="001B7A40"/>
    <w:rsid w:val="001B7E2A"/>
    <w:rsid w:val="001C0007"/>
    <w:rsid w:val="001C2364"/>
    <w:rsid w:val="001C255D"/>
    <w:rsid w:val="001C28F2"/>
    <w:rsid w:val="001C2A58"/>
    <w:rsid w:val="001C2BB9"/>
    <w:rsid w:val="001C2CDF"/>
    <w:rsid w:val="001C2F04"/>
    <w:rsid w:val="001C3486"/>
    <w:rsid w:val="001C34A7"/>
    <w:rsid w:val="001C356F"/>
    <w:rsid w:val="001C3DA6"/>
    <w:rsid w:val="001C3F2D"/>
    <w:rsid w:val="001C3F50"/>
    <w:rsid w:val="001C4523"/>
    <w:rsid w:val="001C4C6B"/>
    <w:rsid w:val="001C4C74"/>
    <w:rsid w:val="001C504F"/>
    <w:rsid w:val="001C584C"/>
    <w:rsid w:val="001C64B6"/>
    <w:rsid w:val="001C6507"/>
    <w:rsid w:val="001C6696"/>
    <w:rsid w:val="001C66EC"/>
    <w:rsid w:val="001C66FA"/>
    <w:rsid w:val="001C6D9E"/>
    <w:rsid w:val="001C73D0"/>
    <w:rsid w:val="001D0D5F"/>
    <w:rsid w:val="001D1E03"/>
    <w:rsid w:val="001D2112"/>
    <w:rsid w:val="001D21E4"/>
    <w:rsid w:val="001D2355"/>
    <w:rsid w:val="001D291A"/>
    <w:rsid w:val="001D3075"/>
    <w:rsid w:val="001D3C17"/>
    <w:rsid w:val="001D3C5E"/>
    <w:rsid w:val="001D3E64"/>
    <w:rsid w:val="001D41ED"/>
    <w:rsid w:val="001D420A"/>
    <w:rsid w:val="001D49B2"/>
    <w:rsid w:val="001D4B25"/>
    <w:rsid w:val="001D4B83"/>
    <w:rsid w:val="001D4B8D"/>
    <w:rsid w:val="001D50C8"/>
    <w:rsid w:val="001D5D8C"/>
    <w:rsid w:val="001D641D"/>
    <w:rsid w:val="001D69A9"/>
    <w:rsid w:val="001D6EBF"/>
    <w:rsid w:val="001D764E"/>
    <w:rsid w:val="001E03B1"/>
    <w:rsid w:val="001E052C"/>
    <w:rsid w:val="001E0558"/>
    <w:rsid w:val="001E091D"/>
    <w:rsid w:val="001E0ED3"/>
    <w:rsid w:val="001E114F"/>
    <w:rsid w:val="001E1A13"/>
    <w:rsid w:val="001E2F3A"/>
    <w:rsid w:val="001E3095"/>
    <w:rsid w:val="001E3498"/>
    <w:rsid w:val="001E364E"/>
    <w:rsid w:val="001E3D40"/>
    <w:rsid w:val="001E4535"/>
    <w:rsid w:val="001E4F66"/>
    <w:rsid w:val="001E5118"/>
    <w:rsid w:val="001E52B0"/>
    <w:rsid w:val="001E52EA"/>
    <w:rsid w:val="001E56B9"/>
    <w:rsid w:val="001E665C"/>
    <w:rsid w:val="001E6D2D"/>
    <w:rsid w:val="001E771E"/>
    <w:rsid w:val="001E7A1B"/>
    <w:rsid w:val="001E7A99"/>
    <w:rsid w:val="001F0053"/>
    <w:rsid w:val="001F00E6"/>
    <w:rsid w:val="001F013E"/>
    <w:rsid w:val="001F0AF6"/>
    <w:rsid w:val="001F0CB6"/>
    <w:rsid w:val="001F143E"/>
    <w:rsid w:val="001F1C10"/>
    <w:rsid w:val="001F21DD"/>
    <w:rsid w:val="001F2466"/>
    <w:rsid w:val="001F2EA0"/>
    <w:rsid w:val="001F2EFB"/>
    <w:rsid w:val="001F3138"/>
    <w:rsid w:val="001F32C8"/>
    <w:rsid w:val="001F3609"/>
    <w:rsid w:val="001F3853"/>
    <w:rsid w:val="001F3DF4"/>
    <w:rsid w:val="001F458F"/>
    <w:rsid w:val="001F49A4"/>
    <w:rsid w:val="001F4D3D"/>
    <w:rsid w:val="001F4D8C"/>
    <w:rsid w:val="001F5986"/>
    <w:rsid w:val="001F5A81"/>
    <w:rsid w:val="001F5CE0"/>
    <w:rsid w:val="001F5D38"/>
    <w:rsid w:val="001F6259"/>
    <w:rsid w:val="001F6712"/>
    <w:rsid w:val="001F6963"/>
    <w:rsid w:val="001F6DAC"/>
    <w:rsid w:val="001F6DAD"/>
    <w:rsid w:val="001F720E"/>
    <w:rsid w:val="001F7216"/>
    <w:rsid w:val="001F7ED9"/>
    <w:rsid w:val="0020003C"/>
    <w:rsid w:val="00200176"/>
    <w:rsid w:val="00200DC5"/>
    <w:rsid w:val="00200E93"/>
    <w:rsid w:val="00200E94"/>
    <w:rsid w:val="00200F00"/>
    <w:rsid w:val="002012D4"/>
    <w:rsid w:val="002013CD"/>
    <w:rsid w:val="00201667"/>
    <w:rsid w:val="00202427"/>
    <w:rsid w:val="002025E9"/>
    <w:rsid w:val="00202F26"/>
    <w:rsid w:val="00203014"/>
    <w:rsid w:val="0020302A"/>
    <w:rsid w:val="00203370"/>
    <w:rsid w:val="00203547"/>
    <w:rsid w:val="00203E92"/>
    <w:rsid w:val="00204129"/>
    <w:rsid w:val="00204B72"/>
    <w:rsid w:val="00204CB3"/>
    <w:rsid w:val="002054B7"/>
    <w:rsid w:val="002057F0"/>
    <w:rsid w:val="002058F8"/>
    <w:rsid w:val="002059D1"/>
    <w:rsid w:val="00206104"/>
    <w:rsid w:val="002072F3"/>
    <w:rsid w:val="00207C6D"/>
    <w:rsid w:val="00207E29"/>
    <w:rsid w:val="00210242"/>
    <w:rsid w:val="002107BB"/>
    <w:rsid w:val="00210DCD"/>
    <w:rsid w:val="00210E19"/>
    <w:rsid w:val="00210F91"/>
    <w:rsid w:val="00210FB8"/>
    <w:rsid w:val="002122C8"/>
    <w:rsid w:val="0021298B"/>
    <w:rsid w:val="00212E9B"/>
    <w:rsid w:val="00214B4A"/>
    <w:rsid w:val="00215B8E"/>
    <w:rsid w:val="002179B7"/>
    <w:rsid w:val="00217D15"/>
    <w:rsid w:val="002202DF"/>
    <w:rsid w:val="0022068B"/>
    <w:rsid w:val="00220DEF"/>
    <w:rsid w:val="00221C89"/>
    <w:rsid w:val="002221E7"/>
    <w:rsid w:val="00223353"/>
    <w:rsid w:val="0022391B"/>
    <w:rsid w:val="0022394F"/>
    <w:rsid w:val="00224055"/>
    <w:rsid w:val="002240D6"/>
    <w:rsid w:val="0022471B"/>
    <w:rsid w:val="0022476B"/>
    <w:rsid w:val="00224C1C"/>
    <w:rsid w:val="00225618"/>
    <w:rsid w:val="00225944"/>
    <w:rsid w:val="00225A41"/>
    <w:rsid w:val="00225BFF"/>
    <w:rsid w:val="0022643A"/>
    <w:rsid w:val="00226619"/>
    <w:rsid w:val="00230B84"/>
    <w:rsid w:val="00230C85"/>
    <w:rsid w:val="00231560"/>
    <w:rsid w:val="002319BF"/>
    <w:rsid w:val="002324AF"/>
    <w:rsid w:val="0023298F"/>
    <w:rsid w:val="002329FF"/>
    <w:rsid w:val="00232A92"/>
    <w:rsid w:val="00233135"/>
    <w:rsid w:val="00233643"/>
    <w:rsid w:val="002339AE"/>
    <w:rsid w:val="00233A23"/>
    <w:rsid w:val="002351F1"/>
    <w:rsid w:val="002353D6"/>
    <w:rsid w:val="002354DC"/>
    <w:rsid w:val="0023588A"/>
    <w:rsid w:val="00235D45"/>
    <w:rsid w:val="00236257"/>
    <w:rsid w:val="00236C4F"/>
    <w:rsid w:val="00236DCE"/>
    <w:rsid w:val="00237494"/>
    <w:rsid w:val="00237960"/>
    <w:rsid w:val="00237C07"/>
    <w:rsid w:val="00237F4C"/>
    <w:rsid w:val="00240159"/>
    <w:rsid w:val="00240224"/>
    <w:rsid w:val="00240673"/>
    <w:rsid w:val="002408AA"/>
    <w:rsid w:val="002408BB"/>
    <w:rsid w:val="00240DC1"/>
    <w:rsid w:val="00241703"/>
    <w:rsid w:val="00243687"/>
    <w:rsid w:val="00243CF7"/>
    <w:rsid w:val="00244066"/>
    <w:rsid w:val="00244DAD"/>
    <w:rsid w:val="00244FEA"/>
    <w:rsid w:val="002450D4"/>
    <w:rsid w:val="0024514F"/>
    <w:rsid w:val="00245257"/>
    <w:rsid w:val="00245503"/>
    <w:rsid w:val="00245828"/>
    <w:rsid w:val="0024621D"/>
    <w:rsid w:val="00246D34"/>
    <w:rsid w:val="00246F01"/>
    <w:rsid w:val="002479F1"/>
    <w:rsid w:val="00247DD3"/>
    <w:rsid w:val="00250014"/>
    <w:rsid w:val="00250533"/>
    <w:rsid w:val="00250EB2"/>
    <w:rsid w:val="00250FA7"/>
    <w:rsid w:val="0025124C"/>
    <w:rsid w:val="00251584"/>
    <w:rsid w:val="00251872"/>
    <w:rsid w:val="00252133"/>
    <w:rsid w:val="0025260E"/>
    <w:rsid w:val="002531C2"/>
    <w:rsid w:val="0025371E"/>
    <w:rsid w:val="002537CE"/>
    <w:rsid w:val="00253879"/>
    <w:rsid w:val="00253E02"/>
    <w:rsid w:val="00253FEA"/>
    <w:rsid w:val="0025425E"/>
    <w:rsid w:val="002547F5"/>
    <w:rsid w:val="002555CE"/>
    <w:rsid w:val="00255631"/>
    <w:rsid w:val="00255CD7"/>
    <w:rsid w:val="002562D1"/>
    <w:rsid w:val="00257712"/>
    <w:rsid w:val="00257C30"/>
    <w:rsid w:val="00257DC5"/>
    <w:rsid w:val="002613C6"/>
    <w:rsid w:val="0026179B"/>
    <w:rsid w:val="00262243"/>
    <w:rsid w:val="00262326"/>
    <w:rsid w:val="00262BBD"/>
    <w:rsid w:val="00262FDA"/>
    <w:rsid w:val="00264CDA"/>
    <w:rsid w:val="00265742"/>
    <w:rsid w:val="002657B0"/>
    <w:rsid w:val="00265986"/>
    <w:rsid w:val="00265FDF"/>
    <w:rsid w:val="0026616A"/>
    <w:rsid w:val="00266F23"/>
    <w:rsid w:val="002672CD"/>
    <w:rsid w:val="002701EC"/>
    <w:rsid w:val="00270461"/>
    <w:rsid w:val="00270557"/>
    <w:rsid w:val="0027080B"/>
    <w:rsid w:val="00270B69"/>
    <w:rsid w:val="00270E61"/>
    <w:rsid w:val="00271249"/>
    <w:rsid w:val="002720C5"/>
    <w:rsid w:val="0027229B"/>
    <w:rsid w:val="00272EF5"/>
    <w:rsid w:val="00273C46"/>
    <w:rsid w:val="00273DF9"/>
    <w:rsid w:val="00273E2F"/>
    <w:rsid w:val="002742D4"/>
    <w:rsid w:val="00274A65"/>
    <w:rsid w:val="00274B95"/>
    <w:rsid w:val="0027522D"/>
    <w:rsid w:val="00275775"/>
    <w:rsid w:val="0027583B"/>
    <w:rsid w:val="00275A37"/>
    <w:rsid w:val="00275AC2"/>
    <w:rsid w:val="00275BA0"/>
    <w:rsid w:val="0028003C"/>
    <w:rsid w:val="00281065"/>
    <w:rsid w:val="0028180A"/>
    <w:rsid w:val="00282027"/>
    <w:rsid w:val="002820F5"/>
    <w:rsid w:val="00282FC0"/>
    <w:rsid w:val="002830B6"/>
    <w:rsid w:val="002831EF"/>
    <w:rsid w:val="00283216"/>
    <w:rsid w:val="00283299"/>
    <w:rsid w:val="00284002"/>
    <w:rsid w:val="00284991"/>
    <w:rsid w:val="00284ACF"/>
    <w:rsid w:val="002851B9"/>
    <w:rsid w:val="00285349"/>
    <w:rsid w:val="002853A4"/>
    <w:rsid w:val="0028584C"/>
    <w:rsid w:val="002865F8"/>
    <w:rsid w:val="00286D61"/>
    <w:rsid w:val="00287074"/>
    <w:rsid w:val="002874B5"/>
    <w:rsid w:val="00287A0F"/>
    <w:rsid w:val="00287D10"/>
    <w:rsid w:val="0029099F"/>
    <w:rsid w:val="00290C2A"/>
    <w:rsid w:val="0029363B"/>
    <w:rsid w:val="00293679"/>
    <w:rsid w:val="00293B9D"/>
    <w:rsid w:val="002940EF"/>
    <w:rsid w:val="002940FD"/>
    <w:rsid w:val="0029430F"/>
    <w:rsid w:val="002944AE"/>
    <w:rsid w:val="0029455B"/>
    <w:rsid w:val="00294B33"/>
    <w:rsid w:val="00294F20"/>
    <w:rsid w:val="00295049"/>
    <w:rsid w:val="00295218"/>
    <w:rsid w:val="0029524F"/>
    <w:rsid w:val="0029581A"/>
    <w:rsid w:val="00295A90"/>
    <w:rsid w:val="00295A93"/>
    <w:rsid w:val="00297924"/>
    <w:rsid w:val="00297BC1"/>
    <w:rsid w:val="002A09CF"/>
    <w:rsid w:val="002A0D75"/>
    <w:rsid w:val="002A0E2A"/>
    <w:rsid w:val="002A0EF6"/>
    <w:rsid w:val="002A19D7"/>
    <w:rsid w:val="002A216C"/>
    <w:rsid w:val="002A25E6"/>
    <w:rsid w:val="002A2C02"/>
    <w:rsid w:val="002A37B6"/>
    <w:rsid w:val="002A38E5"/>
    <w:rsid w:val="002A3A18"/>
    <w:rsid w:val="002A3C69"/>
    <w:rsid w:val="002A3DF4"/>
    <w:rsid w:val="002A3EAD"/>
    <w:rsid w:val="002A4BE0"/>
    <w:rsid w:val="002A4CBE"/>
    <w:rsid w:val="002A4CF9"/>
    <w:rsid w:val="002A51EA"/>
    <w:rsid w:val="002A53A8"/>
    <w:rsid w:val="002A5698"/>
    <w:rsid w:val="002A5959"/>
    <w:rsid w:val="002A60C0"/>
    <w:rsid w:val="002A62D6"/>
    <w:rsid w:val="002A7133"/>
    <w:rsid w:val="002A732F"/>
    <w:rsid w:val="002A7995"/>
    <w:rsid w:val="002A7EFA"/>
    <w:rsid w:val="002B00F2"/>
    <w:rsid w:val="002B0388"/>
    <w:rsid w:val="002B0574"/>
    <w:rsid w:val="002B0753"/>
    <w:rsid w:val="002B1356"/>
    <w:rsid w:val="002B1808"/>
    <w:rsid w:val="002B1912"/>
    <w:rsid w:val="002B24D5"/>
    <w:rsid w:val="002B2653"/>
    <w:rsid w:val="002B2B16"/>
    <w:rsid w:val="002B3238"/>
    <w:rsid w:val="002B393A"/>
    <w:rsid w:val="002B3A9D"/>
    <w:rsid w:val="002B3E9A"/>
    <w:rsid w:val="002B6CCC"/>
    <w:rsid w:val="002B7515"/>
    <w:rsid w:val="002B778F"/>
    <w:rsid w:val="002B7912"/>
    <w:rsid w:val="002B7DCA"/>
    <w:rsid w:val="002C005E"/>
    <w:rsid w:val="002C1586"/>
    <w:rsid w:val="002C2467"/>
    <w:rsid w:val="002C2ABD"/>
    <w:rsid w:val="002C353C"/>
    <w:rsid w:val="002C3563"/>
    <w:rsid w:val="002C3588"/>
    <w:rsid w:val="002C3A79"/>
    <w:rsid w:val="002C467F"/>
    <w:rsid w:val="002C4795"/>
    <w:rsid w:val="002C481B"/>
    <w:rsid w:val="002C4B39"/>
    <w:rsid w:val="002C55BA"/>
    <w:rsid w:val="002C631E"/>
    <w:rsid w:val="002C783C"/>
    <w:rsid w:val="002C7AFF"/>
    <w:rsid w:val="002C7CB2"/>
    <w:rsid w:val="002C7D01"/>
    <w:rsid w:val="002D03D1"/>
    <w:rsid w:val="002D1219"/>
    <w:rsid w:val="002D21C7"/>
    <w:rsid w:val="002D370F"/>
    <w:rsid w:val="002D39A3"/>
    <w:rsid w:val="002D3B31"/>
    <w:rsid w:val="002D3C7F"/>
    <w:rsid w:val="002D440B"/>
    <w:rsid w:val="002D4926"/>
    <w:rsid w:val="002D4D68"/>
    <w:rsid w:val="002D4FC2"/>
    <w:rsid w:val="002D5098"/>
    <w:rsid w:val="002D5DE2"/>
    <w:rsid w:val="002D64D9"/>
    <w:rsid w:val="002D6F79"/>
    <w:rsid w:val="002D7749"/>
    <w:rsid w:val="002D7DBB"/>
    <w:rsid w:val="002E033E"/>
    <w:rsid w:val="002E06B6"/>
    <w:rsid w:val="002E07AD"/>
    <w:rsid w:val="002E0BE4"/>
    <w:rsid w:val="002E0C80"/>
    <w:rsid w:val="002E12D4"/>
    <w:rsid w:val="002E1746"/>
    <w:rsid w:val="002E188F"/>
    <w:rsid w:val="002E1BE3"/>
    <w:rsid w:val="002E1DDA"/>
    <w:rsid w:val="002E1DDC"/>
    <w:rsid w:val="002E251A"/>
    <w:rsid w:val="002E3436"/>
    <w:rsid w:val="002E3722"/>
    <w:rsid w:val="002E3966"/>
    <w:rsid w:val="002E3A70"/>
    <w:rsid w:val="002E4225"/>
    <w:rsid w:val="002E4587"/>
    <w:rsid w:val="002E4925"/>
    <w:rsid w:val="002E5256"/>
    <w:rsid w:val="002E5289"/>
    <w:rsid w:val="002E5FED"/>
    <w:rsid w:val="002E65E9"/>
    <w:rsid w:val="002E68D3"/>
    <w:rsid w:val="002E6EE5"/>
    <w:rsid w:val="002E70A1"/>
    <w:rsid w:val="002E7518"/>
    <w:rsid w:val="002F054F"/>
    <w:rsid w:val="002F085A"/>
    <w:rsid w:val="002F0EBC"/>
    <w:rsid w:val="002F1237"/>
    <w:rsid w:val="002F1790"/>
    <w:rsid w:val="002F2604"/>
    <w:rsid w:val="002F2F01"/>
    <w:rsid w:val="002F390D"/>
    <w:rsid w:val="002F3FBC"/>
    <w:rsid w:val="002F4A4A"/>
    <w:rsid w:val="002F513F"/>
    <w:rsid w:val="002F555E"/>
    <w:rsid w:val="002F5A3C"/>
    <w:rsid w:val="002F6350"/>
    <w:rsid w:val="002F6563"/>
    <w:rsid w:val="002F6802"/>
    <w:rsid w:val="002F691F"/>
    <w:rsid w:val="002F720E"/>
    <w:rsid w:val="002F7400"/>
    <w:rsid w:val="00300394"/>
    <w:rsid w:val="003008D0"/>
    <w:rsid w:val="003013D9"/>
    <w:rsid w:val="003018B6"/>
    <w:rsid w:val="00301B10"/>
    <w:rsid w:val="00301DDF"/>
    <w:rsid w:val="003022C9"/>
    <w:rsid w:val="003024DB"/>
    <w:rsid w:val="00302CA0"/>
    <w:rsid w:val="00303365"/>
    <w:rsid w:val="00304263"/>
    <w:rsid w:val="00304D1E"/>
    <w:rsid w:val="00305147"/>
    <w:rsid w:val="00305C04"/>
    <w:rsid w:val="00305DC5"/>
    <w:rsid w:val="00305FF8"/>
    <w:rsid w:val="00306780"/>
    <w:rsid w:val="003068E2"/>
    <w:rsid w:val="00306D5A"/>
    <w:rsid w:val="003071C4"/>
    <w:rsid w:val="003104BD"/>
    <w:rsid w:val="00310FA1"/>
    <w:rsid w:val="00311EFF"/>
    <w:rsid w:val="003125CB"/>
    <w:rsid w:val="0031357E"/>
    <w:rsid w:val="0031367C"/>
    <w:rsid w:val="00313AF8"/>
    <w:rsid w:val="00314F74"/>
    <w:rsid w:val="003150FE"/>
    <w:rsid w:val="003155CF"/>
    <w:rsid w:val="00315607"/>
    <w:rsid w:val="00315AED"/>
    <w:rsid w:val="00315EC5"/>
    <w:rsid w:val="00316A2A"/>
    <w:rsid w:val="00316EE6"/>
    <w:rsid w:val="00317394"/>
    <w:rsid w:val="003178F8"/>
    <w:rsid w:val="00317E76"/>
    <w:rsid w:val="00317EE5"/>
    <w:rsid w:val="00317F88"/>
    <w:rsid w:val="0032050F"/>
    <w:rsid w:val="00320F45"/>
    <w:rsid w:val="00321162"/>
    <w:rsid w:val="00321566"/>
    <w:rsid w:val="003215DB"/>
    <w:rsid w:val="00321871"/>
    <w:rsid w:val="00321E9F"/>
    <w:rsid w:val="003223AA"/>
    <w:rsid w:val="00323863"/>
    <w:rsid w:val="00323B52"/>
    <w:rsid w:val="00323BAA"/>
    <w:rsid w:val="0032470E"/>
    <w:rsid w:val="00324C5E"/>
    <w:rsid w:val="00325B63"/>
    <w:rsid w:val="0032671E"/>
    <w:rsid w:val="003268F2"/>
    <w:rsid w:val="00327336"/>
    <w:rsid w:val="00327D99"/>
    <w:rsid w:val="00331029"/>
    <w:rsid w:val="00332482"/>
    <w:rsid w:val="0033250A"/>
    <w:rsid w:val="00332771"/>
    <w:rsid w:val="003331E3"/>
    <w:rsid w:val="00333597"/>
    <w:rsid w:val="003343FE"/>
    <w:rsid w:val="003350D1"/>
    <w:rsid w:val="00335E47"/>
    <w:rsid w:val="003367A1"/>
    <w:rsid w:val="00336D62"/>
    <w:rsid w:val="00337C39"/>
    <w:rsid w:val="00340503"/>
    <w:rsid w:val="0034080B"/>
    <w:rsid w:val="0034086E"/>
    <w:rsid w:val="00340944"/>
    <w:rsid w:val="003413BA"/>
    <w:rsid w:val="00341618"/>
    <w:rsid w:val="0034201E"/>
    <w:rsid w:val="0034279C"/>
    <w:rsid w:val="00343316"/>
    <w:rsid w:val="00343970"/>
    <w:rsid w:val="00343E13"/>
    <w:rsid w:val="00343F83"/>
    <w:rsid w:val="0034451E"/>
    <w:rsid w:val="0034532E"/>
    <w:rsid w:val="00345378"/>
    <w:rsid w:val="003459B3"/>
    <w:rsid w:val="00346DC4"/>
    <w:rsid w:val="00347309"/>
    <w:rsid w:val="00347505"/>
    <w:rsid w:val="00347C8C"/>
    <w:rsid w:val="00347EF1"/>
    <w:rsid w:val="00350F24"/>
    <w:rsid w:val="003525AD"/>
    <w:rsid w:val="00352EFF"/>
    <w:rsid w:val="0035391A"/>
    <w:rsid w:val="00353D37"/>
    <w:rsid w:val="00354337"/>
    <w:rsid w:val="00355332"/>
    <w:rsid w:val="00355F1E"/>
    <w:rsid w:val="0035607A"/>
    <w:rsid w:val="003564C9"/>
    <w:rsid w:val="0035668B"/>
    <w:rsid w:val="00356A94"/>
    <w:rsid w:val="00356F09"/>
    <w:rsid w:val="00357210"/>
    <w:rsid w:val="00357BAE"/>
    <w:rsid w:val="003616A2"/>
    <w:rsid w:val="003628D1"/>
    <w:rsid w:val="003628E5"/>
    <w:rsid w:val="00362A04"/>
    <w:rsid w:val="00363018"/>
    <w:rsid w:val="003635A7"/>
    <w:rsid w:val="00363677"/>
    <w:rsid w:val="00364622"/>
    <w:rsid w:val="00364F7F"/>
    <w:rsid w:val="00366D37"/>
    <w:rsid w:val="00366DD8"/>
    <w:rsid w:val="003672D5"/>
    <w:rsid w:val="00367636"/>
    <w:rsid w:val="00367924"/>
    <w:rsid w:val="00367DD7"/>
    <w:rsid w:val="00370A1E"/>
    <w:rsid w:val="00370BB6"/>
    <w:rsid w:val="00371A42"/>
    <w:rsid w:val="00371F92"/>
    <w:rsid w:val="003721FC"/>
    <w:rsid w:val="003723B4"/>
    <w:rsid w:val="003729B9"/>
    <w:rsid w:val="00372AB3"/>
    <w:rsid w:val="00372B48"/>
    <w:rsid w:val="00372DA1"/>
    <w:rsid w:val="00373BA3"/>
    <w:rsid w:val="003743D7"/>
    <w:rsid w:val="00375392"/>
    <w:rsid w:val="00375937"/>
    <w:rsid w:val="00376F5A"/>
    <w:rsid w:val="00377833"/>
    <w:rsid w:val="003807CD"/>
    <w:rsid w:val="00380E2F"/>
    <w:rsid w:val="003816C0"/>
    <w:rsid w:val="00381762"/>
    <w:rsid w:val="00381F43"/>
    <w:rsid w:val="0038205E"/>
    <w:rsid w:val="00382479"/>
    <w:rsid w:val="00382612"/>
    <w:rsid w:val="003841C8"/>
    <w:rsid w:val="0038600C"/>
    <w:rsid w:val="003867A3"/>
    <w:rsid w:val="003868E6"/>
    <w:rsid w:val="00386B96"/>
    <w:rsid w:val="00386F23"/>
    <w:rsid w:val="00386F9B"/>
    <w:rsid w:val="003875F6"/>
    <w:rsid w:val="0039024F"/>
    <w:rsid w:val="0039090F"/>
    <w:rsid w:val="00390CA2"/>
    <w:rsid w:val="00392058"/>
    <w:rsid w:val="00393612"/>
    <w:rsid w:val="00393771"/>
    <w:rsid w:val="00393857"/>
    <w:rsid w:val="00394636"/>
    <w:rsid w:val="003949C2"/>
    <w:rsid w:val="00394BED"/>
    <w:rsid w:val="0039512A"/>
    <w:rsid w:val="00395699"/>
    <w:rsid w:val="00395B56"/>
    <w:rsid w:val="003961E6"/>
    <w:rsid w:val="00396F21"/>
    <w:rsid w:val="00397C07"/>
    <w:rsid w:val="00397F28"/>
    <w:rsid w:val="003A0AC1"/>
    <w:rsid w:val="003A0C1B"/>
    <w:rsid w:val="003A1C11"/>
    <w:rsid w:val="003A3B9B"/>
    <w:rsid w:val="003A3BA1"/>
    <w:rsid w:val="003A4137"/>
    <w:rsid w:val="003A4215"/>
    <w:rsid w:val="003A4597"/>
    <w:rsid w:val="003A47AE"/>
    <w:rsid w:val="003A4D62"/>
    <w:rsid w:val="003A4DA6"/>
    <w:rsid w:val="003A52E9"/>
    <w:rsid w:val="003A53F6"/>
    <w:rsid w:val="003A5422"/>
    <w:rsid w:val="003A5E1C"/>
    <w:rsid w:val="003A6256"/>
    <w:rsid w:val="003A699E"/>
    <w:rsid w:val="003A6E49"/>
    <w:rsid w:val="003A74DA"/>
    <w:rsid w:val="003B0100"/>
    <w:rsid w:val="003B1A3C"/>
    <w:rsid w:val="003B28B6"/>
    <w:rsid w:val="003B28BE"/>
    <w:rsid w:val="003B333F"/>
    <w:rsid w:val="003B3731"/>
    <w:rsid w:val="003B4F27"/>
    <w:rsid w:val="003B4F5F"/>
    <w:rsid w:val="003B5DFA"/>
    <w:rsid w:val="003B67C5"/>
    <w:rsid w:val="003B6A71"/>
    <w:rsid w:val="003B717D"/>
    <w:rsid w:val="003B78A4"/>
    <w:rsid w:val="003B7DB9"/>
    <w:rsid w:val="003B7FBC"/>
    <w:rsid w:val="003C0437"/>
    <w:rsid w:val="003C0A27"/>
    <w:rsid w:val="003C0F44"/>
    <w:rsid w:val="003C16D4"/>
    <w:rsid w:val="003C184E"/>
    <w:rsid w:val="003C1CBA"/>
    <w:rsid w:val="003C28AC"/>
    <w:rsid w:val="003C2B7D"/>
    <w:rsid w:val="003C3300"/>
    <w:rsid w:val="003C33A9"/>
    <w:rsid w:val="003C360D"/>
    <w:rsid w:val="003C392E"/>
    <w:rsid w:val="003C3C25"/>
    <w:rsid w:val="003C3E04"/>
    <w:rsid w:val="003C4208"/>
    <w:rsid w:val="003C4922"/>
    <w:rsid w:val="003C5460"/>
    <w:rsid w:val="003C568D"/>
    <w:rsid w:val="003C5E43"/>
    <w:rsid w:val="003C6C43"/>
    <w:rsid w:val="003C707F"/>
    <w:rsid w:val="003C7E22"/>
    <w:rsid w:val="003D0393"/>
    <w:rsid w:val="003D1751"/>
    <w:rsid w:val="003D1A52"/>
    <w:rsid w:val="003D213D"/>
    <w:rsid w:val="003D2726"/>
    <w:rsid w:val="003D3918"/>
    <w:rsid w:val="003D42AD"/>
    <w:rsid w:val="003D449A"/>
    <w:rsid w:val="003D6F19"/>
    <w:rsid w:val="003D71C0"/>
    <w:rsid w:val="003D73FE"/>
    <w:rsid w:val="003D7794"/>
    <w:rsid w:val="003D7FC7"/>
    <w:rsid w:val="003E04EF"/>
    <w:rsid w:val="003E119F"/>
    <w:rsid w:val="003E1246"/>
    <w:rsid w:val="003E131B"/>
    <w:rsid w:val="003E1DA0"/>
    <w:rsid w:val="003E1F47"/>
    <w:rsid w:val="003E241A"/>
    <w:rsid w:val="003E33FA"/>
    <w:rsid w:val="003E356D"/>
    <w:rsid w:val="003E49E1"/>
    <w:rsid w:val="003E4AEF"/>
    <w:rsid w:val="003E4EF5"/>
    <w:rsid w:val="003E57E3"/>
    <w:rsid w:val="003E5A57"/>
    <w:rsid w:val="003E5BFF"/>
    <w:rsid w:val="003E5EA4"/>
    <w:rsid w:val="003E5F92"/>
    <w:rsid w:val="003E6894"/>
    <w:rsid w:val="003E68B1"/>
    <w:rsid w:val="003E6D2D"/>
    <w:rsid w:val="003F0DD3"/>
    <w:rsid w:val="003F170A"/>
    <w:rsid w:val="003F1D3A"/>
    <w:rsid w:val="003F2A4B"/>
    <w:rsid w:val="003F394D"/>
    <w:rsid w:val="003F44CE"/>
    <w:rsid w:val="003F464C"/>
    <w:rsid w:val="003F48BA"/>
    <w:rsid w:val="003F4928"/>
    <w:rsid w:val="003F494C"/>
    <w:rsid w:val="003F4C98"/>
    <w:rsid w:val="003F50F1"/>
    <w:rsid w:val="003F58A4"/>
    <w:rsid w:val="003F5DB8"/>
    <w:rsid w:val="003F5F54"/>
    <w:rsid w:val="003F6922"/>
    <w:rsid w:val="003F6AEC"/>
    <w:rsid w:val="003F726B"/>
    <w:rsid w:val="003F730E"/>
    <w:rsid w:val="003F7363"/>
    <w:rsid w:val="003F736F"/>
    <w:rsid w:val="003F7DFC"/>
    <w:rsid w:val="00400391"/>
    <w:rsid w:val="00400B3B"/>
    <w:rsid w:val="00401381"/>
    <w:rsid w:val="00401850"/>
    <w:rsid w:val="00401A93"/>
    <w:rsid w:val="00401F8C"/>
    <w:rsid w:val="00402499"/>
    <w:rsid w:val="004027C7"/>
    <w:rsid w:val="0040290E"/>
    <w:rsid w:val="00402C0C"/>
    <w:rsid w:val="00402FF2"/>
    <w:rsid w:val="0040326E"/>
    <w:rsid w:val="0040345F"/>
    <w:rsid w:val="00403A35"/>
    <w:rsid w:val="00403F4A"/>
    <w:rsid w:val="00404937"/>
    <w:rsid w:val="00405EC1"/>
    <w:rsid w:val="0040672D"/>
    <w:rsid w:val="00406B55"/>
    <w:rsid w:val="004070E3"/>
    <w:rsid w:val="00407AA7"/>
    <w:rsid w:val="00410FDA"/>
    <w:rsid w:val="0041168C"/>
    <w:rsid w:val="00411959"/>
    <w:rsid w:val="0041280A"/>
    <w:rsid w:val="00412C49"/>
    <w:rsid w:val="0041319C"/>
    <w:rsid w:val="00413B8F"/>
    <w:rsid w:val="0041450E"/>
    <w:rsid w:val="00414EC3"/>
    <w:rsid w:val="00415002"/>
    <w:rsid w:val="004151AB"/>
    <w:rsid w:val="004161A7"/>
    <w:rsid w:val="004161B2"/>
    <w:rsid w:val="0041731C"/>
    <w:rsid w:val="004177F4"/>
    <w:rsid w:val="00417852"/>
    <w:rsid w:val="00420D57"/>
    <w:rsid w:val="004214AB"/>
    <w:rsid w:val="00421670"/>
    <w:rsid w:val="00421937"/>
    <w:rsid w:val="0042223F"/>
    <w:rsid w:val="00422B11"/>
    <w:rsid w:val="00422B66"/>
    <w:rsid w:val="00423339"/>
    <w:rsid w:val="0042335C"/>
    <w:rsid w:val="00423AAC"/>
    <w:rsid w:val="00423C40"/>
    <w:rsid w:val="00423F14"/>
    <w:rsid w:val="00424868"/>
    <w:rsid w:val="00424D59"/>
    <w:rsid w:val="00424E83"/>
    <w:rsid w:val="00425A27"/>
    <w:rsid w:val="004260C0"/>
    <w:rsid w:val="00426D78"/>
    <w:rsid w:val="00426EE6"/>
    <w:rsid w:val="0042706A"/>
    <w:rsid w:val="0042753B"/>
    <w:rsid w:val="00427AFF"/>
    <w:rsid w:val="00427D22"/>
    <w:rsid w:val="0043023A"/>
    <w:rsid w:val="00430DD1"/>
    <w:rsid w:val="00431447"/>
    <w:rsid w:val="00431591"/>
    <w:rsid w:val="00431640"/>
    <w:rsid w:val="004318DC"/>
    <w:rsid w:val="00432384"/>
    <w:rsid w:val="00432411"/>
    <w:rsid w:val="0043264D"/>
    <w:rsid w:val="00433075"/>
    <w:rsid w:val="00433A36"/>
    <w:rsid w:val="00433E69"/>
    <w:rsid w:val="0043421A"/>
    <w:rsid w:val="004346DF"/>
    <w:rsid w:val="00434B85"/>
    <w:rsid w:val="00434C6E"/>
    <w:rsid w:val="00434CEB"/>
    <w:rsid w:val="00434ED9"/>
    <w:rsid w:val="0043518F"/>
    <w:rsid w:val="004359DF"/>
    <w:rsid w:val="004368E7"/>
    <w:rsid w:val="00436C91"/>
    <w:rsid w:val="0043761C"/>
    <w:rsid w:val="00437B9D"/>
    <w:rsid w:val="00440176"/>
    <w:rsid w:val="00440F1C"/>
    <w:rsid w:val="004415BE"/>
    <w:rsid w:val="00441D9B"/>
    <w:rsid w:val="004429E1"/>
    <w:rsid w:val="0044320D"/>
    <w:rsid w:val="0044381D"/>
    <w:rsid w:val="00443A24"/>
    <w:rsid w:val="00443CAE"/>
    <w:rsid w:val="0044459C"/>
    <w:rsid w:val="00444B4F"/>
    <w:rsid w:val="0044526E"/>
    <w:rsid w:val="00445B98"/>
    <w:rsid w:val="00446121"/>
    <w:rsid w:val="00446239"/>
    <w:rsid w:val="004501C1"/>
    <w:rsid w:val="004502D0"/>
    <w:rsid w:val="004502D4"/>
    <w:rsid w:val="00450947"/>
    <w:rsid w:val="00451BDF"/>
    <w:rsid w:val="00451D3A"/>
    <w:rsid w:val="00451EA3"/>
    <w:rsid w:val="0045207E"/>
    <w:rsid w:val="004520BB"/>
    <w:rsid w:val="004526BD"/>
    <w:rsid w:val="00452951"/>
    <w:rsid w:val="004540B0"/>
    <w:rsid w:val="004545B2"/>
    <w:rsid w:val="0045487D"/>
    <w:rsid w:val="004548D2"/>
    <w:rsid w:val="00454BEC"/>
    <w:rsid w:val="00454EE2"/>
    <w:rsid w:val="0045563D"/>
    <w:rsid w:val="00456120"/>
    <w:rsid w:val="00456430"/>
    <w:rsid w:val="004567AB"/>
    <w:rsid w:val="004567BA"/>
    <w:rsid w:val="004569D8"/>
    <w:rsid w:val="00456B87"/>
    <w:rsid w:val="004570C3"/>
    <w:rsid w:val="00457391"/>
    <w:rsid w:val="00457745"/>
    <w:rsid w:val="004579A0"/>
    <w:rsid w:val="00457B84"/>
    <w:rsid w:val="004601AA"/>
    <w:rsid w:val="0046097E"/>
    <w:rsid w:val="00461299"/>
    <w:rsid w:val="004619B2"/>
    <w:rsid w:val="004624F8"/>
    <w:rsid w:val="00462D5B"/>
    <w:rsid w:val="004630A5"/>
    <w:rsid w:val="0046313D"/>
    <w:rsid w:val="00463610"/>
    <w:rsid w:val="00463EE3"/>
    <w:rsid w:val="00464098"/>
    <w:rsid w:val="004642E2"/>
    <w:rsid w:val="00464740"/>
    <w:rsid w:val="00464DAF"/>
    <w:rsid w:val="00464FD2"/>
    <w:rsid w:val="004650FD"/>
    <w:rsid w:val="00465796"/>
    <w:rsid w:val="00465E43"/>
    <w:rsid w:val="00465FA0"/>
    <w:rsid w:val="004661B6"/>
    <w:rsid w:val="0046656E"/>
    <w:rsid w:val="004669A8"/>
    <w:rsid w:val="00466BC3"/>
    <w:rsid w:val="004676C2"/>
    <w:rsid w:val="004715B1"/>
    <w:rsid w:val="00471760"/>
    <w:rsid w:val="00472041"/>
    <w:rsid w:val="00472B8A"/>
    <w:rsid w:val="00472CAD"/>
    <w:rsid w:val="00473647"/>
    <w:rsid w:val="00473753"/>
    <w:rsid w:val="00473FB3"/>
    <w:rsid w:val="0047475B"/>
    <w:rsid w:val="00474768"/>
    <w:rsid w:val="00474A32"/>
    <w:rsid w:val="00475C73"/>
    <w:rsid w:val="00477FC1"/>
    <w:rsid w:val="0048027E"/>
    <w:rsid w:val="00480394"/>
    <w:rsid w:val="00480471"/>
    <w:rsid w:val="0048057B"/>
    <w:rsid w:val="004808DC"/>
    <w:rsid w:val="00480A1A"/>
    <w:rsid w:val="00481E8B"/>
    <w:rsid w:val="00482D3B"/>
    <w:rsid w:val="00483387"/>
    <w:rsid w:val="004833D3"/>
    <w:rsid w:val="00483B5E"/>
    <w:rsid w:val="00483F94"/>
    <w:rsid w:val="0048498D"/>
    <w:rsid w:val="00484FA5"/>
    <w:rsid w:val="004850B7"/>
    <w:rsid w:val="00485CBF"/>
    <w:rsid w:val="0048603A"/>
    <w:rsid w:val="00486184"/>
    <w:rsid w:val="00486453"/>
    <w:rsid w:val="00486624"/>
    <w:rsid w:val="0048725D"/>
    <w:rsid w:val="004879D0"/>
    <w:rsid w:val="00487F96"/>
    <w:rsid w:val="004906F0"/>
    <w:rsid w:val="00490F12"/>
    <w:rsid w:val="0049103B"/>
    <w:rsid w:val="00491119"/>
    <w:rsid w:val="0049136C"/>
    <w:rsid w:val="004916A3"/>
    <w:rsid w:val="00491924"/>
    <w:rsid w:val="00491EC4"/>
    <w:rsid w:val="00492809"/>
    <w:rsid w:val="00493022"/>
    <w:rsid w:val="004930A9"/>
    <w:rsid w:val="004937D7"/>
    <w:rsid w:val="0049412D"/>
    <w:rsid w:val="004948DA"/>
    <w:rsid w:val="00494F1F"/>
    <w:rsid w:val="0049514F"/>
    <w:rsid w:val="00496135"/>
    <w:rsid w:val="0049616B"/>
    <w:rsid w:val="0049748A"/>
    <w:rsid w:val="004977CC"/>
    <w:rsid w:val="00497904"/>
    <w:rsid w:val="0049799B"/>
    <w:rsid w:val="00497D43"/>
    <w:rsid w:val="00497E15"/>
    <w:rsid w:val="004A0285"/>
    <w:rsid w:val="004A0FA5"/>
    <w:rsid w:val="004A14E0"/>
    <w:rsid w:val="004A14EE"/>
    <w:rsid w:val="004A163A"/>
    <w:rsid w:val="004A1CDC"/>
    <w:rsid w:val="004A1DBE"/>
    <w:rsid w:val="004A1FD3"/>
    <w:rsid w:val="004A24C0"/>
    <w:rsid w:val="004A2633"/>
    <w:rsid w:val="004A2753"/>
    <w:rsid w:val="004A2ADD"/>
    <w:rsid w:val="004A2D46"/>
    <w:rsid w:val="004A37D2"/>
    <w:rsid w:val="004A398D"/>
    <w:rsid w:val="004A40F4"/>
    <w:rsid w:val="004A4A7A"/>
    <w:rsid w:val="004A5400"/>
    <w:rsid w:val="004A55B6"/>
    <w:rsid w:val="004A573A"/>
    <w:rsid w:val="004A5CBE"/>
    <w:rsid w:val="004A5DB6"/>
    <w:rsid w:val="004A61BB"/>
    <w:rsid w:val="004A6281"/>
    <w:rsid w:val="004A6297"/>
    <w:rsid w:val="004A69B0"/>
    <w:rsid w:val="004A7011"/>
    <w:rsid w:val="004A7AAE"/>
    <w:rsid w:val="004A7EC6"/>
    <w:rsid w:val="004A7F56"/>
    <w:rsid w:val="004B0276"/>
    <w:rsid w:val="004B10FF"/>
    <w:rsid w:val="004B15F0"/>
    <w:rsid w:val="004B1BC9"/>
    <w:rsid w:val="004B1D03"/>
    <w:rsid w:val="004B1D41"/>
    <w:rsid w:val="004B2C59"/>
    <w:rsid w:val="004B36B6"/>
    <w:rsid w:val="004B36CA"/>
    <w:rsid w:val="004B4AEB"/>
    <w:rsid w:val="004B56A9"/>
    <w:rsid w:val="004B579B"/>
    <w:rsid w:val="004B5EFD"/>
    <w:rsid w:val="004B647A"/>
    <w:rsid w:val="004B6869"/>
    <w:rsid w:val="004B6EB7"/>
    <w:rsid w:val="004B744B"/>
    <w:rsid w:val="004B7E0C"/>
    <w:rsid w:val="004C08C3"/>
    <w:rsid w:val="004C0E12"/>
    <w:rsid w:val="004C2193"/>
    <w:rsid w:val="004C25F6"/>
    <w:rsid w:val="004C33F2"/>
    <w:rsid w:val="004C37AF"/>
    <w:rsid w:val="004C39FE"/>
    <w:rsid w:val="004C48A8"/>
    <w:rsid w:val="004C4FE0"/>
    <w:rsid w:val="004C522F"/>
    <w:rsid w:val="004C5C1A"/>
    <w:rsid w:val="004C5E44"/>
    <w:rsid w:val="004C5E57"/>
    <w:rsid w:val="004C6A0F"/>
    <w:rsid w:val="004C6FF3"/>
    <w:rsid w:val="004C75CC"/>
    <w:rsid w:val="004C76EC"/>
    <w:rsid w:val="004C779C"/>
    <w:rsid w:val="004C7C3C"/>
    <w:rsid w:val="004C7E32"/>
    <w:rsid w:val="004D0D27"/>
    <w:rsid w:val="004D11A8"/>
    <w:rsid w:val="004D1230"/>
    <w:rsid w:val="004D1D94"/>
    <w:rsid w:val="004D1FA0"/>
    <w:rsid w:val="004D28B6"/>
    <w:rsid w:val="004D2AA9"/>
    <w:rsid w:val="004D2E48"/>
    <w:rsid w:val="004D34C9"/>
    <w:rsid w:val="004D37E2"/>
    <w:rsid w:val="004D3C85"/>
    <w:rsid w:val="004D422D"/>
    <w:rsid w:val="004D4357"/>
    <w:rsid w:val="004D5C43"/>
    <w:rsid w:val="004D5EF2"/>
    <w:rsid w:val="004D6BF0"/>
    <w:rsid w:val="004D76B6"/>
    <w:rsid w:val="004D77A3"/>
    <w:rsid w:val="004D79FA"/>
    <w:rsid w:val="004E2E98"/>
    <w:rsid w:val="004E2F65"/>
    <w:rsid w:val="004E38C5"/>
    <w:rsid w:val="004E3BDA"/>
    <w:rsid w:val="004E49DB"/>
    <w:rsid w:val="004E4CEE"/>
    <w:rsid w:val="004E59F3"/>
    <w:rsid w:val="004E6539"/>
    <w:rsid w:val="004E6BB4"/>
    <w:rsid w:val="004E763D"/>
    <w:rsid w:val="004E7854"/>
    <w:rsid w:val="004E7E1C"/>
    <w:rsid w:val="004F017B"/>
    <w:rsid w:val="004F0667"/>
    <w:rsid w:val="004F146C"/>
    <w:rsid w:val="004F1526"/>
    <w:rsid w:val="004F1717"/>
    <w:rsid w:val="004F1C51"/>
    <w:rsid w:val="004F1C83"/>
    <w:rsid w:val="004F245E"/>
    <w:rsid w:val="004F2E1E"/>
    <w:rsid w:val="004F3386"/>
    <w:rsid w:val="004F3B83"/>
    <w:rsid w:val="004F4146"/>
    <w:rsid w:val="004F4587"/>
    <w:rsid w:val="004F46AA"/>
    <w:rsid w:val="004F4ABF"/>
    <w:rsid w:val="004F4C48"/>
    <w:rsid w:val="004F505D"/>
    <w:rsid w:val="004F5BA6"/>
    <w:rsid w:val="004F5D0E"/>
    <w:rsid w:val="004F6E3D"/>
    <w:rsid w:val="004F72E0"/>
    <w:rsid w:val="004F7647"/>
    <w:rsid w:val="004F7A55"/>
    <w:rsid w:val="004F7AD3"/>
    <w:rsid w:val="005002C4"/>
    <w:rsid w:val="00500310"/>
    <w:rsid w:val="0050091D"/>
    <w:rsid w:val="0050102A"/>
    <w:rsid w:val="005023D4"/>
    <w:rsid w:val="00502464"/>
    <w:rsid w:val="005025F2"/>
    <w:rsid w:val="00502858"/>
    <w:rsid w:val="0050289E"/>
    <w:rsid w:val="00503ACE"/>
    <w:rsid w:val="00503D89"/>
    <w:rsid w:val="00503DE2"/>
    <w:rsid w:val="00503EA1"/>
    <w:rsid w:val="005043FF"/>
    <w:rsid w:val="00504442"/>
    <w:rsid w:val="00505155"/>
    <w:rsid w:val="00505929"/>
    <w:rsid w:val="00505A33"/>
    <w:rsid w:val="00505AF4"/>
    <w:rsid w:val="005060ED"/>
    <w:rsid w:val="005061D2"/>
    <w:rsid w:val="00506424"/>
    <w:rsid w:val="00506A0A"/>
    <w:rsid w:val="00506D27"/>
    <w:rsid w:val="00506E67"/>
    <w:rsid w:val="00506F95"/>
    <w:rsid w:val="005071FD"/>
    <w:rsid w:val="00507272"/>
    <w:rsid w:val="00507509"/>
    <w:rsid w:val="00507796"/>
    <w:rsid w:val="005102A0"/>
    <w:rsid w:val="00510472"/>
    <w:rsid w:val="0051056B"/>
    <w:rsid w:val="00510C67"/>
    <w:rsid w:val="00511917"/>
    <w:rsid w:val="00511FA8"/>
    <w:rsid w:val="00512567"/>
    <w:rsid w:val="005128C7"/>
    <w:rsid w:val="00512CE5"/>
    <w:rsid w:val="00512EBD"/>
    <w:rsid w:val="005132D1"/>
    <w:rsid w:val="00513303"/>
    <w:rsid w:val="00513842"/>
    <w:rsid w:val="00513BFA"/>
    <w:rsid w:val="00514015"/>
    <w:rsid w:val="005141FE"/>
    <w:rsid w:val="005145C3"/>
    <w:rsid w:val="00515138"/>
    <w:rsid w:val="005151AB"/>
    <w:rsid w:val="00515579"/>
    <w:rsid w:val="00515729"/>
    <w:rsid w:val="0051607A"/>
    <w:rsid w:val="005162BE"/>
    <w:rsid w:val="00516B8C"/>
    <w:rsid w:val="00516F30"/>
    <w:rsid w:val="00517356"/>
    <w:rsid w:val="00517444"/>
    <w:rsid w:val="00517CFC"/>
    <w:rsid w:val="00517DED"/>
    <w:rsid w:val="00517E6B"/>
    <w:rsid w:val="00517EE3"/>
    <w:rsid w:val="0052059E"/>
    <w:rsid w:val="00520CEC"/>
    <w:rsid w:val="00521E94"/>
    <w:rsid w:val="00522BC0"/>
    <w:rsid w:val="0052363A"/>
    <w:rsid w:val="00523768"/>
    <w:rsid w:val="00523F6D"/>
    <w:rsid w:val="00523FC6"/>
    <w:rsid w:val="005244D0"/>
    <w:rsid w:val="00524A38"/>
    <w:rsid w:val="00525061"/>
    <w:rsid w:val="0052567C"/>
    <w:rsid w:val="00525D03"/>
    <w:rsid w:val="00526012"/>
    <w:rsid w:val="00526103"/>
    <w:rsid w:val="00526F87"/>
    <w:rsid w:val="00527BE1"/>
    <w:rsid w:val="005306CB"/>
    <w:rsid w:val="00531480"/>
    <w:rsid w:val="00531567"/>
    <w:rsid w:val="005317ED"/>
    <w:rsid w:val="00531827"/>
    <w:rsid w:val="0053196C"/>
    <w:rsid w:val="00531CFA"/>
    <w:rsid w:val="00531E1C"/>
    <w:rsid w:val="005323D6"/>
    <w:rsid w:val="0053257B"/>
    <w:rsid w:val="00532805"/>
    <w:rsid w:val="00532D80"/>
    <w:rsid w:val="00532DC4"/>
    <w:rsid w:val="00533175"/>
    <w:rsid w:val="00533929"/>
    <w:rsid w:val="00533B34"/>
    <w:rsid w:val="00533BA0"/>
    <w:rsid w:val="00533BE4"/>
    <w:rsid w:val="0053401D"/>
    <w:rsid w:val="00534317"/>
    <w:rsid w:val="0053484E"/>
    <w:rsid w:val="00534E60"/>
    <w:rsid w:val="00535C00"/>
    <w:rsid w:val="00536819"/>
    <w:rsid w:val="005369CC"/>
    <w:rsid w:val="00536DAA"/>
    <w:rsid w:val="00536E5A"/>
    <w:rsid w:val="0053700C"/>
    <w:rsid w:val="00537BB1"/>
    <w:rsid w:val="00540331"/>
    <w:rsid w:val="00540700"/>
    <w:rsid w:val="00541020"/>
    <w:rsid w:val="005410F9"/>
    <w:rsid w:val="00541389"/>
    <w:rsid w:val="005418ED"/>
    <w:rsid w:val="005420E8"/>
    <w:rsid w:val="0054268C"/>
    <w:rsid w:val="005426E7"/>
    <w:rsid w:val="00543ACA"/>
    <w:rsid w:val="00543D05"/>
    <w:rsid w:val="00543D25"/>
    <w:rsid w:val="00543EEB"/>
    <w:rsid w:val="00544215"/>
    <w:rsid w:val="00544314"/>
    <w:rsid w:val="005444A8"/>
    <w:rsid w:val="005453DE"/>
    <w:rsid w:val="00545A13"/>
    <w:rsid w:val="00545B47"/>
    <w:rsid w:val="00545C37"/>
    <w:rsid w:val="005461FF"/>
    <w:rsid w:val="005465E2"/>
    <w:rsid w:val="00546B06"/>
    <w:rsid w:val="00546F47"/>
    <w:rsid w:val="00547220"/>
    <w:rsid w:val="00547ACE"/>
    <w:rsid w:val="00550A26"/>
    <w:rsid w:val="0055115C"/>
    <w:rsid w:val="0055149E"/>
    <w:rsid w:val="00551879"/>
    <w:rsid w:val="00551B45"/>
    <w:rsid w:val="00552EDD"/>
    <w:rsid w:val="00552F1D"/>
    <w:rsid w:val="00553299"/>
    <w:rsid w:val="00553C81"/>
    <w:rsid w:val="005547E6"/>
    <w:rsid w:val="00554E07"/>
    <w:rsid w:val="00555598"/>
    <w:rsid w:val="00555B67"/>
    <w:rsid w:val="00556308"/>
    <w:rsid w:val="005566F6"/>
    <w:rsid w:val="0055770B"/>
    <w:rsid w:val="00557DC8"/>
    <w:rsid w:val="00557DEC"/>
    <w:rsid w:val="00562057"/>
    <w:rsid w:val="00562510"/>
    <w:rsid w:val="0056290E"/>
    <w:rsid w:val="00562985"/>
    <w:rsid w:val="00562E32"/>
    <w:rsid w:val="005634BD"/>
    <w:rsid w:val="005634E7"/>
    <w:rsid w:val="005641D1"/>
    <w:rsid w:val="00564584"/>
    <w:rsid w:val="005648F7"/>
    <w:rsid w:val="00564CDB"/>
    <w:rsid w:val="00565560"/>
    <w:rsid w:val="00565B6A"/>
    <w:rsid w:val="00565D9E"/>
    <w:rsid w:val="00566AC5"/>
    <w:rsid w:val="00566BC6"/>
    <w:rsid w:val="00566C5A"/>
    <w:rsid w:val="00567078"/>
    <w:rsid w:val="0056731A"/>
    <w:rsid w:val="005673BD"/>
    <w:rsid w:val="00567456"/>
    <w:rsid w:val="00567690"/>
    <w:rsid w:val="00567E05"/>
    <w:rsid w:val="0057021F"/>
    <w:rsid w:val="00570451"/>
    <w:rsid w:val="00570B49"/>
    <w:rsid w:val="00570D84"/>
    <w:rsid w:val="00570F19"/>
    <w:rsid w:val="00573116"/>
    <w:rsid w:val="00573562"/>
    <w:rsid w:val="0057386D"/>
    <w:rsid w:val="005749BE"/>
    <w:rsid w:val="00574FB1"/>
    <w:rsid w:val="00574FF7"/>
    <w:rsid w:val="00575B29"/>
    <w:rsid w:val="005761CA"/>
    <w:rsid w:val="00576A5A"/>
    <w:rsid w:val="00577345"/>
    <w:rsid w:val="005773C5"/>
    <w:rsid w:val="0057755B"/>
    <w:rsid w:val="00577D89"/>
    <w:rsid w:val="0058064B"/>
    <w:rsid w:val="005809EA"/>
    <w:rsid w:val="00580A94"/>
    <w:rsid w:val="00580F76"/>
    <w:rsid w:val="005811DF"/>
    <w:rsid w:val="005816D4"/>
    <w:rsid w:val="00581B78"/>
    <w:rsid w:val="00581DC2"/>
    <w:rsid w:val="005822F1"/>
    <w:rsid w:val="00582954"/>
    <w:rsid w:val="00582BBA"/>
    <w:rsid w:val="0058309E"/>
    <w:rsid w:val="00583747"/>
    <w:rsid w:val="00583B3F"/>
    <w:rsid w:val="00583B46"/>
    <w:rsid w:val="0058595F"/>
    <w:rsid w:val="00585B5A"/>
    <w:rsid w:val="00585C6C"/>
    <w:rsid w:val="00585C95"/>
    <w:rsid w:val="00585EC9"/>
    <w:rsid w:val="005865DC"/>
    <w:rsid w:val="005867FF"/>
    <w:rsid w:val="00586AF3"/>
    <w:rsid w:val="005873AD"/>
    <w:rsid w:val="005877DF"/>
    <w:rsid w:val="005877F2"/>
    <w:rsid w:val="00587E65"/>
    <w:rsid w:val="00587F59"/>
    <w:rsid w:val="00590191"/>
    <w:rsid w:val="0059042C"/>
    <w:rsid w:val="00590A15"/>
    <w:rsid w:val="00590FC7"/>
    <w:rsid w:val="0059211B"/>
    <w:rsid w:val="00592284"/>
    <w:rsid w:val="0059298F"/>
    <w:rsid w:val="00592B40"/>
    <w:rsid w:val="00592F40"/>
    <w:rsid w:val="00592FA5"/>
    <w:rsid w:val="0059314D"/>
    <w:rsid w:val="00593B6A"/>
    <w:rsid w:val="00593F8F"/>
    <w:rsid w:val="00594494"/>
    <w:rsid w:val="0059566E"/>
    <w:rsid w:val="00596294"/>
    <w:rsid w:val="00596E80"/>
    <w:rsid w:val="005971D3"/>
    <w:rsid w:val="005973F9"/>
    <w:rsid w:val="00597425"/>
    <w:rsid w:val="00597D9F"/>
    <w:rsid w:val="005A07A4"/>
    <w:rsid w:val="005A08C0"/>
    <w:rsid w:val="005A0A55"/>
    <w:rsid w:val="005A0EE7"/>
    <w:rsid w:val="005A1089"/>
    <w:rsid w:val="005A157C"/>
    <w:rsid w:val="005A1B12"/>
    <w:rsid w:val="005A2D4B"/>
    <w:rsid w:val="005A3B99"/>
    <w:rsid w:val="005A40FF"/>
    <w:rsid w:val="005A490C"/>
    <w:rsid w:val="005A4959"/>
    <w:rsid w:val="005A4B83"/>
    <w:rsid w:val="005A4DA2"/>
    <w:rsid w:val="005A4F44"/>
    <w:rsid w:val="005A5800"/>
    <w:rsid w:val="005A694F"/>
    <w:rsid w:val="005A7633"/>
    <w:rsid w:val="005A7A74"/>
    <w:rsid w:val="005A7E66"/>
    <w:rsid w:val="005B0979"/>
    <w:rsid w:val="005B0D18"/>
    <w:rsid w:val="005B0F4B"/>
    <w:rsid w:val="005B12C2"/>
    <w:rsid w:val="005B1792"/>
    <w:rsid w:val="005B1930"/>
    <w:rsid w:val="005B1E86"/>
    <w:rsid w:val="005B1F5B"/>
    <w:rsid w:val="005B2017"/>
    <w:rsid w:val="005B2162"/>
    <w:rsid w:val="005B2306"/>
    <w:rsid w:val="005B23DC"/>
    <w:rsid w:val="005B286D"/>
    <w:rsid w:val="005B2EE2"/>
    <w:rsid w:val="005B2F8D"/>
    <w:rsid w:val="005B3E5B"/>
    <w:rsid w:val="005B498B"/>
    <w:rsid w:val="005B4A04"/>
    <w:rsid w:val="005B4D25"/>
    <w:rsid w:val="005B5148"/>
    <w:rsid w:val="005B56A8"/>
    <w:rsid w:val="005B5C81"/>
    <w:rsid w:val="005B63B8"/>
    <w:rsid w:val="005B6606"/>
    <w:rsid w:val="005B7639"/>
    <w:rsid w:val="005C00E8"/>
    <w:rsid w:val="005C01DD"/>
    <w:rsid w:val="005C02F3"/>
    <w:rsid w:val="005C081A"/>
    <w:rsid w:val="005C113A"/>
    <w:rsid w:val="005C1562"/>
    <w:rsid w:val="005C15FF"/>
    <w:rsid w:val="005C160C"/>
    <w:rsid w:val="005C1B01"/>
    <w:rsid w:val="005C23BF"/>
    <w:rsid w:val="005C23F9"/>
    <w:rsid w:val="005C29A2"/>
    <w:rsid w:val="005C2F66"/>
    <w:rsid w:val="005C329C"/>
    <w:rsid w:val="005C3A67"/>
    <w:rsid w:val="005C3F3E"/>
    <w:rsid w:val="005C43F5"/>
    <w:rsid w:val="005C5BFD"/>
    <w:rsid w:val="005C5DC0"/>
    <w:rsid w:val="005C6008"/>
    <w:rsid w:val="005C6351"/>
    <w:rsid w:val="005C67F2"/>
    <w:rsid w:val="005C70DC"/>
    <w:rsid w:val="005D099C"/>
    <w:rsid w:val="005D0F8C"/>
    <w:rsid w:val="005D1D67"/>
    <w:rsid w:val="005D1FC9"/>
    <w:rsid w:val="005D2122"/>
    <w:rsid w:val="005D2251"/>
    <w:rsid w:val="005D27FB"/>
    <w:rsid w:val="005D2908"/>
    <w:rsid w:val="005D32D1"/>
    <w:rsid w:val="005D36FF"/>
    <w:rsid w:val="005D3802"/>
    <w:rsid w:val="005D3922"/>
    <w:rsid w:val="005D3B3F"/>
    <w:rsid w:val="005D40EE"/>
    <w:rsid w:val="005D43FA"/>
    <w:rsid w:val="005D456C"/>
    <w:rsid w:val="005D4776"/>
    <w:rsid w:val="005D523D"/>
    <w:rsid w:val="005D535E"/>
    <w:rsid w:val="005D538C"/>
    <w:rsid w:val="005D599B"/>
    <w:rsid w:val="005D747E"/>
    <w:rsid w:val="005D7769"/>
    <w:rsid w:val="005D7880"/>
    <w:rsid w:val="005E0553"/>
    <w:rsid w:val="005E05BA"/>
    <w:rsid w:val="005E0AC1"/>
    <w:rsid w:val="005E11B8"/>
    <w:rsid w:val="005E1757"/>
    <w:rsid w:val="005E2378"/>
    <w:rsid w:val="005E242C"/>
    <w:rsid w:val="005E2CB1"/>
    <w:rsid w:val="005E2FBB"/>
    <w:rsid w:val="005E30D1"/>
    <w:rsid w:val="005E3660"/>
    <w:rsid w:val="005E3AA2"/>
    <w:rsid w:val="005E44C9"/>
    <w:rsid w:val="005E45C3"/>
    <w:rsid w:val="005E46CA"/>
    <w:rsid w:val="005E530C"/>
    <w:rsid w:val="005E58B1"/>
    <w:rsid w:val="005E5B2F"/>
    <w:rsid w:val="005E5B36"/>
    <w:rsid w:val="005E5FCD"/>
    <w:rsid w:val="005E6772"/>
    <w:rsid w:val="005E6CC4"/>
    <w:rsid w:val="005E71BA"/>
    <w:rsid w:val="005E7349"/>
    <w:rsid w:val="005F003C"/>
    <w:rsid w:val="005F00AD"/>
    <w:rsid w:val="005F0750"/>
    <w:rsid w:val="005F0B23"/>
    <w:rsid w:val="005F1633"/>
    <w:rsid w:val="005F292E"/>
    <w:rsid w:val="005F2DC4"/>
    <w:rsid w:val="005F333C"/>
    <w:rsid w:val="005F3B7F"/>
    <w:rsid w:val="005F3DD1"/>
    <w:rsid w:val="005F41F7"/>
    <w:rsid w:val="005F4DDF"/>
    <w:rsid w:val="005F64CA"/>
    <w:rsid w:val="005F69EF"/>
    <w:rsid w:val="005F6C67"/>
    <w:rsid w:val="005F75A9"/>
    <w:rsid w:val="005F7A86"/>
    <w:rsid w:val="006003EA"/>
    <w:rsid w:val="0060053C"/>
    <w:rsid w:val="00600583"/>
    <w:rsid w:val="006006AC"/>
    <w:rsid w:val="00601026"/>
    <w:rsid w:val="00602119"/>
    <w:rsid w:val="006021DB"/>
    <w:rsid w:val="00602746"/>
    <w:rsid w:val="00602B2F"/>
    <w:rsid w:val="00602ECA"/>
    <w:rsid w:val="0060309D"/>
    <w:rsid w:val="00603634"/>
    <w:rsid w:val="0060421B"/>
    <w:rsid w:val="00604859"/>
    <w:rsid w:val="00604870"/>
    <w:rsid w:val="0060525A"/>
    <w:rsid w:val="00605F81"/>
    <w:rsid w:val="0060636E"/>
    <w:rsid w:val="0060638F"/>
    <w:rsid w:val="00606443"/>
    <w:rsid w:val="00606577"/>
    <w:rsid w:val="00606599"/>
    <w:rsid w:val="00606C37"/>
    <w:rsid w:val="00607B1C"/>
    <w:rsid w:val="006101D6"/>
    <w:rsid w:val="00610DE0"/>
    <w:rsid w:val="00610F8E"/>
    <w:rsid w:val="00611820"/>
    <w:rsid w:val="00611BA2"/>
    <w:rsid w:val="00611D50"/>
    <w:rsid w:val="006127AE"/>
    <w:rsid w:val="006135A0"/>
    <w:rsid w:val="00614098"/>
    <w:rsid w:val="00614303"/>
    <w:rsid w:val="00614396"/>
    <w:rsid w:val="006144FF"/>
    <w:rsid w:val="0061487B"/>
    <w:rsid w:val="00614A2D"/>
    <w:rsid w:val="0061539A"/>
    <w:rsid w:val="006159DE"/>
    <w:rsid w:val="00615ADB"/>
    <w:rsid w:val="006162D9"/>
    <w:rsid w:val="00616CC7"/>
    <w:rsid w:val="00616E25"/>
    <w:rsid w:val="00616E47"/>
    <w:rsid w:val="0062084C"/>
    <w:rsid w:val="0062088C"/>
    <w:rsid w:val="00620EBB"/>
    <w:rsid w:val="00621561"/>
    <w:rsid w:val="006217DF"/>
    <w:rsid w:val="00622FF3"/>
    <w:rsid w:val="00623533"/>
    <w:rsid w:val="006238BF"/>
    <w:rsid w:val="00623D66"/>
    <w:rsid w:val="006246F4"/>
    <w:rsid w:val="006250AC"/>
    <w:rsid w:val="0062695F"/>
    <w:rsid w:val="00626FE0"/>
    <w:rsid w:val="0062716F"/>
    <w:rsid w:val="0062794F"/>
    <w:rsid w:val="00627984"/>
    <w:rsid w:val="00630D05"/>
    <w:rsid w:val="00630EF1"/>
    <w:rsid w:val="0063107B"/>
    <w:rsid w:val="006316DA"/>
    <w:rsid w:val="00631B97"/>
    <w:rsid w:val="00631D04"/>
    <w:rsid w:val="00632081"/>
    <w:rsid w:val="00632B0E"/>
    <w:rsid w:val="00632C99"/>
    <w:rsid w:val="006341D7"/>
    <w:rsid w:val="0063457F"/>
    <w:rsid w:val="00634FDB"/>
    <w:rsid w:val="006351A6"/>
    <w:rsid w:val="0063595B"/>
    <w:rsid w:val="00635A4E"/>
    <w:rsid w:val="0063617F"/>
    <w:rsid w:val="00636332"/>
    <w:rsid w:val="0063713C"/>
    <w:rsid w:val="006372F8"/>
    <w:rsid w:val="00637C3E"/>
    <w:rsid w:val="00640463"/>
    <w:rsid w:val="00642367"/>
    <w:rsid w:val="006423E2"/>
    <w:rsid w:val="0064304B"/>
    <w:rsid w:val="00643D00"/>
    <w:rsid w:val="006441A6"/>
    <w:rsid w:val="00645369"/>
    <w:rsid w:val="006456BF"/>
    <w:rsid w:val="00646167"/>
    <w:rsid w:val="0064639B"/>
    <w:rsid w:val="00646ADC"/>
    <w:rsid w:val="00646ED4"/>
    <w:rsid w:val="00646F02"/>
    <w:rsid w:val="006474DE"/>
    <w:rsid w:val="0064763A"/>
    <w:rsid w:val="00647BAC"/>
    <w:rsid w:val="006501D0"/>
    <w:rsid w:val="00651CEA"/>
    <w:rsid w:val="00651F74"/>
    <w:rsid w:val="00652A0F"/>
    <w:rsid w:val="0065347B"/>
    <w:rsid w:val="00653EE1"/>
    <w:rsid w:val="00654182"/>
    <w:rsid w:val="006543C7"/>
    <w:rsid w:val="006546EA"/>
    <w:rsid w:val="006550C0"/>
    <w:rsid w:val="00655419"/>
    <w:rsid w:val="0065584A"/>
    <w:rsid w:val="00655891"/>
    <w:rsid w:val="00655D25"/>
    <w:rsid w:val="00656537"/>
    <w:rsid w:val="00656D63"/>
    <w:rsid w:val="00656DE1"/>
    <w:rsid w:val="00656E11"/>
    <w:rsid w:val="00656E3D"/>
    <w:rsid w:val="00657474"/>
    <w:rsid w:val="00660256"/>
    <w:rsid w:val="00660ED9"/>
    <w:rsid w:val="00661656"/>
    <w:rsid w:val="00661AC4"/>
    <w:rsid w:val="00661DFB"/>
    <w:rsid w:val="00661F6D"/>
    <w:rsid w:val="00663D7D"/>
    <w:rsid w:val="00664374"/>
    <w:rsid w:val="006646A0"/>
    <w:rsid w:val="0066478A"/>
    <w:rsid w:val="0066487D"/>
    <w:rsid w:val="00665313"/>
    <w:rsid w:val="00665742"/>
    <w:rsid w:val="006661E3"/>
    <w:rsid w:val="00666A29"/>
    <w:rsid w:val="00666F96"/>
    <w:rsid w:val="00667378"/>
    <w:rsid w:val="00667435"/>
    <w:rsid w:val="00667DAC"/>
    <w:rsid w:val="00670486"/>
    <w:rsid w:val="00670D10"/>
    <w:rsid w:val="00671A6B"/>
    <w:rsid w:val="00671B62"/>
    <w:rsid w:val="00672049"/>
    <w:rsid w:val="006729AB"/>
    <w:rsid w:val="00672D0A"/>
    <w:rsid w:val="00673513"/>
    <w:rsid w:val="0067472C"/>
    <w:rsid w:val="00674B50"/>
    <w:rsid w:val="00674B8B"/>
    <w:rsid w:val="006759B1"/>
    <w:rsid w:val="006760E0"/>
    <w:rsid w:val="0067643C"/>
    <w:rsid w:val="00676B02"/>
    <w:rsid w:val="00676D1D"/>
    <w:rsid w:val="00677B74"/>
    <w:rsid w:val="00677F8B"/>
    <w:rsid w:val="0068045E"/>
    <w:rsid w:val="0068073A"/>
    <w:rsid w:val="00680B37"/>
    <w:rsid w:val="00680BC0"/>
    <w:rsid w:val="00680DFD"/>
    <w:rsid w:val="00680F83"/>
    <w:rsid w:val="0068153B"/>
    <w:rsid w:val="00681786"/>
    <w:rsid w:val="006826A3"/>
    <w:rsid w:val="00682E8B"/>
    <w:rsid w:val="006835ED"/>
    <w:rsid w:val="006839DA"/>
    <w:rsid w:val="00684610"/>
    <w:rsid w:val="00685463"/>
    <w:rsid w:val="00685506"/>
    <w:rsid w:val="006855E0"/>
    <w:rsid w:val="00685C84"/>
    <w:rsid w:val="0068602F"/>
    <w:rsid w:val="00686AFA"/>
    <w:rsid w:val="00687093"/>
    <w:rsid w:val="0068727D"/>
    <w:rsid w:val="00687F12"/>
    <w:rsid w:val="00690545"/>
    <w:rsid w:val="00690D2F"/>
    <w:rsid w:val="00691B5F"/>
    <w:rsid w:val="006926D7"/>
    <w:rsid w:val="00692E2C"/>
    <w:rsid w:val="0069386A"/>
    <w:rsid w:val="006947F6"/>
    <w:rsid w:val="00694ABF"/>
    <w:rsid w:val="00694D12"/>
    <w:rsid w:val="006954A8"/>
    <w:rsid w:val="006954E6"/>
    <w:rsid w:val="006957C9"/>
    <w:rsid w:val="00695833"/>
    <w:rsid w:val="00695ACC"/>
    <w:rsid w:val="00696469"/>
    <w:rsid w:val="00696D5D"/>
    <w:rsid w:val="00696E18"/>
    <w:rsid w:val="00696E41"/>
    <w:rsid w:val="0069705E"/>
    <w:rsid w:val="00697B21"/>
    <w:rsid w:val="006A0442"/>
    <w:rsid w:val="006A0681"/>
    <w:rsid w:val="006A07CF"/>
    <w:rsid w:val="006A0939"/>
    <w:rsid w:val="006A1F69"/>
    <w:rsid w:val="006A22D1"/>
    <w:rsid w:val="006A2549"/>
    <w:rsid w:val="006A2701"/>
    <w:rsid w:val="006A2B36"/>
    <w:rsid w:val="006A2C15"/>
    <w:rsid w:val="006A2FD5"/>
    <w:rsid w:val="006A3231"/>
    <w:rsid w:val="006A393F"/>
    <w:rsid w:val="006A3997"/>
    <w:rsid w:val="006A4815"/>
    <w:rsid w:val="006A48C0"/>
    <w:rsid w:val="006A4972"/>
    <w:rsid w:val="006A4C92"/>
    <w:rsid w:val="006A5E99"/>
    <w:rsid w:val="006A5F3E"/>
    <w:rsid w:val="006A6BE8"/>
    <w:rsid w:val="006A7127"/>
    <w:rsid w:val="006A7476"/>
    <w:rsid w:val="006B0215"/>
    <w:rsid w:val="006B03B1"/>
    <w:rsid w:val="006B056C"/>
    <w:rsid w:val="006B0745"/>
    <w:rsid w:val="006B075E"/>
    <w:rsid w:val="006B084A"/>
    <w:rsid w:val="006B1536"/>
    <w:rsid w:val="006B1B3A"/>
    <w:rsid w:val="006B1F0B"/>
    <w:rsid w:val="006B2588"/>
    <w:rsid w:val="006B2DDA"/>
    <w:rsid w:val="006B2E47"/>
    <w:rsid w:val="006B454B"/>
    <w:rsid w:val="006B47A7"/>
    <w:rsid w:val="006B47B2"/>
    <w:rsid w:val="006B4954"/>
    <w:rsid w:val="006B4D87"/>
    <w:rsid w:val="006B6117"/>
    <w:rsid w:val="006B6EEB"/>
    <w:rsid w:val="006B7799"/>
    <w:rsid w:val="006B7DC4"/>
    <w:rsid w:val="006B7EEE"/>
    <w:rsid w:val="006C0312"/>
    <w:rsid w:val="006C0E3E"/>
    <w:rsid w:val="006C13DC"/>
    <w:rsid w:val="006C1499"/>
    <w:rsid w:val="006C19AA"/>
    <w:rsid w:val="006C250D"/>
    <w:rsid w:val="006C2DEA"/>
    <w:rsid w:val="006C41B4"/>
    <w:rsid w:val="006C45E5"/>
    <w:rsid w:val="006C4F9F"/>
    <w:rsid w:val="006C512E"/>
    <w:rsid w:val="006C5CB5"/>
    <w:rsid w:val="006C5D71"/>
    <w:rsid w:val="006C5F06"/>
    <w:rsid w:val="006C658F"/>
    <w:rsid w:val="006C6AD3"/>
    <w:rsid w:val="006C70FE"/>
    <w:rsid w:val="006C7662"/>
    <w:rsid w:val="006C769C"/>
    <w:rsid w:val="006D00EE"/>
    <w:rsid w:val="006D039F"/>
    <w:rsid w:val="006D1160"/>
    <w:rsid w:val="006D1803"/>
    <w:rsid w:val="006D1D44"/>
    <w:rsid w:val="006D2436"/>
    <w:rsid w:val="006D2BE7"/>
    <w:rsid w:val="006D323E"/>
    <w:rsid w:val="006D3423"/>
    <w:rsid w:val="006D3E48"/>
    <w:rsid w:val="006D40AA"/>
    <w:rsid w:val="006D42E0"/>
    <w:rsid w:val="006D45B6"/>
    <w:rsid w:val="006D4CA8"/>
    <w:rsid w:val="006D54E1"/>
    <w:rsid w:val="006D5C28"/>
    <w:rsid w:val="006D61EA"/>
    <w:rsid w:val="006D6919"/>
    <w:rsid w:val="006D7172"/>
    <w:rsid w:val="006D7192"/>
    <w:rsid w:val="006D7816"/>
    <w:rsid w:val="006E0481"/>
    <w:rsid w:val="006E04E5"/>
    <w:rsid w:val="006E06C9"/>
    <w:rsid w:val="006E146C"/>
    <w:rsid w:val="006E201A"/>
    <w:rsid w:val="006E2452"/>
    <w:rsid w:val="006E2704"/>
    <w:rsid w:val="006E32ED"/>
    <w:rsid w:val="006E3EE2"/>
    <w:rsid w:val="006E4E11"/>
    <w:rsid w:val="006E52DC"/>
    <w:rsid w:val="006E585D"/>
    <w:rsid w:val="006E594C"/>
    <w:rsid w:val="006E5AE7"/>
    <w:rsid w:val="006E5F5E"/>
    <w:rsid w:val="006E695D"/>
    <w:rsid w:val="006E6A02"/>
    <w:rsid w:val="006E6C52"/>
    <w:rsid w:val="006E6E25"/>
    <w:rsid w:val="006E7D82"/>
    <w:rsid w:val="006F008E"/>
    <w:rsid w:val="006F2CE6"/>
    <w:rsid w:val="006F2E42"/>
    <w:rsid w:val="006F30AA"/>
    <w:rsid w:val="006F31CA"/>
    <w:rsid w:val="006F3EB2"/>
    <w:rsid w:val="006F4119"/>
    <w:rsid w:val="006F5024"/>
    <w:rsid w:val="006F5E22"/>
    <w:rsid w:val="006F61D1"/>
    <w:rsid w:val="006F676F"/>
    <w:rsid w:val="006F691C"/>
    <w:rsid w:val="006F69CC"/>
    <w:rsid w:val="006F6DC3"/>
    <w:rsid w:val="006F7A22"/>
    <w:rsid w:val="00700D84"/>
    <w:rsid w:val="00701802"/>
    <w:rsid w:val="007018C6"/>
    <w:rsid w:val="0070199A"/>
    <w:rsid w:val="00701BCE"/>
    <w:rsid w:val="0070213C"/>
    <w:rsid w:val="00702488"/>
    <w:rsid w:val="00702625"/>
    <w:rsid w:val="00702EDE"/>
    <w:rsid w:val="0070369A"/>
    <w:rsid w:val="00703819"/>
    <w:rsid w:val="00704752"/>
    <w:rsid w:val="007047DB"/>
    <w:rsid w:val="00705329"/>
    <w:rsid w:val="0070572D"/>
    <w:rsid w:val="00705BBA"/>
    <w:rsid w:val="00705D04"/>
    <w:rsid w:val="00705D85"/>
    <w:rsid w:val="00706D0D"/>
    <w:rsid w:val="00706EFC"/>
    <w:rsid w:val="00707DCB"/>
    <w:rsid w:val="00707ED8"/>
    <w:rsid w:val="007103E5"/>
    <w:rsid w:val="00710589"/>
    <w:rsid w:val="007108B9"/>
    <w:rsid w:val="00710BC5"/>
    <w:rsid w:val="00710C38"/>
    <w:rsid w:val="00710C63"/>
    <w:rsid w:val="00711AEB"/>
    <w:rsid w:val="00711F49"/>
    <w:rsid w:val="00712021"/>
    <w:rsid w:val="00712B79"/>
    <w:rsid w:val="00712CF2"/>
    <w:rsid w:val="00712FF6"/>
    <w:rsid w:val="0071316A"/>
    <w:rsid w:val="0071435B"/>
    <w:rsid w:val="0071472B"/>
    <w:rsid w:val="00714A92"/>
    <w:rsid w:val="00714E88"/>
    <w:rsid w:val="00715013"/>
    <w:rsid w:val="00715351"/>
    <w:rsid w:val="007156C0"/>
    <w:rsid w:val="00715AFD"/>
    <w:rsid w:val="00715F67"/>
    <w:rsid w:val="0071689D"/>
    <w:rsid w:val="00716E40"/>
    <w:rsid w:val="00716E5A"/>
    <w:rsid w:val="00716F16"/>
    <w:rsid w:val="007171EF"/>
    <w:rsid w:val="007173C2"/>
    <w:rsid w:val="00717469"/>
    <w:rsid w:val="00717582"/>
    <w:rsid w:val="007206AD"/>
    <w:rsid w:val="0072077C"/>
    <w:rsid w:val="00720A9A"/>
    <w:rsid w:val="007211F3"/>
    <w:rsid w:val="007212C7"/>
    <w:rsid w:val="00722257"/>
    <w:rsid w:val="00722B09"/>
    <w:rsid w:val="007231C8"/>
    <w:rsid w:val="007237D4"/>
    <w:rsid w:val="0072390B"/>
    <w:rsid w:val="00724422"/>
    <w:rsid w:val="0072479C"/>
    <w:rsid w:val="00724894"/>
    <w:rsid w:val="00725995"/>
    <w:rsid w:val="00726152"/>
    <w:rsid w:val="0072632F"/>
    <w:rsid w:val="00727DD5"/>
    <w:rsid w:val="00727E97"/>
    <w:rsid w:val="00730820"/>
    <w:rsid w:val="00730FB9"/>
    <w:rsid w:val="0073113D"/>
    <w:rsid w:val="0073119E"/>
    <w:rsid w:val="0073158A"/>
    <w:rsid w:val="00731CD6"/>
    <w:rsid w:val="00731E9A"/>
    <w:rsid w:val="007323CC"/>
    <w:rsid w:val="007335B4"/>
    <w:rsid w:val="00734139"/>
    <w:rsid w:val="00734199"/>
    <w:rsid w:val="00734540"/>
    <w:rsid w:val="00734C33"/>
    <w:rsid w:val="0073506F"/>
    <w:rsid w:val="0073581C"/>
    <w:rsid w:val="00735896"/>
    <w:rsid w:val="00735D13"/>
    <w:rsid w:val="0073629F"/>
    <w:rsid w:val="0073658C"/>
    <w:rsid w:val="00736842"/>
    <w:rsid w:val="00736A04"/>
    <w:rsid w:val="00736F21"/>
    <w:rsid w:val="007376C5"/>
    <w:rsid w:val="00737C33"/>
    <w:rsid w:val="00740907"/>
    <w:rsid w:val="00740F56"/>
    <w:rsid w:val="00741841"/>
    <w:rsid w:val="00741957"/>
    <w:rsid w:val="00742A3D"/>
    <w:rsid w:val="00742A48"/>
    <w:rsid w:val="0074352A"/>
    <w:rsid w:val="00743742"/>
    <w:rsid w:val="00743B3A"/>
    <w:rsid w:val="007444D8"/>
    <w:rsid w:val="00746113"/>
    <w:rsid w:val="00746178"/>
    <w:rsid w:val="007462FF"/>
    <w:rsid w:val="007467E7"/>
    <w:rsid w:val="00746C1B"/>
    <w:rsid w:val="00747052"/>
    <w:rsid w:val="0074721C"/>
    <w:rsid w:val="0074723C"/>
    <w:rsid w:val="0075052D"/>
    <w:rsid w:val="007506C8"/>
    <w:rsid w:val="00750AAD"/>
    <w:rsid w:val="00750E3F"/>
    <w:rsid w:val="00751EC2"/>
    <w:rsid w:val="00753084"/>
    <w:rsid w:val="00753096"/>
    <w:rsid w:val="00753227"/>
    <w:rsid w:val="0075440D"/>
    <w:rsid w:val="0075494A"/>
    <w:rsid w:val="00754B78"/>
    <w:rsid w:val="00755290"/>
    <w:rsid w:val="00755357"/>
    <w:rsid w:val="00755425"/>
    <w:rsid w:val="00755426"/>
    <w:rsid w:val="00755C26"/>
    <w:rsid w:val="00755D4C"/>
    <w:rsid w:val="0075617C"/>
    <w:rsid w:val="0075690A"/>
    <w:rsid w:val="00756995"/>
    <w:rsid w:val="007569BC"/>
    <w:rsid w:val="00756C23"/>
    <w:rsid w:val="00756F4C"/>
    <w:rsid w:val="007578FA"/>
    <w:rsid w:val="00760440"/>
    <w:rsid w:val="00761195"/>
    <w:rsid w:val="00761C12"/>
    <w:rsid w:val="00762030"/>
    <w:rsid w:val="00762211"/>
    <w:rsid w:val="00762770"/>
    <w:rsid w:val="007629D9"/>
    <w:rsid w:val="00762C17"/>
    <w:rsid w:val="00763721"/>
    <w:rsid w:val="0076429C"/>
    <w:rsid w:val="00765357"/>
    <w:rsid w:val="00766DFB"/>
    <w:rsid w:val="00767670"/>
    <w:rsid w:val="0076784D"/>
    <w:rsid w:val="00767FA6"/>
    <w:rsid w:val="007700AD"/>
    <w:rsid w:val="007709BB"/>
    <w:rsid w:val="00770ADC"/>
    <w:rsid w:val="007712B4"/>
    <w:rsid w:val="007719A7"/>
    <w:rsid w:val="00771B00"/>
    <w:rsid w:val="00771C1A"/>
    <w:rsid w:val="007725FC"/>
    <w:rsid w:val="00772A26"/>
    <w:rsid w:val="00772A4C"/>
    <w:rsid w:val="00772C64"/>
    <w:rsid w:val="00773889"/>
    <w:rsid w:val="00774D37"/>
    <w:rsid w:val="00774F2D"/>
    <w:rsid w:val="007752F7"/>
    <w:rsid w:val="00775E9B"/>
    <w:rsid w:val="00776068"/>
    <w:rsid w:val="00776D9E"/>
    <w:rsid w:val="00776DC4"/>
    <w:rsid w:val="00776F49"/>
    <w:rsid w:val="007772DB"/>
    <w:rsid w:val="00777491"/>
    <w:rsid w:val="007776C7"/>
    <w:rsid w:val="0077789F"/>
    <w:rsid w:val="0077793E"/>
    <w:rsid w:val="00777AA8"/>
    <w:rsid w:val="00777C29"/>
    <w:rsid w:val="00777E2F"/>
    <w:rsid w:val="00780453"/>
    <w:rsid w:val="0078086C"/>
    <w:rsid w:val="00780B54"/>
    <w:rsid w:val="00780E90"/>
    <w:rsid w:val="007813F4"/>
    <w:rsid w:val="007814C2"/>
    <w:rsid w:val="007820A3"/>
    <w:rsid w:val="00782DFC"/>
    <w:rsid w:val="00783ABA"/>
    <w:rsid w:val="00783BE8"/>
    <w:rsid w:val="0078501F"/>
    <w:rsid w:val="00785102"/>
    <w:rsid w:val="00785112"/>
    <w:rsid w:val="00785CDE"/>
    <w:rsid w:val="00785FFD"/>
    <w:rsid w:val="00786C42"/>
    <w:rsid w:val="00787246"/>
    <w:rsid w:val="00787A80"/>
    <w:rsid w:val="00790202"/>
    <w:rsid w:val="007904F6"/>
    <w:rsid w:val="00790C6E"/>
    <w:rsid w:val="00790E6D"/>
    <w:rsid w:val="007912AB"/>
    <w:rsid w:val="00791382"/>
    <w:rsid w:val="00792A04"/>
    <w:rsid w:val="00792A29"/>
    <w:rsid w:val="00792B47"/>
    <w:rsid w:val="00792B9E"/>
    <w:rsid w:val="00793363"/>
    <w:rsid w:val="007934CA"/>
    <w:rsid w:val="0079373A"/>
    <w:rsid w:val="00793C89"/>
    <w:rsid w:val="00793C8D"/>
    <w:rsid w:val="00794AED"/>
    <w:rsid w:val="007954DB"/>
    <w:rsid w:val="00795820"/>
    <w:rsid w:val="0079583E"/>
    <w:rsid w:val="007961BA"/>
    <w:rsid w:val="0079672C"/>
    <w:rsid w:val="00796D67"/>
    <w:rsid w:val="00796F12"/>
    <w:rsid w:val="0079736F"/>
    <w:rsid w:val="00797AA3"/>
    <w:rsid w:val="007A0C55"/>
    <w:rsid w:val="007A0C75"/>
    <w:rsid w:val="007A134A"/>
    <w:rsid w:val="007A194C"/>
    <w:rsid w:val="007A1C7A"/>
    <w:rsid w:val="007A28C5"/>
    <w:rsid w:val="007A2CD1"/>
    <w:rsid w:val="007A303B"/>
    <w:rsid w:val="007A3219"/>
    <w:rsid w:val="007A3619"/>
    <w:rsid w:val="007A38BA"/>
    <w:rsid w:val="007A4417"/>
    <w:rsid w:val="007A4C05"/>
    <w:rsid w:val="007A5F7A"/>
    <w:rsid w:val="007A609E"/>
    <w:rsid w:val="007A640F"/>
    <w:rsid w:val="007A66B9"/>
    <w:rsid w:val="007A6B10"/>
    <w:rsid w:val="007A6DBC"/>
    <w:rsid w:val="007A7893"/>
    <w:rsid w:val="007B0951"/>
    <w:rsid w:val="007B0A67"/>
    <w:rsid w:val="007B1E86"/>
    <w:rsid w:val="007B2825"/>
    <w:rsid w:val="007B2860"/>
    <w:rsid w:val="007B28C9"/>
    <w:rsid w:val="007B2A7D"/>
    <w:rsid w:val="007B2E26"/>
    <w:rsid w:val="007B36B6"/>
    <w:rsid w:val="007B39D8"/>
    <w:rsid w:val="007B3F95"/>
    <w:rsid w:val="007B44AD"/>
    <w:rsid w:val="007B4FB6"/>
    <w:rsid w:val="007B512F"/>
    <w:rsid w:val="007B5A15"/>
    <w:rsid w:val="007B5B37"/>
    <w:rsid w:val="007B6268"/>
    <w:rsid w:val="007B6888"/>
    <w:rsid w:val="007B7265"/>
    <w:rsid w:val="007B79C8"/>
    <w:rsid w:val="007C0C44"/>
    <w:rsid w:val="007C1316"/>
    <w:rsid w:val="007C18BF"/>
    <w:rsid w:val="007C1D0D"/>
    <w:rsid w:val="007C21C5"/>
    <w:rsid w:val="007C2376"/>
    <w:rsid w:val="007C24E9"/>
    <w:rsid w:val="007C26CE"/>
    <w:rsid w:val="007C3209"/>
    <w:rsid w:val="007C34CA"/>
    <w:rsid w:val="007C3D8F"/>
    <w:rsid w:val="007C44D9"/>
    <w:rsid w:val="007C4ECD"/>
    <w:rsid w:val="007C5912"/>
    <w:rsid w:val="007C64B4"/>
    <w:rsid w:val="007C65E2"/>
    <w:rsid w:val="007C79FC"/>
    <w:rsid w:val="007C7CB9"/>
    <w:rsid w:val="007D0409"/>
    <w:rsid w:val="007D0657"/>
    <w:rsid w:val="007D13EB"/>
    <w:rsid w:val="007D1886"/>
    <w:rsid w:val="007D193D"/>
    <w:rsid w:val="007D1D5C"/>
    <w:rsid w:val="007D1F04"/>
    <w:rsid w:val="007D2302"/>
    <w:rsid w:val="007D25DD"/>
    <w:rsid w:val="007D3660"/>
    <w:rsid w:val="007D5FD7"/>
    <w:rsid w:val="007D60B1"/>
    <w:rsid w:val="007D6FED"/>
    <w:rsid w:val="007D78F7"/>
    <w:rsid w:val="007D7D9D"/>
    <w:rsid w:val="007D7DFD"/>
    <w:rsid w:val="007E00C2"/>
    <w:rsid w:val="007E0299"/>
    <w:rsid w:val="007E03AE"/>
    <w:rsid w:val="007E08B1"/>
    <w:rsid w:val="007E0BFF"/>
    <w:rsid w:val="007E1263"/>
    <w:rsid w:val="007E14BC"/>
    <w:rsid w:val="007E16B6"/>
    <w:rsid w:val="007E17DE"/>
    <w:rsid w:val="007E4ADB"/>
    <w:rsid w:val="007E4FD2"/>
    <w:rsid w:val="007E55DA"/>
    <w:rsid w:val="007E5601"/>
    <w:rsid w:val="007E5881"/>
    <w:rsid w:val="007E5C9B"/>
    <w:rsid w:val="007E6E6E"/>
    <w:rsid w:val="007E7192"/>
    <w:rsid w:val="007E73E1"/>
    <w:rsid w:val="007E7E9E"/>
    <w:rsid w:val="007F05FF"/>
    <w:rsid w:val="007F120F"/>
    <w:rsid w:val="007F1365"/>
    <w:rsid w:val="007F181E"/>
    <w:rsid w:val="007F1908"/>
    <w:rsid w:val="007F198F"/>
    <w:rsid w:val="007F2880"/>
    <w:rsid w:val="007F293D"/>
    <w:rsid w:val="007F30E5"/>
    <w:rsid w:val="007F3100"/>
    <w:rsid w:val="007F3582"/>
    <w:rsid w:val="007F3B75"/>
    <w:rsid w:val="007F43CF"/>
    <w:rsid w:val="007F51AF"/>
    <w:rsid w:val="007F51CA"/>
    <w:rsid w:val="007F51EB"/>
    <w:rsid w:val="007F5231"/>
    <w:rsid w:val="007F5922"/>
    <w:rsid w:val="007F62E0"/>
    <w:rsid w:val="007F64D0"/>
    <w:rsid w:val="007F66A0"/>
    <w:rsid w:val="007F6DC7"/>
    <w:rsid w:val="007F7130"/>
    <w:rsid w:val="007F7567"/>
    <w:rsid w:val="00800B6C"/>
    <w:rsid w:val="0080134E"/>
    <w:rsid w:val="008013EF"/>
    <w:rsid w:val="00801778"/>
    <w:rsid w:val="00801DFE"/>
    <w:rsid w:val="00801F7F"/>
    <w:rsid w:val="00802478"/>
    <w:rsid w:val="00802BA9"/>
    <w:rsid w:val="00802DE5"/>
    <w:rsid w:val="00803254"/>
    <w:rsid w:val="00803B93"/>
    <w:rsid w:val="0080439B"/>
    <w:rsid w:val="00805DC0"/>
    <w:rsid w:val="00805EDF"/>
    <w:rsid w:val="00807D2E"/>
    <w:rsid w:val="00810194"/>
    <w:rsid w:val="008107CE"/>
    <w:rsid w:val="008125A1"/>
    <w:rsid w:val="00812F3E"/>
    <w:rsid w:val="00813423"/>
    <w:rsid w:val="00813FB9"/>
    <w:rsid w:val="008141B5"/>
    <w:rsid w:val="008146B0"/>
    <w:rsid w:val="00815DF6"/>
    <w:rsid w:val="00815F5F"/>
    <w:rsid w:val="0081669D"/>
    <w:rsid w:val="00816736"/>
    <w:rsid w:val="0081697B"/>
    <w:rsid w:val="00816F98"/>
    <w:rsid w:val="00817215"/>
    <w:rsid w:val="00817276"/>
    <w:rsid w:val="0081732D"/>
    <w:rsid w:val="0081761C"/>
    <w:rsid w:val="00817CF0"/>
    <w:rsid w:val="00820066"/>
    <w:rsid w:val="008202C3"/>
    <w:rsid w:val="008209F9"/>
    <w:rsid w:val="00820C54"/>
    <w:rsid w:val="00821352"/>
    <w:rsid w:val="00821426"/>
    <w:rsid w:val="00821A30"/>
    <w:rsid w:val="00821AE8"/>
    <w:rsid w:val="008229BC"/>
    <w:rsid w:val="00822E47"/>
    <w:rsid w:val="00823094"/>
    <w:rsid w:val="00823291"/>
    <w:rsid w:val="0082363A"/>
    <w:rsid w:val="00824112"/>
    <w:rsid w:val="00824280"/>
    <w:rsid w:val="0082480A"/>
    <w:rsid w:val="008248AD"/>
    <w:rsid w:val="00825245"/>
    <w:rsid w:val="008254DE"/>
    <w:rsid w:val="00825527"/>
    <w:rsid w:val="0082579E"/>
    <w:rsid w:val="00826AC2"/>
    <w:rsid w:val="00827BDF"/>
    <w:rsid w:val="00827FF2"/>
    <w:rsid w:val="008308D0"/>
    <w:rsid w:val="0083096A"/>
    <w:rsid w:val="00830B0E"/>
    <w:rsid w:val="00830B6B"/>
    <w:rsid w:val="00831C0F"/>
    <w:rsid w:val="008320F3"/>
    <w:rsid w:val="00832127"/>
    <w:rsid w:val="00832538"/>
    <w:rsid w:val="00832CEC"/>
    <w:rsid w:val="00833430"/>
    <w:rsid w:val="00833936"/>
    <w:rsid w:val="00834998"/>
    <w:rsid w:val="00834A81"/>
    <w:rsid w:val="00834AC1"/>
    <w:rsid w:val="00834F4F"/>
    <w:rsid w:val="00835D35"/>
    <w:rsid w:val="00836863"/>
    <w:rsid w:val="0083772B"/>
    <w:rsid w:val="00837C1B"/>
    <w:rsid w:val="00840F41"/>
    <w:rsid w:val="008419D5"/>
    <w:rsid w:val="00843C03"/>
    <w:rsid w:val="00844038"/>
    <w:rsid w:val="00844476"/>
    <w:rsid w:val="00844F37"/>
    <w:rsid w:val="00845033"/>
    <w:rsid w:val="008451BD"/>
    <w:rsid w:val="00845C4A"/>
    <w:rsid w:val="00846EA3"/>
    <w:rsid w:val="0084707A"/>
    <w:rsid w:val="008475BA"/>
    <w:rsid w:val="00847671"/>
    <w:rsid w:val="00847890"/>
    <w:rsid w:val="0084791D"/>
    <w:rsid w:val="00847FEA"/>
    <w:rsid w:val="0085016B"/>
    <w:rsid w:val="008501C7"/>
    <w:rsid w:val="008501EF"/>
    <w:rsid w:val="00850B8D"/>
    <w:rsid w:val="00850D79"/>
    <w:rsid w:val="00851664"/>
    <w:rsid w:val="008516F8"/>
    <w:rsid w:val="0085232D"/>
    <w:rsid w:val="0085276B"/>
    <w:rsid w:val="00852D35"/>
    <w:rsid w:val="00852E25"/>
    <w:rsid w:val="00853227"/>
    <w:rsid w:val="008535FD"/>
    <w:rsid w:val="00853B45"/>
    <w:rsid w:val="00853B75"/>
    <w:rsid w:val="00853F74"/>
    <w:rsid w:val="008547CF"/>
    <w:rsid w:val="00854FD4"/>
    <w:rsid w:val="00855976"/>
    <w:rsid w:val="00855FFD"/>
    <w:rsid w:val="00856183"/>
    <w:rsid w:val="008566B0"/>
    <w:rsid w:val="00856B7D"/>
    <w:rsid w:val="00857266"/>
    <w:rsid w:val="008575AC"/>
    <w:rsid w:val="00857935"/>
    <w:rsid w:val="00857EB7"/>
    <w:rsid w:val="0086031E"/>
    <w:rsid w:val="00860B81"/>
    <w:rsid w:val="00861110"/>
    <w:rsid w:val="008624D2"/>
    <w:rsid w:val="0086258C"/>
    <w:rsid w:val="0086298A"/>
    <w:rsid w:val="00862BC1"/>
    <w:rsid w:val="00863192"/>
    <w:rsid w:val="00863C88"/>
    <w:rsid w:val="00864184"/>
    <w:rsid w:val="00864B4B"/>
    <w:rsid w:val="0086510D"/>
    <w:rsid w:val="00865340"/>
    <w:rsid w:val="00866365"/>
    <w:rsid w:val="00866D52"/>
    <w:rsid w:val="008670C0"/>
    <w:rsid w:val="00867D9E"/>
    <w:rsid w:val="00870231"/>
    <w:rsid w:val="008702F6"/>
    <w:rsid w:val="00870304"/>
    <w:rsid w:val="00871285"/>
    <w:rsid w:val="008712AD"/>
    <w:rsid w:val="008713E4"/>
    <w:rsid w:val="008713F6"/>
    <w:rsid w:val="00871DA6"/>
    <w:rsid w:val="0087210F"/>
    <w:rsid w:val="008729AE"/>
    <w:rsid w:val="00872C3C"/>
    <w:rsid w:val="00872D20"/>
    <w:rsid w:val="00872F50"/>
    <w:rsid w:val="008730F8"/>
    <w:rsid w:val="0087324E"/>
    <w:rsid w:val="008735FB"/>
    <w:rsid w:val="00873B21"/>
    <w:rsid w:val="00873C47"/>
    <w:rsid w:val="00875B51"/>
    <w:rsid w:val="00876913"/>
    <w:rsid w:val="008772E4"/>
    <w:rsid w:val="0087754D"/>
    <w:rsid w:val="00880238"/>
    <w:rsid w:val="008802B5"/>
    <w:rsid w:val="0088128F"/>
    <w:rsid w:val="00881291"/>
    <w:rsid w:val="008813C6"/>
    <w:rsid w:val="0088196A"/>
    <w:rsid w:val="00881DD8"/>
    <w:rsid w:val="0088218F"/>
    <w:rsid w:val="0088270B"/>
    <w:rsid w:val="008832FA"/>
    <w:rsid w:val="00883ED9"/>
    <w:rsid w:val="0088450B"/>
    <w:rsid w:val="00884559"/>
    <w:rsid w:val="00884940"/>
    <w:rsid w:val="00884E2D"/>
    <w:rsid w:val="00885FCF"/>
    <w:rsid w:val="00886358"/>
    <w:rsid w:val="008868E5"/>
    <w:rsid w:val="0088722C"/>
    <w:rsid w:val="00887252"/>
    <w:rsid w:val="008872F2"/>
    <w:rsid w:val="0088799A"/>
    <w:rsid w:val="00890495"/>
    <w:rsid w:val="00891C0F"/>
    <w:rsid w:val="00891E5A"/>
    <w:rsid w:val="008926F0"/>
    <w:rsid w:val="00892B85"/>
    <w:rsid w:val="00892F5E"/>
    <w:rsid w:val="008938D1"/>
    <w:rsid w:val="0089395E"/>
    <w:rsid w:val="00893DFD"/>
    <w:rsid w:val="0089418B"/>
    <w:rsid w:val="00894D4A"/>
    <w:rsid w:val="00895523"/>
    <w:rsid w:val="00895602"/>
    <w:rsid w:val="008964D0"/>
    <w:rsid w:val="00896542"/>
    <w:rsid w:val="008970C6"/>
    <w:rsid w:val="00897364"/>
    <w:rsid w:val="00897412"/>
    <w:rsid w:val="00897EE5"/>
    <w:rsid w:val="00897F6F"/>
    <w:rsid w:val="008A0181"/>
    <w:rsid w:val="008A01A6"/>
    <w:rsid w:val="008A0AA9"/>
    <w:rsid w:val="008A0D28"/>
    <w:rsid w:val="008A0F1D"/>
    <w:rsid w:val="008A15C6"/>
    <w:rsid w:val="008A20B0"/>
    <w:rsid w:val="008A2511"/>
    <w:rsid w:val="008A27F2"/>
    <w:rsid w:val="008A2DCF"/>
    <w:rsid w:val="008A329F"/>
    <w:rsid w:val="008A37C5"/>
    <w:rsid w:val="008A38F6"/>
    <w:rsid w:val="008A3B61"/>
    <w:rsid w:val="008A3F60"/>
    <w:rsid w:val="008A500C"/>
    <w:rsid w:val="008A54C2"/>
    <w:rsid w:val="008A5A6F"/>
    <w:rsid w:val="008A5BC1"/>
    <w:rsid w:val="008A6535"/>
    <w:rsid w:val="008A659D"/>
    <w:rsid w:val="008A70D2"/>
    <w:rsid w:val="008A742F"/>
    <w:rsid w:val="008A758A"/>
    <w:rsid w:val="008A78E2"/>
    <w:rsid w:val="008B0066"/>
    <w:rsid w:val="008B027D"/>
    <w:rsid w:val="008B0A6F"/>
    <w:rsid w:val="008B0FAE"/>
    <w:rsid w:val="008B18C8"/>
    <w:rsid w:val="008B1CF7"/>
    <w:rsid w:val="008B1EB3"/>
    <w:rsid w:val="008B20CB"/>
    <w:rsid w:val="008B20EB"/>
    <w:rsid w:val="008B23C3"/>
    <w:rsid w:val="008B2535"/>
    <w:rsid w:val="008B27C8"/>
    <w:rsid w:val="008B3F94"/>
    <w:rsid w:val="008B40EF"/>
    <w:rsid w:val="008B41B6"/>
    <w:rsid w:val="008B430C"/>
    <w:rsid w:val="008B52C8"/>
    <w:rsid w:val="008B55AD"/>
    <w:rsid w:val="008B5691"/>
    <w:rsid w:val="008B5C5F"/>
    <w:rsid w:val="008B5FE6"/>
    <w:rsid w:val="008B6D8C"/>
    <w:rsid w:val="008B6F0B"/>
    <w:rsid w:val="008B71D0"/>
    <w:rsid w:val="008B7353"/>
    <w:rsid w:val="008B772E"/>
    <w:rsid w:val="008C170D"/>
    <w:rsid w:val="008C2854"/>
    <w:rsid w:val="008C3076"/>
    <w:rsid w:val="008C33CC"/>
    <w:rsid w:val="008C35D8"/>
    <w:rsid w:val="008C38BA"/>
    <w:rsid w:val="008C3A8D"/>
    <w:rsid w:val="008C3F1E"/>
    <w:rsid w:val="008C40B1"/>
    <w:rsid w:val="008C44F4"/>
    <w:rsid w:val="008C4D14"/>
    <w:rsid w:val="008C58C3"/>
    <w:rsid w:val="008C6743"/>
    <w:rsid w:val="008C6780"/>
    <w:rsid w:val="008C6C35"/>
    <w:rsid w:val="008C7291"/>
    <w:rsid w:val="008C7576"/>
    <w:rsid w:val="008C7750"/>
    <w:rsid w:val="008C789C"/>
    <w:rsid w:val="008D1005"/>
    <w:rsid w:val="008D11B1"/>
    <w:rsid w:val="008D14F9"/>
    <w:rsid w:val="008D1C04"/>
    <w:rsid w:val="008D20E2"/>
    <w:rsid w:val="008D2200"/>
    <w:rsid w:val="008D2331"/>
    <w:rsid w:val="008D28D3"/>
    <w:rsid w:val="008D36F4"/>
    <w:rsid w:val="008D4561"/>
    <w:rsid w:val="008D472A"/>
    <w:rsid w:val="008D4749"/>
    <w:rsid w:val="008D4F20"/>
    <w:rsid w:val="008D4F42"/>
    <w:rsid w:val="008D575B"/>
    <w:rsid w:val="008D5FDF"/>
    <w:rsid w:val="008D630C"/>
    <w:rsid w:val="008D6767"/>
    <w:rsid w:val="008D69A4"/>
    <w:rsid w:val="008D6B7D"/>
    <w:rsid w:val="008D6F42"/>
    <w:rsid w:val="008D7080"/>
    <w:rsid w:val="008D7890"/>
    <w:rsid w:val="008D79FD"/>
    <w:rsid w:val="008E084D"/>
    <w:rsid w:val="008E0A57"/>
    <w:rsid w:val="008E17DB"/>
    <w:rsid w:val="008E249D"/>
    <w:rsid w:val="008E24A3"/>
    <w:rsid w:val="008E2B79"/>
    <w:rsid w:val="008E3186"/>
    <w:rsid w:val="008E3513"/>
    <w:rsid w:val="008E43D8"/>
    <w:rsid w:val="008E4F99"/>
    <w:rsid w:val="008E50AF"/>
    <w:rsid w:val="008E546F"/>
    <w:rsid w:val="008E5A7C"/>
    <w:rsid w:val="008E6220"/>
    <w:rsid w:val="008E6E70"/>
    <w:rsid w:val="008E6EEE"/>
    <w:rsid w:val="008E7120"/>
    <w:rsid w:val="008F04E8"/>
    <w:rsid w:val="008F0FC0"/>
    <w:rsid w:val="008F11B5"/>
    <w:rsid w:val="008F16D2"/>
    <w:rsid w:val="008F1918"/>
    <w:rsid w:val="008F3649"/>
    <w:rsid w:val="008F3C53"/>
    <w:rsid w:val="008F3C7D"/>
    <w:rsid w:val="008F4274"/>
    <w:rsid w:val="008F4823"/>
    <w:rsid w:val="008F4F4E"/>
    <w:rsid w:val="008F53AB"/>
    <w:rsid w:val="008F5FB0"/>
    <w:rsid w:val="008F6262"/>
    <w:rsid w:val="008F62D3"/>
    <w:rsid w:val="008F6C52"/>
    <w:rsid w:val="008F7840"/>
    <w:rsid w:val="008F7F42"/>
    <w:rsid w:val="00900355"/>
    <w:rsid w:val="00900E54"/>
    <w:rsid w:val="00900EB5"/>
    <w:rsid w:val="00901156"/>
    <w:rsid w:val="00901278"/>
    <w:rsid w:val="00901C02"/>
    <w:rsid w:val="009024C2"/>
    <w:rsid w:val="00902616"/>
    <w:rsid w:val="0090308A"/>
    <w:rsid w:val="0090356F"/>
    <w:rsid w:val="0090441E"/>
    <w:rsid w:val="00904459"/>
    <w:rsid w:val="00904512"/>
    <w:rsid w:val="0090461E"/>
    <w:rsid w:val="00904738"/>
    <w:rsid w:val="00904779"/>
    <w:rsid w:val="009050C9"/>
    <w:rsid w:val="00905691"/>
    <w:rsid w:val="00906053"/>
    <w:rsid w:val="009065C5"/>
    <w:rsid w:val="00906C95"/>
    <w:rsid w:val="009073C8"/>
    <w:rsid w:val="009077A4"/>
    <w:rsid w:val="00907885"/>
    <w:rsid w:val="009105AC"/>
    <w:rsid w:val="0091077C"/>
    <w:rsid w:val="00910C1F"/>
    <w:rsid w:val="00911687"/>
    <w:rsid w:val="0091191A"/>
    <w:rsid w:val="00911A29"/>
    <w:rsid w:val="00911A30"/>
    <w:rsid w:val="00912114"/>
    <w:rsid w:val="009121E5"/>
    <w:rsid w:val="00912689"/>
    <w:rsid w:val="00912F1F"/>
    <w:rsid w:val="009131AA"/>
    <w:rsid w:val="009132E5"/>
    <w:rsid w:val="00913CA7"/>
    <w:rsid w:val="0091413E"/>
    <w:rsid w:val="00914549"/>
    <w:rsid w:val="00914ECE"/>
    <w:rsid w:val="00915297"/>
    <w:rsid w:val="00915532"/>
    <w:rsid w:val="0091590A"/>
    <w:rsid w:val="00915929"/>
    <w:rsid w:val="00915CDD"/>
    <w:rsid w:val="00915EB6"/>
    <w:rsid w:val="00916057"/>
    <w:rsid w:val="009161DF"/>
    <w:rsid w:val="00916231"/>
    <w:rsid w:val="00916349"/>
    <w:rsid w:val="0091634A"/>
    <w:rsid w:val="00916CD9"/>
    <w:rsid w:val="00917EDF"/>
    <w:rsid w:val="00920498"/>
    <w:rsid w:val="00920784"/>
    <w:rsid w:val="00920AA3"/>
    <w:rsid w:val="00921189"/>
    <w:rsid w:val="009213EA"/>
    <w:rsid w:val="00921DA5"/>
    <w:rsid w:val="00921E8D"/>
    <w:rsid w:val="00923B7C"/>
    <w:rsid w:val="009250E1"/>
    <w:rsid w:val="00925C19"/>
    <w:rsid w:val="00926365"/>
    <w:rsid w:val="00926C7D"/>
    <w:rsid w:val="00927899"/>
    <w:rsid w:val="009308FC"/>
    <w:rsid w:val="00930CF2"/>
    <w:rsid w:val="00931EA5"/>
    <w:rsid w:val="00931EA6"/>
    <w:rsid w:val="00932B38"/>
    <w:rsid w:val="00933559"/>
    <w:rsid w:val="00933D82"/>
    <w:rsid w:val="00933EBB"/>
    <w:rsid w:val="009340AA"/>
    <w:rsid w:val="0093412A"/>
    <w:rsid w:val="0093456F"/>
    <w:rsid w:val="009350BD"/>
    <w:rsid w:val="0093567B"/>
    <w:rsid w:val="00935847"/>
    <w:rsid w:val="009358AB"/>
    <w:rsid w:val="00935D21"/>
    <w:rsid w:val="009363DA"/>
    <w:rsid w:val="00936DBE"/>
    <w:rsid w:val="00937361"/>
    <w:rsid w:val="0093796C"/>
    <w:rsid w:val="00940769"/>
    <w:rsid w:val="00941024"/>
    <w:rsid w:val="009410D0"/>
    <w:rsid w:val="009419AC"/>
    <w:rsid w:val="00941C43"/>
    <w:rsid w:val="009420A4"/>
    <w:rsid w:val="00942FFF"/>
    <w:rsid w:val="00943716"/>
    <w:rsid w:val="00944326"/>
    <w:rsid w:val="00944355"/>
    <w:rsid w:val="00944FC0"/>
    <w:rsid w:val="0094749A"/>
    <w:rsid w:val="00947AA4"/>
    <w:rsid w:val="00947AB1"/>
    <w:rsid w:val="00947C10"/>
    <w:rsid w:val="0095083E"/>
    <w:rsid w:val="009508CE"/>
    <w:rsid w:val="00951599"/>
    <w:rsid w:val="009518D0"/>
    <w:rsid w:val="00951BCD"/>
    <w:rsid w:val="00952351"/>
    <w:rsid w:val="0095271B"/>
    <w:rsid w:val="009527A0"/>
    <w:rsid w:val="0095327B"/>
    <w:rsid w:val="00953A0A"/>
    <w:rsid w:val="00953C40"/>
    <w:rsid w:val="00953D37"/>
    <w:rsid w:val="00953D83"/>
    <w:rsid w:val="00953DBC"/>
    <w:rsid w:val="00954040"/>
    <w:rsid w:val="00954110"/>
    <w:rsid w:val="009541B5"/>
    <w:rsid w:val="00954278"/>
    <w:rsid w:val="00954691"/>
    <w:rsid w:val="0095546F"/>
    <w:rsid w:val="00955512"/>
    <w:rsid w:val="00955520"/>
    <w:rsid w:val="00956DE1"/>
    <w:rsid w:val="009571F7"/>
    <w:rsid w:val="009578EA"/>
    <w:rsid w:val="0096039C"/>
    <w:rsid w:val="009604E3"/>
    <w:rsid w:val="00960DDC"/>
    <w:rsid w:val="00960F24"/>
    <w:rsid w:val="00961CC2"/>
    <w:rsid w:val="00962570"/>
    <w:rsid w:val="009627AD"/>
    <w:rsid w:val="00963A06"/>
    <w:rsid w:val="00964F82"/>
    <w:rsid w:val="0096565B"/>
    <w:rsid w:val="00965D53"/>
    <w:rsid w:val="0096635A"/>
    <w:rsid w:val="009667D5"/>
    <w:rsid w:val="009668AA"/>
    <w:rsid w:val="00966970"/>
    <w:rsid w:val="00966E47"/>
    <w:rsid w:val="00966FCA"/>
    <w:rsid w:val="00966FCB"/>
    <w:rsid w:val="0096760B"/>
    <w:rsid w:val="009676B6"/>
    <w:rsid w:val="009677EE"/>
    <w:rsid w:val="00970041"/>
    <w:rsid w:val="00970D1A"/>
    <w:rsid w:val="00970E75"/>
    <w:rsid w:val="00970ECD"/>
    <w:rsid w:val="00971506"/>
    <w:rsid w:val="0097187E"/>
    <w:rsid w:val="00971B4F"/>
    <w:rsid w:val="00972E3B"/>
    <w:rsid w:val="00973084"/>
    <w:rsid w:val="009731D5"/>
    <w:rsid w:val="0097391A"/>
    <w:rsid w:val="00973B9A"/>
    <w:rsid w:val="00974088"/>
    <w:rsid w:val="00974812"/>
    <w:rsid w:val="00974AE0"/>
    <w:rsid w:val="00974CD9"/>
    <w:rsid w:val="0097520F"/>
    <w:rsid w:val="009767C7"/>
    <w:rsid w:val="00976DDE"/>
    <w:rsid w:val="009803C4"/>
    <w:rsid w:val="009808AA"/>
    <w:rsid w:val="009809B4"/>
    <w:rsid w:val="00980A03"/>
    <w:rsid w:val="00982B64"/>
    <w:rsid w:val="00983119"/>
    <w:rsid w:val="00983553"/>
    <w:rsid w:val="0098399D"/>
    <w:rsid w:val="00984EE6"/>
    <w:rsid w:val="00985E5C"/>
    <w:rsid w:val="00986739"/>
    <w:rsid w:val="00986967"/>
    <w:rsid w:val="009870C3"/>
    <w:rsid w:val="009871AF"/>
    <w:rsid w:val="0098755D"/>
    <w:rsid w:val="009876EC"/>
    <w:rsid w:val="00987841"/>
    <w:rsid w:val="00990152"/>
    <w:rsid w:val="009905DC"/>
    <w:rsid w:val="00991179"/>
    <w:rsid w:val="00992EA0"/>
    <w:rsid w:val="00993EE6"/>
    <w:rsid w:val="00993F01"/>
    <w:rsid w:val="0099486C"/>
    <w:rsid w:val="009949C5"/>
    <w:rsid w:val="009949FE"/>
    <w:rsid w:val="0099514D"/>
    <w:rsid w:val="00996DCF"/>
    <w:rsid w:val="00996E41"/>
    <w:rsid w:val="00997E80"/>
    <w:rsid w:val="00997F9D"/>
    <w:rsid w:val="009A0333"/>
    <w:rsid w:val="009A1255"/>
    <w:rsid w:val="009A14D6"/>
    <w:rsid w:val="009A1531"/>
    <w:rsid w:val="009A1602"/>
    <w:rsid w:val="009A2299"/>
    <w:rsid w:val="009A2692"/>
    <w:rsid w:val="009A27CA"/>
    <w:rsid w:val="009A284F"/>
    <w:rsid w:val="009A29C3"/>
    <w:rsid w:val="009A2A65"/>
    <w:rsid w:val="009A3003"/>
    <w:rsid w:val="009A40A4"/>
    <w:rsid w:val="009A4F6B"/>
    <w:rsid w:val="009A5CF4"/>
    <w:rsid w:val="009A6A48"/>
    <w:rsid w:val="009A6F09"/>
    <w:rsid w:val="009A70CB"/>
    <w:rsid w:val="009A7178"/>
    <w:rsid w:val="009A7C38"/>
    <w:rsid w:val="009B0119"/>
    <w:rsid w:val="009B013E"/>
    <w:rsid w:val="009B068F"/>
    <w:rsid w:val="009B0ADC"/>
    <w:rsid w:val="009B0D0F"/>
    <w:rsid w:val="009B15B0"/>
    <w:rsid w:val="009B1B9D"/>
    <w:rsid w:val="009B1D78"/>
    <w:rsid w:val="009B2377"/>
    <w:rsid w:val="009B2630"/>
    <w:rsid w:val="009B2A51"/>
    <w:rsid w:val="009B31B7"/>
    <w:rsid w:val="009B3A8D"/>
    <w:rsid w:val="009B3AC7"/>
    <w:rsid w:val="009B4238"/>
    <w:rsid w:val="009B474C"/>
    <w:rsid w:val="009B4929"/>
    <w:rsid w:val="009B4D45"/>
    <w:rsid w:val="009B4F42"/>
    <w:rsid w:val="009B55FD"/>
    <w:rsid w:val="009B57EF"/>
    <w:rsid w:val="009B5F87"/>
    <w:rsid w:val="009B622C"/>
    <w:rsid w:val="009B69F2"/>
    <w:rsid w:val="009B7878"/>
    <w:rsid w:val="009B7CDA"/>
    <w:rsid w:val="009C02CE"/>
    <w:rsid w:val="009C03EC"/>
    <w:rsid w:val="009C0CA0"/>
    <w:rsid w:val="009C1454"/>
    <w:rsid w:val="009C1829"/>
    <w:rsid w:val="009C2F41"/>
    <w:rsid w:val="009C2F99"/>
    <w:rsid w:val="009C2FC4"/>
    <w:rsid w:val="009C52B2"/>
    <w:rsid w:val="009C5675"/>
    <w:rsid w:val="009C5A36"/>
    <w:rsid w:val="009C6086"/>
    <w:rsid w:val="009C6995"/>
    <w:rsid w:val="009C6D09"/>
    <w:rsid w:val="009C6DF1"/>
    <w:rsid w:val="009C6F70"/>
    <w:rsid w:val="009C73F9"/>
    <w:rsid w:val="009C7586"/>
    <w:rsid w:val="009C7EA5"/>
    <w:rsid w:val="009D0950"/>
    <w:rsid w:val="009D0971"/>
    <w:rsid w:val="009D0986"/>
    <w:rsid w:val="009D1E3B"/>
    <w:rsid w:val="009D23F7"/>
    <w:rsid w:val="009D27D6"/>
    <w:rsid w:val="009D2F12"/>
    <w:rsid w:val="009D2FB2"/>
    <w:rsid w:val="009D3C59"/>
    <w:rsid w:val="009D3F46"/>
    <w:rsid w:val="009D4323"/>
    <w:rsid w:val="009D4AF6"/>
    <w:rsid w:val="009D5727"/>
    <w:rsid w:val="009D5B29"/>
    <w:rsid w:val="009D5F7D"/>
    <w:rsid w:val="009D6331"/>
    <w:rsid w:val="009D65D6"/>
    <w:rsid w:val="009D704F"/>
    <w:rsid w:val="009D7B31"/>
    <w:rsid w:val="009D7F04"/>
    <w:rsid w:val="009D7FF5"/>
    <w:rsid w:val="009E01FF"/>
    <w:rsid w:val="009E09DC"/>
    <w:rsid w:val="009E0C39"/>
    <w:rsid w:val="009E102B"/>
    <w:rsid w:val="009E25EE"/>
    <w:rsid w:val="009E27B8"/>
    <w:rsid w:val="009E2937"/>
    <w:rsid w:val="009E2DFE"/>
    <w:rsid w:val="009E322A"/>
    <w:rsid w:val="009E34AC"/>
    <w:rsid w:val="009E3D11"/>
    <w:rsid w:val="009E4C1B"/>
    <w:rsid w:val="009E4ED5"/>
    <w:rsid w:val="009E51DC"/>
    <w:rsid w:val="009E534F"/>
    <w:rsid w:val="009E6791"/>
    <w:rsid w:val="009E6C55"/>
    <w:rsid w:val="009E713B"/>
    <w:rsid w:val="009E72DF"/>
    <w:rsid w:val="009E77C0"/>
    <w:rsid w:val="009E7C1F"/>
    <w:rsid w:val="009E7FB4"/>
    <w:rsid w:val="009E7FE2"/>
    <w:rsid w:val="009F05A9"/>
    <w:rsid w:val="009F0A43"/>
    <w:rsid w:val="009F0B67"/>
    <w:rsid w:val="009F1241"/>
    <w:rsid w:val="009F1C61"/>
    <w:rsid w:val="009F2141"/>
    <w:rsid w:val="009F2B01"/>
    <w:rsid w:val="009F326C"/>
    <w:rsid w:val="009F34D1"/>
    <w:rsid w:val="009F39B3"/>
    <w:rsid w:val="009F3AB1"/>
    <w:rsid w:val="009F484D"/>
    <w:rsid w:val="009F51CA"/>
    <w:rsid w:val="009F56F3"/>
    <w:rsid w:val="009F5744"/>
    <w:rsid w:val="009F5DD6"/>
    <w:rsid w:val="009F6800"/>
    <w:rsid w:val="009F74ED"/>
    <w:rsid w:val="009F76A1"/>
    <w:rsid w:val="00A0095E"/>
    <w:rsid w:val="00A018A6"/>
    <w:rsid w:val="00A01FD6"/>
    <w:rsid w:val="00A024D9"/>
    <w:rsid w:val="00A02571"/>
    <w:rsid w:val="00A026B9"/>
    <w:rsid w:val="00A0270F"/>
    <w:rsid w:val="00A030D4"/>
    <w:rsid w:val="00A042BE"/>
    <w:rsid w:val="00A0435D"/>
    <w:rsid w:val="00A04890"/>
    <w:rsid w:val="00A057AF"/>
    <w:rsid w:val="00A059B7"/>
    <w:rsid w:val="00A059DB"/>
    <w:rsid w:val="00A05F33"/>
    <w:rsid w:val="00A06476"/>
    <w:rsid w:val="00A0680A"/>
    <w:rsid w:val="00A06969"/>
    <w:rsid w:val="00A06CCA"/>
    <w:rsid w:val="00A06E7C"/>
    <w:rsid w:val="00A07A2A"/>
    <w:rsid w:val="00A10064"/>
    <w:rsid w:val="00A102C8"/>
    <w:rsid w:val="00A10E99"/>
    <w:rsid w:val="00A10FA9"/>
    <w:rsid w:val="00A1131C"/>
    <w:rsid w:val="00A115F8"/>
    <w:rsid w:val="00A11916"/>
    <w:rsid w:val="00A11A73"/>
    <w:rsid w:val="00A11B52"/>
    <w:rsid w:val="00A11C60"/>
    <w:rsid w:val="00A121E0"/>
    <w:rsid w:val="00A12E1E"/>
    <w:rsid w:val="00A132C9"/>
    <w:rsid w:val="00A13443"/>
    <w:rsid w:val="00A13666"/>
    <w:rsid w:val="00A13A6B"/>
    <w:rsid w:val="00A14967"/>
    <w:rsid w:val="00A14C77"/>
    <w:rsid w:val="00A150E6"/>
    <w:rsid w:val="00A15499"/>
    <w:rsid w:val="00A161A2"/>
    <w:rsid w:val="00A16400"/>
    <w:rsid w:val="00A16FB4"/>
    <w:rsid w:val="00A20641"/>
    <w:rsid w:val="00A207C3"/>
    <w:rsid w:val="00A209CA"/>
    <w:rsid w:val="00A20A81"/>
    <w:rsid w:val="00A20C02"/>
    <w:rsid w:val="00A2118D"/>
    <w:rsid w:val="00A2227A"/>
    <w:rsid w:val="00A22544"/>
    <w:rsid w:val="00A22784"/>
    <w:rsid w:val="00A23014"/>
    <w:rsid w:val="00A23147"/>
    <w:rsid w:val="00A2353C"/>
    <w:rsid w:val="00A23BD0"/>
    <w:rsid w:val="00A23ED1"/>
    <w:rsid w:val="00A240B3"/>
    <w:rsid w:val="00A2425B"/>
    <w:rsid w:val="00A24D96"/>
    <w:rsid w:val="00A24E50"/>
    <w:rsid w:val="00A2580B"/>
    <w:rsid w:val="00A25F4D"/>
    <w:rsid w:val="00A263C9"/>
    <w:rsid w:val="00A26803"/>
    <w:rsid w:val="00A2694D"/>
    <w:rsid w:val="00A26B8C"/>
    <w:rsid w:val="00A26C6F"/>
    <w:rsid w:val="00A27B22"/>
    <w:rsid w:val="00A27E30"/>
    <w:rsid w:val="00A27F5A"/>
    <w:rsid w:val="00A3062C"/>
    <w:rsid w:val="00A31596"/>
    <w:rsid w:val="00A319C3"/>
    <w:rsid w:val="00A31BAD"/>
    <w:rsid w:val="00A31F2C"/>
    <w:rsid w:val="00A325F8"/>
    <w:rsid w:val="00A33016"/>
    <w:rsid w:val="00A33489"/>
    <w:rsid w:val="00A33DF6"/>
    <w:rsid w:val="00A33F3E"/>
    <w:rsid w:val="00A3418D"/>
    <w:rsid w:val="00A34D78"/>
    <w:rsid w:val="00A34FE0"/>
    <w:rsid w:val="00A351B3"/>
    <w:rsid w:val="00A35502"/>
    <w:rsid w:val="00A355AA"/>
    <w:rsid w:val="00A35633"/>
    <w:rsid w:val="00A35A08"/>
    <w:rsid w:val="00A35A4C"/>
    <w:rsid w:val="00A35CB4"/>
    <w:rsid w:val="00A3602A"/>
    <w:rsid w:val="00A3605B"/>
    <w:rsid w:val="00A36417"/>
    <w:rsid w:val="00A36C01"/>
    <w:rsid w:val="00A3721B"/>
    <w:rsid w:val="00A377B2"/>
    <w:rsid w:val="00A377F6"/>
    <w:rsid w:val="00A37850"/>
    <w:rsid w:val="00A37DCE"/>
    <w:rsid w:val="00A37E70"/>
    <w:rsid w:val="00A37FB6"/>
    <w:rsid w:val="00A4019C"/>
    <w:rsid w:val="00A40A5A"/>
    <w:rsid w:val="00A414AF"/>
    <w:rsid w:val="00A41DEA"/>
    <w:rsid w:val="00A41E17"/>
    <w:rsid w:val="00A42371"/>
    <w:rsid w:val="00A427B9"/>
    <w:rsid w:val="00A42D07"/>
    <w:rsid w:val="00A433EA"/>
    <w:rsid w:val="00A43481"/>
    <w:rsid w:val="00A43773"/>
    <w:rsid w:val="00A439CC"/>
    <w:rsid w:val="00A441B3"/>
    <w:rsid w:val="00A44A8B"/>
    <w:rsid w:val="00A44B23"/>
    <w:rsid w:val="00A4522C"/>
    <w:rsid w:val="00A45660"/>
    <w:rsid w:val="00A45890"/>
    <w:rsid w:val="00A45F7C"/>
    <w:rsid w:val="00A45FFF"/>
    <w:rsid w:val="00A46FBE"/>
    <w:rsid w:val="00A478BC"/>
    <w:rsid w:val="00A47D26"/>
    <w:rsid w:val="00A47D3E"/>
    <w:rsid w:val="00A50100"/>
    <w:rsid w:val="00A50E24"/>
    <w:rsid w:val="00A51627"/>
    <w:rsid w:val="00A51AC9"/>
    <w:rsid w:val="00A52B2C"/>
    <w:rsid w:val="00A53DE5"/>
    <w:rsid w:val="00A54FF0"/>
    <w:rsid w:val="00A55308"/>
    <w:rsid w:val="00A56042"/>
    <w:rsid w:val="00A56100"/>
    <w:rsid w:val="00A5674E"/>
    <w:rsid w:val="00A57805"/>
    <w:rsid w:val="00A57A84"/>
    <w:rsid w:val="00A57B05"/>
    <w:rsid w:val="00A57F40"/>
    <w:rsid w:val="00A60825"/>
    <w:rsid w:val="00A6124A"/>
    <w:rsid w:val="00A6201E"/>
    <w:rsid w:val="00A63EA1"/>
    <w:rsid w:val="00A645B2"/>
    <w:rsid w:val="00A648E5"/>
    <w:rsid w:val="00A64A69"/>
    <w:rsid w:val="00A655B7"/>
    <w:rsid w:val="00A70749"/>
    <w:rsid w:val="00A70DDA"/>
    <w:rsid w:val="00A70EFA"/>
    <w:rsid w:val="00A72068"/>
    <w:rsid w:val="00A72279"/>
    <w:rsid w:val="00A72508"/>
    <w:rsid w:val="00A730B0"/>
    <w:rsid w:val="00A730C5"/>
    <w:rsid w:val="00A735B2"/>
    <w:rsid w:val="00A73861"/>
    <w:rsid w:val="00A73B43"/>
    <w:rsid w:val="00A73E53"/>
    <w:rsid w:val="00A740E3"/>
    <w:rsid w:val="00A741DA"/>
    <w:rsid w:val="00A7433D"/>
    <w:rsid w:val="00A74BB7"/>
    <w:rsid w:val="00A74BF1"/>
    <w:rsid w:val="00A75156"/>
    <w:rsid w:val="00A76088"/>
    <w:rsid w:val="00A7683B"/>
    <w:rsid w:val="00A771B8"/>
    <w:rsid w:val="00A774BF"/>
    <w:rsid w:val="00A77543"/>
    <w:rsid w:val="00A777BF"/>
    <w:rsid w:val="00A8040C"/>
    <w:rsid w:val="00A80486"/>
    <w:rsid w:val="00A8080B"/>
    <w:rsid w:val="00A809F6"/>
    <w:rsid w:val="00A81300"/>
    <w:rsid w:val="00A8153B"/>
    <w:rsid w:val="00A8157B"/>
    <w:rsid w:val="00A82B94"/>
    <w:rsid w:val="00A82DB5"/>
    <w:rsid w:val="00A83111"/>
    <w:rsid w:val="00A8343C"/>
    <w:rsid w:val="00A8374E"/>
    <w:rsid w:val="00A84F54"/>
    <w:rsid w:val="00A857D5"/>
    <w:rsid w:val="00A85D89"/>
    <w:rsid w:val="00A86513"/>
    <w:rsid w:val="00A873E7"/>
    <w:rsid w:val="00A8773C"/>
    <w:rsid w:val="00A87A8C"/>
    <w:rsid w:val="00A87D55"/>
    <w:rsid w:val="00A90046"/>
    <w:rsid w:val="00A90A14"/>
    <w:rsid w:val="00A90C5A"/>
    <w:rsid w:val="00A90D7F"/>
    <w:rsid w:val="00A9140A"/>
    <w:rsid w:val="00A916FE"/>
    <w:rsid w:val="00A92637"/>
    <w:rsid w:val="00A92CF2"/>
    <w:rsid w:val="00A92D4D"/>
    <w:rsid w:val="00A935B7"/>
    <w:rsid w:val="00A93D56"/>
    <w:rsid w:val="00A947B0"/>
    <w:rsid w:val="00A949B5"/>
    <w:rsid w:val="00A94EC5"/>
    <w:rsid w:val="00A9511A"/>
    <w:rsid w:val="00A954F6"/>
    <w:rsid w:val="00A9609F"/>
    <w:rsid w:val="00A96638"/>
    <w:rsid w:val="00A969BC"/>
    <w:rsid w:val="00A97228"/>
    <w:rsid w:val="00A97321"/>
    <w:rsid w:val="00A975ED"/>
    <w:rsid w:val="00A97E20"/>
    <w:rsid w:val="00AA017C"/>
    <w:rsid w:val="00AA1ED0"/>
    <w:rsid w:val="00AA1FB3"/>
    <w:rsid w:val="00AA2510"/>
    <w:rsid w:val="00AA26B6"/>
    <w:rsid w:val="00AA2C8B"/>
    <w:rsid w:val="00AA38D9"/>
    <w:rsid w:val="00AA3D59"/>
    <w:rsid w:val="00AA41F3"/>
    <w:rsid w:val="00AA4B5E"/>
    <w:rsid w:val="00AA4EA9"/>
    <w:rsid w:val="00AA4F66"/>
    <w:rsid w:val="00AA5649"/>
    <w:rsid w:val="00AA5B2A"/>
    <w:rsid w:val="00AA5C74"/>
    <w:rsid w:val="00AA7192"/>
    <w:rsid w:val="00AA75AB"/>
    <w:rsid w:val="00AA76AD"/>
    <w:rsid w:val="00AB03E0"/>
    <w:rsid w:val="00AB07A8"/>
    <w:rsid w:val="00AB1070"/>
    <w:rsid w:val="00AB26B4"/>
    <w:rsid w:val="00AB2B83"/>
    <w:rsid w:val="00AB34B1"/>
    <w:rsid w:val="00AB3B3A"/>
    <w:rsid w:val="00AB4384"/>
    <w:rsid w:val="00AB4707"/>
    <w:rsid w:val="00AB4BE3"/>
    <w:rsid w:val="00AB4D81"/>
    <w:rsid w:val="00AB5604"/>
    <w:rsid w:val="00AB5A33"/>
    <w:rsid w:val="00AB5C65"/>
    <w:rsid w:val="00AB5E28"/>
    <w:rsid w:val="00AB70D0"/>
    <w:rsid w:val="00AB7251"/>
    <w:rsid w:val="00AC05D1"/>
    <w:rsid w:val="00AC0964"/>
    <w:rsid w:val="00AC0985"/>
    <w:rsid w:val="00AC0BC4"/>
    <w:rsid w:val="00AC220C"/>
    <w:rsid w:val="00AC2A90"/>
    <w:rsid w:val="00AC3159"/>
    <w:rsid w:val="00AC3FEE"/>
    <w:rsid w:val="00AC4995"/>
    <w:rsid w:val="00AC4DA6"/>
    <w:rsid w:val="00AC5E87"/>
    <w:rsid w:val="00AC63DC"/>
    <w:rsid w:val="00AC6764"/>
    <w:rsid w:val="00AC6C55"/>
    <w:rsid w:val="00AC6E9F"/>
    <w:rsid w:val="00AD04EB"/>
    <w:rsid w:val="00AD079F"/>
    <w:rsid w:val="00AD099A"/>
    <w:rsid w:val="00AD0ED5"/>
    <w:rsid w:val="00AD0EEE"/>
    <w:rsid w:val="00AD0F45"/>
    <w:rsid w:val="00AD2286"/>
    <w:rsid w:val="00AD3B1D"/>
    <w:rsid w:val="00AD44F0"/>
    <w:rsid w:val="00AD46F0"/>
    <w:rsid w:val="00AD49CC"/>
    <w:rsid w:val="00AD4E21"/>
    <w:rsid w:val="00AD50BE"/>
    <w:rsid w:val="00AD52D7"/>
    <w:rsid w:val="00AD58BF"/>
    <w:rsid w:val="00AD5DEA"/>
    <w:rsid w:val="00AD5E8C"/>
    <w:rsid w:val="00AD5EC3"/>
    <w:rsid w:val="00AD6538"/>
    <w:rsid w:val="00AD76C9"/>
    <w:rsid w:val="00AD7770"/>
    <w:rsid w:val="00AD7F14"/>
    <w:rsid w:val="00AD7FAF"/>
    <w:rsid w:val="00AE0915"/>
    <w:rsid w:val="00AE0D23"/>
    <w:rsid w:val="00AE1505"/>
    <w:rsid w:val="00AE1D18"/>
    <w:rsid w:val="00AE1D92"/>
    <w:rsid w:val="00AE1EE6"/>
    <w:rsid w:val="00AE1F7D"/>
    <w:rsid w:val="00AE22F5"/>
    <w:rsid w:val="00AE2BF9"/>
    <w:rsid w:val="00AE2CC3"/>
    <w:rsid w:val="00AE307B"/>
    <w:rsid w:val="00AE3253"/>
    <w:rsid w:val="00AE381D"/>
    <w:rsid w:val="00AE4681"/>
    <w:rsid w:val="00AE4EFB"/>
    <w:rsid w:val="00AE4F06"/>
    <w:rsid w:val="00AE55A8"/>
    <w:rsid w:val="00AE5604"/>
    <w:rsid w:val="00AE61A5"/>
    <w:rsid w:val="00AE636B"/>
    <w:rsid w:val="00AE6722"/>
    <w:rsid w:val="00AE70FA"/>
    <w:rsid w:val="00AE77A1"/>
    <w:rsid w:val="00AF017D"/>
    <w:rsid w:val="00AF1076"/>
    <w:rsid w:val="00AF1E0B"/>
    <w:rsid w:val="00AF2094"/>
    <w:rsid w:val="00AF20EE"/>
    <w:rsid w:val="00AF24E4"/>
    <w:rsid w:val="00AF29F3"/>
    <w:rsid w:val="00AF2D94"/>
    <w:rsid w:val="00AF2DF9"/>
    <w:rsid w:val="00AF3FE8"/>
    <w:rsid w:val="00AF4117"/>
    <w:rsid w:val="00AF431B"/>
    <w:rsid w:val="00AF45EA"/>
    <w:rsid w:val="00AF4BBB"/>
    <w:rsid w:val="00AF4D5F"/>
    <w:rsid w:val="00AF56B5"/>
    <w:rsid w:val="00AF5A32"/>
    <w:rsid w:val="00AF6599"/>
    <w:rsid w:val="00AF660B"/>
    <w:rsid w:val="00AF712D"/>
    <w:rsid w:val="00AF7ED6"/>
    <w:rsid w:val="00B00265"/>
    <w:rsid w:val="00B00C2F"/>
    <w:rsid w:val="00B0191D"/>
    <w:rsid w:val="00B01B69"/>
    <w:rsid w:val="00B01FB1"/>
    <w:rsid w:val="00B02219"/>
    <w:rsid w:val="00B0320E"/>
    <w:rsid w:val="00B03470"/>
    <w:rsid w:val="00B03D3F"/>
    <w:rsid w:val="00B04342"/>
    <w:rsid w:val="00B04479"/>
    <w:rsid w:val="00B04CB1"/>
    <w:rsid w:val="00B04FC0"/>
    <w:rsid w:val="00B055A0"/>
    <w:rsid w:val="00B06AB2"/>
    <w:rsid w:val="00B07B7E"/>
    <w:rsid w:val="00B07BFC"/>
    <w:rsid w:val="00B07C75"/>
    <w:rsid w:val="00B07E02"/>
    <w:rsid w:val="00B108D6"/>
    <w:rsid w:val="00B11128"/>
    <w:rsid w:val="00B11418"/>
    <w:rsid w:val="00B114E1"/>
    <w:rsid w:val="00B11533"/>
    <w:rsid w:val="00B11F4F"/>
    <w:rsid w:val="00B125AA"/>
    <w:rsid w:val="00B1286E"/>
    <w:rsid w:val="00B12E3E"/>
    <w:rsid w:val="00B12EBE"/>
    <w:rsid w:val="00B12F5C"/>
    <w:rsid w:val="00B1353D"/>
    <w:rsid w:val="00B13DF5"/>
    <w:rsid w:val="00B162F2"/>
    <w:rsid w:val="00B163AC"/>
    <w:rsid w:val="00B165BA"/>
    <w:rsid w:val="00B16BF3"/>
    <w:rsid w:val="00B16C1A"/>
    <w:rsid w:val="00B16DF2"/>
    <w:rsid w:val="00B17B77"/>
    <w:rsid w:val="00B17EAB"/>
    <w:rsid w:val="00B20263"/>
    <w:rsid w:val="00B2058E"/>
    <w:rsid w:val="00B205D7"/>
    <w:rsid w:val="00B20C02"/>
    <w:rsid w:val="00B20C54"/>
    <w:rsid w:val="00B20F55"/>
    <w:rsid w:val="00B21720"/>
    <w:rsid w:val="00B22BB6"/>
    <w:rsid w:val="00B234B2"/>
    <w:rsid w:val="00B235FB"/>
    <w:rsid w:val="00B24642"/>
    <w:rsid w:val="00B24A30"/>
    <w:rsid w:val="00B24FEB"/>
    <w:rsid w:val="00B257EE"/>
    <w:rsid w:val="00B2580C"/>
    <w:rsid w:val="00B25F7E"/>
    <w:rsid w:val="00B26814"/>
    <w:rsid w:val="00B26A40"/>
    <w:rsid w:val="00B27420"/>
    <w:rsid w:val="00B274C3"/>
    <w:rsid w:val="00B27ABE"/>
    <w:rsid w:val="00B27C77"/>
    <w:rsid w:val="00B27E3D"/>
    <w:rsid w:val="00B27E8F"/>
    <w:rsid w:val="00B27FA2"/>
    <w:rsid w:val="00B30128"/>
    <w:rsid w:val="00B302C8"/>
    <w:rsid w:val="00B30C4D"/>
    <w:rsid w:val="00B30D80"/>
    <w:rsid w:val="00B3146C"/>
    <w:rsid w:val="00B31FA9"/>
    <w:rsid w:val="00B32119"/>
    <w:rsid w:val="00B3223B"/>
    <w:rsid w:val="00B32A94"/>
    <w:rsid w:val="00B332E7"/>
    <w:rsid w:val="00B33956"/>
    <w:rsid w:val="00B340C1"/>
    <w:rsid w:val="00B34D4D"/>
    <w:rsid w:val="00B34E1B"/>
    <w:rsid w:val="00B35972"/>
    <w:rsid w:val="00B35D8F"/>
    <w:rsid w:val="00B366B7"/>
    <w:rsid w:val="00B36913"/>
    <w:rsid w:val="00B37600"/>
    <w:rsid w:val="00B37BF8"/>
    <w:rsid w:val="00B4053D"/>
    <w:rsid w:val="00B40C4D"/>
    <w:rsid w:val="00B40DE8"/>
    <w:rsid w:val="00B412DB"/>
    <w:rsid w:val="00B41CA3"/>
    <w:rsid w:val="00B41D2F"/>
    <w:rsid w:val="00B41E3B"/>
    <w:rsid w:val="00B4207F"/>
    <w:rsid w:val="00B42255"/>
    <w:rsid w:val="00B422C9"/>
    <w:rsid w:val="00B4232F"/>
    <w:rsid w:val="00B42B28"/>
    <w:rsid w:val="00B43489"/>
    <w:rsid w:val="00B4420E"/>
    <w:rsid w:val="00B442A5"/>
    <w:rsid w:val="00B44375"/>
    <w:rsid w:val="00B448A8"/>
    <w:rsid w:val="00B4515F"/>
    <w:rsid w:val="00B45339"/>
    <w:rsid w:val="00B457F6"/>
    <w:rsid w:val="00B45979"/>
    <w:rsid w:val="00B45C0C"/>
    <w:rsid w:val="00B4607F"/>
    <w:rsid w:val="00B4647D"/>
    <w:rsid w:val="00B46F34"/>
    <w:rsid w:val="00B473E1"/>
    <w:rsid w:val="00B479FA"/>
    <w:rsid w:val="00B508D0"/>
    <w:rsid w:val="00B50D95"/>
    <w:rsid w:val="00B50FDC"/>
    <w:rsid w:val="00B51046"/>
    <w:rsid w:val="00B5113F"/>
    <w:rsid w:val="00B518D3"/>
    <w:rsid w:val="00B5193F"/>
    <w:rsid w:val="00B5250A"/>
    <w:rsid w:val="00B5269B"/>
    <w:rsid w:val="00B527CA"/>
    <w:rsid w:val="00B5280A"/>
    <w:rsid w:val="00B52F39"/>
    <w:rsid w:val="00B53702"/>
    <w:rsid w:val="00B53AFB"/>
    <w:rsid w:val="00B53C0A"/>
    <w:rsid w:val="00B53D18"/>
    <w:rsid w:val="00B53F89"/>
    <w:rsid w:val="00B54265"/>
    <w:rsid w:val="00B545AD"/>
    <w:rsid w:val="00B5507C"/>
    <w:rsid w:val="00B555FA"/>
    <w:rsid w:val="00B5560C"/>
    <w:rsid w:val="00B55BA6"/>
    <w:rsid w:val="00B57B1B"/>
    <w:rsid w:val="00B57CCC"/>
    <w:rsid w:val="00B57FC5"/>
    <w:rsid w:val="00B601C7"/>
    <w:rsid w:val="00B608E3"/>
    <w:rsid w:val="00B60B9F"/>
    <w:rsid w:val="00B622DA"/>
    <w:rsid w:val="00B6333A"/>
    <w:rsid w:val="00B63848"/>
    <w:rsid w:val="00B63A01"/>
    <w:rsid w:val="00B63E95"/>
    <w:rsid w:val="00B63F45"/>
    <w:rsid w:val="00B641A7"/>
    <w:rsid w:val="00B64B98"/>
    <w:rsid w:val="00B64CA1"/>
    <w:rsid w:val="00B659EF"/>
    <w:rsid w:val="00B67F25"/>
    <w:rsid w:val="00B700A1"/>
    <w:rsid w:val="00B704F7"/>
    <w:rsid w:val="00B70C47"/>
    <w:rsid w:val="00B70F48"/>
    <w:rsid w:val="00B710DE"/>
    <w:rsid w:val="00B710E1"/>
    <w:rsid w:val="00B7118B"/>
    <w:rsid w:val="00B7130D"/>
    <w:rsid w:val="00B7136A"/>
    <w:rsid w:val="00B71E4F"/>
    <w:rsid w:val="00B71F64"/>
    <w:rsid w:val="00B72455"/>
    <w:rsid w:val="00B72D05"/>
    <w:rsid w:val="00B735A3"/>
    <w:rsid w:val="00B737D1"/>
    <w:rsid w:val="00B7410F"/>
    <w:rsid w:val="00B7486A"/>
    <w:rsid w:val="00B7575E"/>
    <w:rsid w:val="00B75BE7"/>
    <w:rsid w:val="00B761B3"/>
    <w:rsid w:val="00B76238"/>
    <w:rsid w:val="00B76745"/>
    <w:rsid w:val="00B77365"/>
    <w:rsid w:val="00B77A1C"/>
    <w:rsid w:val="00B77E9D"/>
    <w:rsid w:val="00B8002A"/>
    <w:rsid w:val="00B80112"/>
    <w:rsid w:val="00B80AD5"/>
    <w:rsid w:val="00B80AD9"/>
    <w:rsid w:val="00B80B04"/>
    <w:rsid w:val="00B81C91"/>
    <w:rsid w:val="00B81F8A"/>
    <w:rsid w:val="00B82231"/>
    <w:rsid w:val="00B8323F"/>
    <w:rsid w:val="00B84731"/>
    <w:rsid w:val="00B84A1B"/>
    <w:rsid w:val="00B84B1D"/>
    <w:rsid w:val="00B85301"/>
    <w:rsid w:val="00B85371"/>
    <w:rsid w:val="00B85460"/>
    <w:rsid w:val="00B855A8"/>
    <w:rsid w:val="00B85ACE"/>
    <w:rsid w:val="00B85BFC"/>
    <w:rsid w:val="00B8610C"/>
    <w:rsid w:val="00B86631"/>
    <w:rsid w:val="00B8699D"/>
    <w:rsid w:val="00B9009E"/>
    <w:rsid w:val="00B90570"/>
    <w:rsid w:val="00B90C3E"/>
    <w:rsid w:val="00B9106E"/>
    <w:rsid w:val="00B911C4"/>
    <w:rsid w:val="00B91657"/>
    <w:rsid w:val="00B91890"/>
    <w:rsid w:val="00B919E6"/>
    <w:rsid w:val="00B91F5F"/>
    <w:rsid w:val="00B925BE"/>
    <w:rsid w:val="00B925D1"/>
    <w:rsid w:val="00B927C1"/>
    <w:rsid w:val="00B928A1"/>
    <w:rsid w:val="00B92918"/>
    <w:rsid w:val="00B9310F"/>
    <w:rsid w:val="00B9319A"/>
    <w:rsid w:val="00B931EA"/>
    <w:rsid w:val="00B93C98"/>
    <w:rsid w:val="00B941C9"/>
    <w:rsid w:val="00B94C7C"/>
    <w:rsid w:val="00B951A4"/>
    <w:rsid w:val="00B95661"/>
    <w:rsid w:val="00B9571F"/>
    <w:rsid w:val="00B95D43"/>
    <w:rsid w:val="00B96B7B"/>
    <w:rsid w:val="00B974FD"/>
    <w:rsid w:val="00BA106F"/>
    <w:rsid w:val="00BA12E6"/>
    <w:rsid w:val="00BA13E4"/>
    <w:rsid w:val="00BA1582"/>
    <w:rsid w:val="00BA22B0"/>
    <w:rsid w:val="00BA2AA7"/>
    <w:rsid w:val="00BA302B"/>
    <w:rsid w:val="00BA337D"/>
    <w:rsid w:val="00BA338A"/>
    <w:rsid w:val="00BA34D8"/>
    <w:rsid w:val="00BA3517"/>
    <w:rsid w:val="00BA3AEA"/>
    <w:rsid w:val="00BA40D9"/>
    <w:rsid w:val="00BA4F11"/>
    <w:rsid w:val="00BA53EF"/>
    <w:rsid w:val="00BA5705"/>
    <w:rsid w:val="00BA5810"/>
    <w:rsid w:val="00BA5E47"/>
    <w:rsid w:val="00BA6351"/>
    <w:rsid w:val="00BA7040"/>
    <w:rsid w:val="00BA7901"/>
    <w:rsid w:val="00BB026E"/>
    <w:rsid w:val="00BB032F"/>
    <w:rsid w:val="00BB0647"/>
    <w:rsid w:val="00BB106A"/>
    <w:rsid w:val="00BB1422"/>
    <w:rsid w:val="00BB145F"/>
    <w:rsid w:val="00BB16DB"/>
    <w:rsid w:val="00BB1F8E"/>
    <w:rsid w:val="00BB248E"/>
    <w:rsid w:val="00BB24F2"/>
    <w:rsid w:val="00BB2AF3"/>
    <w:rsid w:val="00BB341D"/>
    <w:rsid w:val="00BB41BB"/>
    <w:rsid w:val="00BB48A3"/>
    <w:rsid w:val="00BB56BF"/>
    <w:rsid w:val="00BB58AF"/>
    <w:rsid w:val="00BB6321"/>
    <w:rsid w:val="00BB697C"/>
    <w:rsid w:val="00BB7032"/>
    <w:rsid w:val="00BB73EB"/>
    <w:rsid w:val="00BC037D"/>
    <w:rsid w:val="00BC04DB"/>
    <w:rsid w:val="00BC06C9"/>
    <w:rsid w:val="00BC0E7F"/>
    <w:rsid w:val="00BC132E"/>
    <w:rsid w:val="00BC1A4C"/>
    <w:rsid w:val="00BC2CE1"/>
    <w:rsid w:val="00BC34EE"/>
    <w:rsid w:val="00BC354D"/>
    <w:rsid w:val="00BC3684"/>
    <w:rsid w:val="00BC40A9"/>
    <w:rsid w:val="00BC46CC"/>
    <w:rsid w:val="00BC49C2"/>
    <w:rsid w:val="00BC5020"/>
    <w:rsid w:val="00BC56EF"/>
    <w:rsid w:val="00BC5CEC"/>
    <w:rsid w:val="00BC6210"/>
    <w:rsid w:val="00BC66F9"/>
    <w:rsid w:val="00BC69AF"/>
    <w:rsid w:val="00BC7190"/>
    <w:rsid w:val="00BC7A42"/>
    <w:rsid w:val="00BD0753"/>
    <w:rsid w:val="00BD132F"/>
    <w:rsid w:val="00BD1AA0"/>
    <w:rsid w:val="00BD1F32"/>
    <w:rsid w:val="00BD2B2D"/>
    <w:rsid w:val="00BD2BB5"/>
    <w:rsid w:val="00BD354F"/>
    <w:rsid w:val="00BD362D"/>
    <w:rsid w:val="00BD40E4"/>
    <w:rsid w:val="00BD416A"/>
    <w:rsid w:val="00BD474E"/>
    <w:rsid w:val="00BD5D20"/>
    <w:rsid w:val="00BD5D63"/>
    <w:rsid w:val="00BD5EED"/>
    <w:rsid w:val="00BD6A2E"/>
    <w:rsid w:val="00BD752E"/>
    <w:rsid w:val="00BD7DC4"/>
    <w:rsid w:val="00BE108F"/>
    <w:rsid w:val="00BE133F"/>
    <w:rsid w:val="00BE14BA"/>
    <w:rsid w:val="00BE15E1"/>
    <w:rsid w:val="00BE191C"/>
    <w:rsid w:val="00BE33CA"/>
    <w:rsid w:val="00BE34F9"/>
    <w:rsid w:val="00BE3A2C"/>
    <w:rsid w:val="00BE3AA3"/>
    <w:rsid w:val="00BE43A8"/>
    <w:rsid w:val="00BE4AC3"/>
    <w:rsid w:val="00BE4B82"/>
    <w:rsid w:val="00BE548E"/>
    <w:rsid w:val="00BE54EC"/>
    <w:rsid w:val="00BE55EC"/>
    <w:rsid w:val="00BE5BE9"/>
    <w:rsid w:val="00BE5D83"/>
    <w:rsid w:val="00BE5E10"/>
    <w:rsid w:val="00BE6225"/>
    <w:rsid w:val="00BE629B"/>
    <w:rsid w:val="00BE6AA2"/>
    <w:rsid w:val="00BE6EAB"/>
    <w:rsid w:val="00BE7904"/>
    <w:rsid w:val="00BE7E2E"/>
    <w:rsid w:val="00BF0071"/>
    <w:rsid w:val="00BF153A"/>
    <w:rsid w:val="00BF1A4E"/>
    <w:rsid w:val="00BF1DA4"/>
    <w:rsid w:val="00BF2ABC"/>
    <w:rsid w:val="00BF3259"/>
    <w:rsid w:val="00BF3AEF"/>
    <w:rsid w:val="00BF431F"/>
    <w:rsid w:val="00BF4505"/>
    <w:rsid w:val="00BF4DAA"/>
    <w:rsid w:val="00BF5DD5"/>
    <w:rsid w:val="00BF5E1E"/>
    <w:rsid w:val="00BF7203"/>
    <w:rsid w:val="00BF79A1"/>
    <w:rsid w:val="00BF7A93"/>
    <w:rsid w:val="00BF7F3C"/>
    <w:rsid w:val="00C00067"/>
    <w:rsid w:val="00C00073"/>
    <w:rsid w:val="00C00332"/>
    <w:rsid w:val="00C0061A"/>
    <w:rsid w:val="00C00ADD"/>
    <w:rsid w:val="00C00D3A"/>
    <w:rsid w:val="00C01AE5"/>
    <w:rsid w:val="00C01DA2"/>
    <w:rsid w:val="00C021ED"/>
    <w:rsid w:val="00C022AF"/>
    <w:rsid w:val="00C03CB2"/>
    <w:rsid w:val="00C04057"/>
    <w:rsid w:val="00C04B61"/>
    <w:rsid w:val="00C04CAD"/>
    <w:rsid w:val="00C053A5"/>
    <w:rsid w:val="00C0665B"/>
    <w:rsid w:val="00C06E8D"/>
    <w:rsid w:val="00C06F4D"/>
    <w:rsid w:val="00C07734"/>
    <w:rsid w:val="00C077C1"/>
    <w:rsid w:val="00C07B93"/>
    <w:rsid w:val="00C07EE3"/>
    <w:rsid w:val="00C112A7"/>
    <w:rsid w:val="00C11373"/>
    <w:rsid w:val="00C11730"/>
    <w:rsid w:val="00C1177F"/>
    <w:rsid w:val="00C11E0A"/>
    <w:rsid w:val="00C11FD6"/>
    <w:rsid w:val="00C121AE"/>
    <w:rsid w:val="00C12223"/>
    <w:rsid w:val="00C12AE9"/>
    <w:rsid w:val="00C1307F"/>
    <w:rsid w:val="00C131C3"/>
    <w:rsid w:val="00C13D74"/>
    <w:rsid w:val="00C13F32"/>
    <w:rsid w:val="00C1422E"/>
    <w:rsid w:val="00C14ECA"/>
    <w:rsid w:val="00C15369"/>
    <w:rsid w:val="00C155E1"/>
    <w:rsid w:val="00C15F7D"/>
    <w:rsid w:val="00C16D03"/>
    <w:rsid w:val="00C17168"/>
    <w:rsid w:val="00C17292"/>
    <w:rsid w:val="00C173EE"/>
    <w:rsid w:val="00C17F50"/>
    <w:rsid w:val="00C2008D"/>
    <w:rsid w:val="00C20418"/>
    <w:rsid w:val="00C215F7"/>
    <w:rsid w:val="00C21A60"/>
    <w:rsid w:val="00C21A67"/>
    <w:rsid w:val="00C21A8D"/>
    <w:rsid w:val="00C22888"/>
    <w:rsid w:val="00C22D4A"/>
    <w:rsid w:val="00C23586"/>
    <w:rsid w:val="00C24670"/>
    <w:rsid w:val="00C24FB1"/>
    <w:rsid w:val="00C250CD"/>
    <w:rsid w:val="00C25195"/>
    <w:rsid w:val="00C254AA"/>
    <w:rsid w:val="00C256C1"/>
    <w:rsid w:val="00C26C3F"/>
    <w:rsid w:val="00C27C7E"/>
    <w:rsid w:val="00C30430"/>
    <w:rsid w:val="00C3092E"/>
    <w:rsid w:val="00C30AA5"/>
    <w:rsid w:val="00C30AF3"/>
    <w:rsid w:val="00C3104B"/>
    <w:rsid w:val="00C3154C"/>
    <w:rsid w:val="00C31594"/>
    <w:rsid w:val="00C32738"/>
    <w:rsid w:val="00C32A90"/>
    <w:rsid w:val="00C33216"/>
    <w:rsid w:val="00C33C8E"/>
    <w:rsid w:val="00C341D3"/>
    <w:rsid w:val="00C34B7C"/>
    <w:rsid w:val="00C352DA"/>
    <w:rsid w:val="00C35C75"/>
    <w:rsid w:val="00C361D8"/>
    <w:rsid w:val="00C361EB"/>
    <w:rsid w:val="00C361F6"/>
    <w:rsid w:val="00C36CDC"/>
    <w:rsid w:val="00C37D60"/>
    <w:rsid w:val="00C40291"/>
    <w:rsid w:val="00C4098E"/>
    <w:rsid w:val="00C4106D"/>
    <w:rsid w:val="00C41131"/>
    <w:rsid w:val="00C41681"/>
    <w:rsid w:val="00C41815"/>
    <w:rsid w:val="00C422E9"/>
    <w:rsid w:val="00C42687"/>
    <w:rsid w:val="00C42FA7"/>
    <w:rsid w:val="00C430FC"/>
    <w:rsid w:val="00C433FF"/>
    <w:rsid w:val="00C43A07"/>
    <w:rsid w:val="00C43D2E"/>
    <w:rsid w:val="00C43DB3"/>
    <w:rsid w:val="00C43F65"/>
    <w:rsid w:val="00C44C88"/>
    <w:rsid w:val="00C450DF"/>
    <w:rsid w:val="00C45D11"/>
    <w:rsid w:val="00C465E7"/>
    <w:rsid w:val="00C466D4"/>
    <w:rsid w:val="00C46CBF"/>
    <w:rsid w:val="00C47301"/>
    <w:rsid w:val="00C47381"/>
    <w:rsid w:val="00C47648"/>
    <w:rsid w:val="00C47EAD"/>
    <w:rsid w:val="00C50451"/>
    <w:rsid w:val="00C50784"/>
    <w:rsid w:val="00C5113B"/>
    <w:rsid w:val="00C51744"/>
    <w:rsid w:val="00C517F0"/>
    <w:rsid w:val="00C520BE"/>
    <w:rsid w:val="00C52302"/>
    <w:rsid w:val="00C5286D"/>
    <w:rsid w:val="00C5287E"/>
    <w:rsid w:val="00C52A7A"/>
    <w:rsid w:val="00C52F29"/>
    <w:rsid w:val="00C53857"/>
    <w:rsid w:val="00C54B22"/>
    <w:rsid w:val="00C54B73"/>
    <w:rsid w:val="00C55070"/>
    <w:rsid w:val="00C55587"/>
    <w:rsid w:val="00C565F2"/>
    <w:rsid w:val="00C56A22"/>
    <w:rsid w:val="00C56A82"/>
    <w:rsid w:val="00C5749D"/>
    <w:rsid w:val="00C57914"/>
    <w:rsid w:val="00C57B10"/>
    <w:rsid w:val="00C57FDD"/>
    <w:rsid w:val="00C600EB"/>
    <w:rsid w:val="00C60FB5"/>
    <w:rsid w:val="00C6149E"/>
    <w:rsid w:val="00C61E7F"/>
    <w:rsid w:val="00C62C37"/>
    <w:rsid w:val="00C63774"/>
    <w:rsid w:val="00C637AE"/>
    <w:rsid w:val="00C63B3F"/>
    <w:rsid w:val="00C64590"/>
    <w:rsid w:val="00C64D65"/>
    <w:rsid w:val="00C65354"/>
    <w:rsid w:val="00C6571C"/>
    <w:rsid w:val="00C65945"/>
    <w:rsid w:val="00C65E90"/>
    <w:rsid w:val="00C66958"/>
    <w:rsid w:val="00C66B5C"/>
    <w:rsid w:val="00C671C6"/>
    <w:rsid w:val="00C7008A"/>
    <w:rsid w:val="00C7062D"/>
    <w:rsid w:val="00C70EFB"/>
    <w:rsid w:val="00C715F5"/>
    <w:rsid w:val="00C71883"/>
    <w:rsid w:val="00C71FD4"/>
    <w:rsid w:val="00C721AD"/>
    <w:rsid w:val="00C722C4"/>
    <w:rsid w:val="00C7314A"/>
    <w:rsid w:val="00C732B2"/>
    <w:rsid w:val="00C735B9"/>
    <w:rsid w:val="00C737BB"/>
    <w:rsid w:val="00C738E2"/>
    <w:rsid w:val="00C744A1"/>
    <w:rsid w:val="00C7494D"/>
    <w:rsid w:val="00C74AED"/>
    <w:rsid w:val="00C74BEA"/>
    <w:rsid w:val="00C7507B"/>
    <w:rsid w:val="00C7519C"/>
    <w:rsid w:val="00C75293"/>
    <w:rsid w:val="00C7568B"/>
    <w:rsid w:val="00C766EE"/>
    <w:rsid w:val="00C76775"/>
    <w:rsid w:val="00C768ED"/>
    <w:rsid w:val="00C76F16"/>
    <w:rsid w:val="00C76FFC"/>
    <w:rsid w:val="00C80690"/>
    <w:rsid w:val="00C81002"/>
    <w:rsid w:val="00C81570"/>
    <w:rsid w:val="00C82449"/>
    <w:rsid w:val="00C82B5B"/>
    <w:rsid w:val="00C830FB"/>
    <w:rsid w:val="00C8317F"/>
    <w:rsid w:val="00C83331"/>
    <w:rsid w:val="00C83AE1"/>
    <w:rsid w:val="00C83E5D"/>
    <w:rsid w:val="00C83F89"/>
    <w:rsid w:val="00C84963"/>
    <w:rsid w:val="00C84C6F"/>
    <w:rsid w:val="00C85418"/>
    <w:rsid w:val="00C854CD"/>
    <w:rsid w:val="00C8592E"/>
    <w:rsid w:val="00C85BE6"/>
    <w:rsid w:val="00C85F50"/>
    <w:rsid w:val="00C85F5D"/>
    <w:rsid w:val="00C86479"/>
    <w:rsid w:val="00C869F0"/>
    <w:rsid w:val="00C86D70"/>
    <w:rsid w:val="00C86DBA"/>
    <w:rsid w:val="00C8701F"/>
    <w:rsid w:val="00C878D5"/>
    <w:rsid w:val="00C87DF2"/>
    <w:rsid w:val="00C87F20"/>
    <w:rsid w:val="00C90269"/>
    <w:rsid w:val="00C902E5"/>
    <w:rsid w:val="00C90586"/>
    <w:rsid w:val="00C919F3"/>
    <w:rsid w:val="00C91CB7"/>
    <w:rsid w:val="00C91EEB"/>
    <w:rsid w:val="00C9220A"/>
    <w:rsid w:val="00C9265E"/>
    <w:rsid w:val="00C92E23"/>
    <w:rsid w:val="00C93501"/>
    <w:rsid w:val="00C935E8"/>
    <w:rsid w:val="00C93A28"/>
    <w:rsid w:val="00C945FF"/>
    <w:rsid w:val="00C948A9"/>
    <w:rsid w:val="00C94A75"/>
    <w:rsid w:val="00C94F72"/>
    <w:rsid w:val="00C9624F"/>
    <w:rsid w:val="00C9658A"/>
    <w:rsid w:val="00C9676D"/>
    <w:rsid w:val="00C968D1"/>
    <w:rsid w:val="00C969E3"/>
    <w:rsid w:val="00C97036"/>
    <w:rsid w:val="00C975CF"/>
    <w:rsid w:val="00C975D6"/>
    <w:rsid w:val="00C97890"/>
    <w:rsid w:val="00C97920"/>
    <w:rsid w:val="00CA06A2"/>
    <w:rsid w:val="00CA096B"/>
    <w:rsid w:val="00CA0A23"/>
    <w:rsid w:val="00CA1B88"/>
    <w:rsid w:val="00CA2075"/>
    <w:rsid w:val="00CA2E11"/>
    <w:rsid w:val="00CA33C3"/>
    <w:rsid w:val="00CA365B"/>
    <w:rsid w:val="00CA37CA"/>
    <w:rsid w:val="00CA3897"/>
    <w:rsid w:val="00CA3B95"/>
    <w:rsid w:val="00CA3D28"/>
    <w:rsid w:val="00CA49E7"/>
    <w:rsid w:val="00CA4C5A"/>
    <w:rsid w:val="00CA51C8"/>
    <w:rsid w:val="00CA52A9"/>
    <w:rsid w:val="00CA665E"/>
    <w:rsid w:val="00CA6FFC"/>
    <w:rsid w:val="00CA7268"/>
    <w:rsid w:val="00CA7617"/>
    <w:rsid w:val="00CB0548"/>
    <w:rsid w:val="00CB0ED5"/>
    <w:rsid w:val="00CB18FA"/>
    <w:rsid w:val="00CB1C78"/>
    <w:rsid w:val="00CB1D53"/>
    <w:rsid w:val="00CB25DF"/>
    <w:rsid w:val="00CB282F"/>
    <w:rsid w:val="00CB2A6C"/>
    <w:rsid w:val="00CB3C2B"/>
    <w:rsid w:val="00CB3CDB"/>
    <w:rsid w:val="00CB3D8E"/>
    <w:rsid w:val="00CB4742"/>
    <w:rsid w:val="00CB499F"/>
    <w:rsid w:val="00CB49CF"/>
    <w:rsid w:val="00CB4AA5"/>
    <w:rsid w:val="00CB5919"/>
    <w:rsid w:val="00CB63ED"/>
    <w:rsid w:val="00CB7787"/>
    <w:rsid w:val="00CB7A0B"/>
    <w:rsid w:val="00CB7C77"/>
    <w:rsid w:val="00CB7FEE"/>
    <w:rsid w:val="00CC04E0"/>
    <w:rsid w:val="00CC0759"/>
    <w:rsid w:val="00CC0AFD"/>
    <w:rsid w:val="00CC0C1E"/>
    <w:rsid w:val="00CC1144"/>
    <w:rsid w:val="00CC2F3B"/>
    <w:rsid w:val="00CC431D"/>
    <w:rsid w:val="00CC49F5"/>
    <w:rsid w:val="00CC5867"/>
    <w:rsid w:val="00CC6770"/>
    <w:rsid w:val="00CC67BA"/>
    <w:rsid w:val="00CC6AE3"/>
    <w:rsid w:val="00CC76DD"/>
    <w:rsid w:val="00CC7C85"/>
    <w:rsid w:val="00CC7E0D"/>
    <w:rsid w:val="00CD0238"/>
    <w:rsid w:val="00CD055D"/>
    <w:rsid w:val="00CD0747"/>
    <w:rsid w:val="00CD11E0"/>
    <w:rsid w:val="00CD15F4"/>
    <w:rsid w:val="00CD1788"/>
    <w:rsid w:val="00CD18D8"/>
    <w:rsid w:val="00CD21F8"/>
    <w:rsid w:val="00CD24FD"/>
    <w:rsid w:val="00CD2C9E"/>
    <w:rsid w:val="00CD32E8"/>
    <w:rsid w:val="00CD3719"/>
    <w:rsid w:val="00CD3E45"/>
    <w:rsid w:val="00CD4223"/>
    <w:rsid w:val="00CD4B57"/>
    <w:rsid w:val="00CD52A9"/>
    <w:rsid w:val="00CD5645"/>
    <w:rsid w:val="00CD566E"/>
    <w:rsid w:val="00CD631E"/>
    <w:rsid w:val="00CD6657"/>
    <w:rsid w:val="00CD6787"/>
    <w:rsid w:val="00CD6B34"/>
    <w:rsid w:val="00CD73CF"/>
    <w:rsid w:val="00CD7974"/>
    <w:rsid w:val="00CE02CC"/>
    <w:rsid w:val="00CE0ACD"/>
    <w:rsid w:val="00CE0F79"/>
    <w:rsid w:val="00CE1776"/>
    <w:rsid w:val="00CE3329"/>
    <w:rsid w:val="00CE3497"/>
    <w:rsid w:val="00CE3D22"/>
    <w:rsid w:val="00CE4711"/>
    <w:rsid w:val="00CE56DF"/>
    <w:rsid w:val="00CE5A51"/>
    <w:rsid w:val="00CE5AFB"/>
    <w:rsid w:val="00CE5EC9"/>
    <w:rsid w:val="00CE6458"/>
    <w:rsid w:val="00CE655B"/>
    <w:rsid w:val="00CE6A5B"/>
    <w:rsid w:val="00CE6D7D"/>
    <w:rsid w:val="00CE73E8"/>
    <w:rsid w:val="00CE7474"/>
    <w:rsid w:val="00CE7D00"/>
    <w:rsid w:val="00CF009B"/>
    <w:rsid w:val="00CF0C90"/>
    <w:rsid w:val="00CF0D3E"/>
    <w:rsid w:val="00CF179E"/>
    <w:rsid w:val="00CF1BCC"/>
    <w:rsid w:val="00CF1BEF"/>
    <w:rsid w:val="00CF38E8"/>
    <w:rsid w:val="00CF416B"/>
    <w:rsid w:val="00CF4BF5"/>
    <w:rsid w:val="00CF4E32"/>
    <w:rsid w:val="00CF50AF"/>
    <w:rsid w:val="00CF5418"/>
    <w:rsid w:val="00CF5E33"/>
    <w:rsid w:val="00CF6342"/>
    <w:rsid w:val="00CF717C"/>
    <w:rsid w:val="00CF7211"/>
    <w:rsid w:val="00CF77E4"/>
    <w:rsid w:val="00CF7AF5"/>
    <w:rsid w:val="00CF7F04"/>
    <w:rsid w:val="00D00965"/>
    <w:rsid w:val="00D02E6F"/>
    <w:rsid w:val="00D0329A"/>
    <w:rsid w:val="00D032AD"/>
    <w:rsid w:val="00D03A83"/>
    <w:rsid w:val="00D03B41"/>
    <w:rsid w:val="00D03E57"/>
    <w:rsid w:val="00D03F87"/>
    <w:rsid w:val="00D04159"/>
    <w:rsid w:val="00D0425A"/>
    <w:rsid w:val="00D04EF2"/>
    <w:rsid w:val="00D04FDF"/>
    <w:rsid w:val="00D05148"/>
    <w:rsid w:val="00D0642F"/>
    <w:rsid w:val="00D06626"/>
    <w:rsid w:val="00D06D2E"/>
    <w:rsid w:val="00D071E9"/>
    <w:rsid w:val="00D075B7"/>
    <w:rsid w:val="00D10000"/>
    <w:rsid w:val="00D10730"/>
    <w:rsid w:val="00D1118D"/>
    <w:rsid w:val="00D1138D"/>
    <w:rsid w:val="00D1139E"/>
    <w:rsid w:val="00D11787"/>
    <w:rsid w:val="00D12A87"/>
    <w:rsid w:val="00D12B85"/>
    <w:rsid w:val="00D136FB"/>
    <w:rsid w:val="00D13D15"/>
    <w:rsid w:val="00D14066"/>
    <w:rsid w:val="00D14131"/>
    <w:rsid w:val="00D14973"/>
    <w:rsid w:val="00D157D8"/>
    <w:rsid w:val="00D15AA0"/>
    <w:rsid w:val="00D15DE4"/>
    <w:rsid w:val="00D15EA9"/>
    <w:rsid w:val="00D16292"/>
    <w:rsid w:val="00D1693B"/>
    <w:rsid w:val="00D16C6C"/>
    <w:rsid w:val="00D16FC1"/>
    <w:rsid w:val="00D201CD"/>
    <w:rsid w:val="00D20672"/>
    <w:rsid w:val="00D23241"/>
    <w:rsid w:val="00D23A36"/>
    <w:rsid w:val="00D23FFF"/>
    <w:rsid w:val="00D24729"/>
    <w:rsid w:val="00D250E4"/>
    <w:rsid w:val="00D262CC"/>
    <w:rsid w:val="00D26535"/>
    <w:rsid w:val="00D27040"/>
    <w:rsid w:val="00D2715A"/>
    <w:rsid w:val="00D30030"/>
    <w:rsid w:val="00D3144B"/>
    <w:rsid w:val="00D31D7D"/>
    <w:rsid w:val="00D3202D"/>
    <w:rsid w:val="00D32312"/>
    <w:rsid w:val="00D33634"/>
    <w:rsid w:val="00D3458C"/>
    <w:rsid w:val="00D346BD"/>
    <w:rsid w:val="00D349AA"/>
    <w:rsid w:val="00D35597"/>
    <w:rsid w:val="00D35EF8"/>
    <w:rsid w:val="00D36658"/>
    <w:rsid w:val="00D36C54"/>
    <w:rsid w:val="00D379D8"/>
    <w:rsid w:val="00D40619"/>
    <w:rsid w:val="00D40813"/>
    <w:rsid w:val="00D4084D"/>
    <w:rsid w:val="00D408D7"/>
    <w:rsid w:val="00D419B6"/>
    <w:rsid w:val="00D41B3D"/>
    <w:rsid w:val="00D42269"/>
    <w:rsid w:val="00D42458"/>
    <w:rsid w:val="00D42CF4"/>
    <w:rsid w:val="00D4350E"/>
    <w:rsid w:val="00D43AFD"/>
    <w:rsid w:val="00D43CD2"/>
    <w:rsid w:val="00D43E52"/>
    <w:rsid w:val="00D442AF"/>
    <w:rsid w:val="00D4439D"/>
    <w:rsid w:val="00D444A4"/>
    <w:rsid w:val="00D444F4"/>
    <w:rsid w:val="00D45DBF"/>
    <w:rsid w:val="00D462C0"/>
    <w:rsid w:val="00D466A3"/>
    <w:rsid w:val="00D477C0"/>
    <w:rsid w:val="00D47D54"/>
    <w:rsid w:val="00D50214"/>
    <w:rsid w:val="00D5075A"/>
    <w:rsid w:val="00D5090B"/>
    <w:rsid w:val="00D50D86"/>
    <w:rsid w:val="00D5183B"/>
    <w:rsid w:val="00D52A98"/>
    <w:rsid w:val="00D52B56"/>
    <w:rsid w:val="00D52C86"/>
    <w:rsid w:val="00D52F75"/>
    <w:rsid w:val="00D53046"/>
    <w:rsid w:val="00D53835"/>
    <w:rsid w:val="00D5399E"/>
    <w:rsid w:val="00D53CCC"/>
    <w:rsid w:val="00D54557"/>
    <w:rsid w:val="00D54BF5"/>
    <w:rsid w:val="00D552EF"/>
    <w:rsid w:val="00D553D3"/>
    <w:rsid w:val="00D5568E"/>
    <w:rsid w:val="00D55853"/>
    <w:rsid w:val="00D55B6B"/>
    <w:rsid w:val="00D55DA0"/>
    <w:rsid w:val="00D561BD"/>
    <w:rsid w:val="00D56389"/>
    <w:rsid w:val="00D56696"/>
    <w:rsid w:val="00D56A7C"/>
    <w:rsid w:val="00D56C1B"/>
    <w:rsid w:val="00D56CE4"/>
    <w:rsid w:val="00D57354"/>
    <w:rsid w:val="00D575A1"/>
    <w:rsid w:val="00D57A84"/>
    <w:rsid w:val="00D601D8"/>
    <w:rsid w:val="00D60CF1"/>
    <w:rsid w:val="00D6110B"/>
    <w:rsid w:val="00D614D3"/>
    <w:rsid w:val="00D617C5"/>
    <w:rsid w:val="00D61A98"/>
    <w:rsid w:val="00D62073"/>
    <w:rsid w:val="00D6306B"/>
    <w:rsid w:val="00D63CF8"/>
    <w:rsid w:val="00D64E95"/>
    <w:rsid w:val="00D65B69"/>
    <w:rsid w:val="00D65CED"/>
    <w:rsid w:val="00D65E99"/>
    <w:rsid w:val="00D66547"/>
    <w:rsid w:val="00D66615"/>
    <w:rsid w:val="00D677E8"/>
    <w:rsid w:val="00D70946"/>
    <w:rsid w:val="00D714C1"/>
    <w:rsid w:val="00D7190B"/>
    <w:rsid w:val="00D7217A"/>
    <w:rsid w:val="00D72219"/>
    <w:rsid w:val="00D727DD"/>
    <w:rsid w:val="00D72A0B"/>
    <w:rsid w:val="00D73A89"/>
    <w:rsid w:val="00D73BBA"/>
    <w:rsid w:val="00D7400C"/>
    <w:rsid w:val="00D7480B"/>
    <w:rsid w:val="00D74F3C"/>
    <w:rsid w:val="00D74FB2"/>
    <w:rsid w:val="00D74FB5"/>
    <w:rsid w:val="00D750C7"/>
    <w:rsid w:val="00D75128"/>
    <w:rsid w:val="00D75149"/>
    <w:rsid w:val="00D75DDB"/>
    <w:rsid w:val="00D75F57"/>
    <w:rsid w:val="00D761B3"/>
    <w:rsid w:val="00D76948"/>
    <w:rsid w:val="00D769A9"/>
    <w:rsid w:val="00D7733A"/>
    <w:rsid w:val="00D80065"/>
    <w:rsid w:val="00D8069C"/>
    <w:rsid w:val="00D808CF"/>
    <w:rsid w:val="00D80CE5"/>
    <w:rsid w:val="00D81C0C"/>
    <w:rsid w:val="00D81C7B"/>
    <w:rsid w:val="00D82134"/>
    <w:rsid w:val="00D82C25"/>
    <w:rsid w:val="00D835D7"/>
    <w:rsid w:val="00D83F43"/>
    <w:rsid w:val="00D842E3"/>
    <w:rsid w:val="00D84503"/>
    <w:rsid w:val="00D845EE"/>
    <w:rsid w:val="00D84967"/>
    <w:rsid w:val="00D85432"/>
    <w:rsid w:val="00D85C90"/>
    <w:rsid w:val="00D866F2"/>
    <w:rsid w:val="00D868C1"/>
    <w:rsid w:val="00D870F3"/>
    <w:rsid w:val="00D8719B"/>
    <w:rsid w:val="00D87CD6"/>
    <w:rsid w:val="00D90C23"/>
    <w:rsid w:val="00D91488"/>
    <w:rsid w:val="00D9276B"/>
    <w:rsid w:val="00D92EA0"/>
    <w:rsid w:val="00D9358F"/>
    <w:rsid w:val="00D93730"/>
    <w:rsid w:val="00D93B38"/>
    <w:rsid w:val="00D94465"/>
    <w:rsid w:val="00D94EAC"/>
    <w:rsid w:val="00D957B5"/>
    <w:rsid w:val="00D959C5"/>
    <w:rsid w:val="00D96250"/>
    <w:rsid w:val="00D962D6"/>
    <w:rsid w:val="00D96764"/>
    <w:rsid w:val="00D96E31"/>
    <w:rsid w:val="00D96F2C"/>
    <w:rsid w:val="00D9729A"/>
    <w:rsid w:val="00D978E4"/>
    <w:rsid w:val="00D97974"/>
    <w:rsid w:val="00D97C37"/>
    <w:rsid w:val="00D97EC0"/>
    <w:rsid w:val="00DA0266"/>
    <w:rsid w:val="00DA0E90"/>
    <w:rsid w:val="00DA195A"/>
    <w:rsid w:val="00DA1D9F"/>
    <w:rsid w:val="00DA2034"/>
    <w:rsid w:val="00DA217C"/>
    <w:rsid w:val="00DA26A4"/>
    <w:rsid w:val="00DA3AD9"/>
    <w:rsid w:val="00DA3D32"/>
    <w:rsid w:val="00DA4425"/>
    <w:rsid w:val="00DA462D"/>
    <w:rsid w:val="00DA5254"/>
    <w:rsid w:val="00DA53B3"/>
    <w:rsid w:val="00DA5626"/>
    <w:rsid w:val="00DA5656"/>
    <w:rsid w:val="00DA5794"/>
    <w:rsid w:val="00DA5813"/>
    <w:rsid w:val="00DA5AC9"/>
    <w:rsid w:val="00DA5C58"/>
    <w:rsid w:val="00DA606A"/>
    <w:rsid w:val="00DA615E"/>
    <w:rsid w:val="00DA63A8"/>
    <w:rsid w:val="00DA6F22"/>
    <w:rsid w:val="00DA7079"/>
    <w:rsid w:val="00DA76B3"/>
    <w:rsid w:val="00DA7C84"/>
    <w:rsid w:val="00DB02CA"/>
    <w:rsid w:val="00DB04BD"/>
    <w:rsid w:val="00DB05A0"/>
    <w:rsid w:val="00DB192F"/>
    <w:rsid w:val="00DB1B98"/>
    <w:rsid w:val="00DB227C"/>
    <w:rsid w:val="00DB2E6D"/>
    <w:rsid w:val="00DB3030"/>
    <w:rsid w:val="00DB3640"/>
    <w:rsid w:val="00DB3D24"/>
    <w:rsid w:val="00DB4BEF"/>
    <w:rsid w:val="00DB4C71"/>
    <w:rsid w:val="00DB51CA"/>
    <w:rsid w:val="00DB54BC"/>
    <w:rsid w:val="00DB6746"/>
    <w:rsid w:val="00DB770E"/>
    <w:rsid w:val="00DC0629"/>
    <w:rsid w:val="00DC0CB1"/>
    <w:rsid w:val="00DC17BA"/>
    <w:rsid w:val="00DC2122"/>
    <w:rsid w:val="00DC245A"/>
    <w:rsid w:val="00DC27D0"/>
    <w:rsid w:val="00DC32A8"/>
    <w:rsid w:val="00DC36BD"/>
    <w:rsid w:val="00DC3937"/>
    <w:rsid w:val="00DC3BB6"/>
    <w:rsid w:val="00DC3D25"/>
    <w:rsid w:val="00DC4537"/>
    <w:rsid w:val="00DC4ACD"/>
    <w:rsid w:val="00DC4C97"/>
    <w:rsid w:val="00DC58FF"/>
    <w:rsid w:val="00DC5C2E"/>
    <w:rsid w:val="00DC5C5D"/>
    <w:rsid w:val="00DC7354"/>
    <w:rsid w:val="00DD016F"/>
    <w:rsid w:val="00DD0488"/>
    <w:rsid w:val="00DD0672"/>
    <w:rsid w:val="00DD07F2"/>
    <w:rsid w:val="00DD0AAF"/>
    <w:rsid w:val="00DD0CF0"/>
    <w:rsid w:val="00DD1998"/>
    <w:rsid w:val="00DD1C28"/>
    <w:rsid w:val="00DD27F5"/>
    <w:rsid w:val="00DD2D95"/>
    <w:rsid w:val="00DD2F25"/>
    <w:rsid w:val="00DD31D5"/>
    <w:rsid w:val="00DD34E4"/>
    <w:rsid w:val="00DD378A"/>
    <w:rsid w:val="00DD3C7D"/>
    <w:rsid w:val="00DD4430"/>
    <w:rsid w:val="00DD4523"/>
    <w:rsid w:val="00DD4968"/>
    <w:rsid w:val="00DD4AEE"/>
    <w:rsid w:val="00DD5463"/>
    <w:rsid w:val="00DD553F"/>
    <w:rsid w:val="00DD6108"/>
    <w:rsid w:val="00DD6129"/>
    <w:rsid w:val="00DD63AD"/>
    <w:rsid w:val="00DD65B0"/>
    <w:rsid w:val="00DD7038"/>
    <w:rsid w:val="00DD765C"/>
    <w:rsid w:val="00DE0026"/>
    <w:rsid w:val="00DE01FA"/>
    <w:rsid w:val="00DE05D1"/>
    <w:rsid w:val="00DE0C2C"/>
    <w:rsid w:val="00DE1A1C"/>
    <w:rsid w:val="00DE1C17"/>
    <w:rsid w:val="00DE2548"/>
    <w:rsid w:val="00DE2855"/>
    <w:rsid w:val="00DE2918"/>
    <w:rsid w:val="00DE31EE"/>
    <w:rsid w:val="00DE3408"/>
    <w:rsid w:val="00DE3BCD"/>
    <w:rsid w:val="00DE3C4B"/>
    <w:rsid w:val="00DE4B09"/>
    <w:rsid w:val="00DE4CD6"/>
    <w:rsid w:val="00DE51B0"/>
    <w:rsid w:val="00DE5986"/>
    <w:rsid w:val="00DE5D27"/>
    <w:rsid w:val="00DE5F5F"/>
    <w:rsid w:val="00DE61C0"/>
    <w:rsid w:val="00DE700D"/>
    <w:rsid w:val="00DE70AA"/>
    <w:rsid w:val="00DE763E"/>
    <w:rsid w:val="00DF094F"/>
    <w:rsid w:val="00DF0BCB"/>
    <w:rsid w:val="00DF190B"/>
    <w:rsid w:val="00DF1A9A"/>
    <w:rsid w:val="00DF1E15"/>
    <w:rsid w:val="00DF20E3"/>
    <w:rsid w:val="00DF24CB"/>
    <w:rsid w:val="00DF2B6B"/>
    <w:rsid w:val="00DF37BE"/>
    <w:rsid w:val="00DF3922"/>
    <w:rsid w:val="00DF46F9"/>
    <w:rsid w:val="00DF4757"/>
    <w:rsid w:val="00DF490F"/>
    <w:rsid w:val="00DF4A6A"/>
    <w:rsid w:val="00DF53EC"/>
    <w:rsid w:val="00DF5C0E"/>
    <w:rsid w:val="00DF651B"/>
    <w:rsid w:val="00DF6AFD"/>
    <w:rsid w:val="00DF76F9"/>
    <w:rsid w:val="00DF7AC9"/>
    <w:rsid w:val="00E00420"/>
    <w:rsid w:val="00E0084E"/>
    <w:rsid w:val="00E01AF5"/>
    <w:rsid w:val="00E01DCD"/>
    <w:rsid w:val="00E02D12"/>
    <w:rsid w:val="00E0389F"/>
    <w:rsid w:val="00E048AE"/>
    <w:rsid w:val="00E06C8E"/>
    <w:rsid w:val="00E06CF3"/>
    <w:rsid w:val="00E06E79"/>
    <w:rsid w:val="00E06F5B"/>
    <w:rsid w:val="00E07D6F"/>
    <w:rsid w:val="00E10446"/>
    <w:rsid w:val="00E11491"/>
    <w:rsid w:val="00E11E1C"/>
    <w:rsid w:val="00E120F3"/>
    <w:rsid w:val="00E122A7"/>
    <w:rsid w:val="00E12BD7"/>
    <w:rsid w:val="00E13731"/>
    <w:rsid w:val="00E13E89"/>
    <w:rsid w:val="00E13F8E"/>
    <w:rsid w:val="00E14AE0"/>
    <w:rsid w:val="00E14E04"/>
    <w:rsid w:val="00E15D65"/>
    <w:rsid w:val="00E16062"/>
    <w:rsid w:val="00E1618E"/>
    <w:rsid w:val="00E1625E"/>
    <w:rsid w:val="00E16B88"/>
    <w:rsid w:val="00E16C9C"/>
    <w:rsid w:val="00E177E0"/>
    <w:rsid w:val="00E17E31"/>
    <w:rsid w:val="00E17E80"/>
    <w:rsid w:val="00E20549"/>
    <w:rsid w:val="00E2069A"/>
    <w:rsid w:val="00E21C3C"/>
    <w:rsid w:val="00E21D6A"/>
    <w:rsid w:val="00E225AB"/>
    <w:rsid w:val="00E23699"/>
    <w:rsid w:val="00E2390B"/>
    <w:rsid w:val="00E23B73"/>
    <w:rsid w:val="00E23FD8"/>
    <w:rsid w:val="00E242B2"/>
    <w:rsid w:val="00E2453E"/>
    <w:rsid w:val="00E24679"/>
    <w:rsid w:val="00E24E8E"/>
    <w:rsid w:val="00E24EB6"/>
    <w:rsid w:val="00E25369"/>
    <w:rsid w:val="00E25651"/>
    <w:rsid w:val="00E25E84"/>
    <w:rsid w:val="00E2620F"/>
    <w:rsid w:val="00E26433"/>
    <w:rsid w:val="00E2670D"/>
    <w:rsid w:val="00E26F8E"/>
    <w:rsid w:val="00E273AB"/>
    <w:rsid w:val="00E27F1A"/>
    <w:rsid w:val="00E304CC"/>
    <w:rsid w:val="00E30B9C"/>
    <w:rsid w:val="00E30F25"/>
    <w:rsid w:val="00E312C9"/>
    <w:rsid w:val="00E31F7E"/>
    <w:rsid w:val="00E32A94"/>
    <w:rsid w:val="00E32CC4"/>
    <w:rsid w:val="00E32CE5"/>
    <w:rsid w:val="00E32DED"/>
    <w:rsid w:val="00E331DE"/>
    <w:rsid w:val="00E33353"/>
    <w:rsid w:val="00E33747"/>
    <w:rsid w:val="00E34655"/>
    <w:rsid w:val="00E34666"/>
    <w:rsid w:val="00E34964"/>
    <w:rsid w:val="00E34E9A"/>
    <w:rsid w:val="00E3557E"/>
    <w:rsid w:val="00E35B04"/>
    <w:rsid w:val="00E36C83"/>
    <w:rsid w:val="00E36E93"/>
    <w:rsid w:val="00E4070A"/>
    <w:rsid w:val="00E40AB9"/>
    <w:rsid w:val="00E40FDE"/>
    <w:rsid w:val="00E4106C"/>
    <w:rsid w:val="00E41E06"/>
    <w:rsid w:val="00E42093"/>
    <w:rsid w:val="00E424CD"/>
    <w:rsid w:val="00E42805"/>
    <w:rsid w:val="00E442F5"/>
    <w:rsid w:val="00E443C5"/>
    <w:rsid w:val="00E44F16"/>
    <w:rsid w:val="00E455D5"/>
    <w:rsid w:val="00E457BF"/>
    <w:rsid w:val="00E45C6C"/>
    <w:rsid w:val="00E4617A"/>
    <w:rsid w:val="00E4679C"/>
    <w:rsid w:val="00E469AA"/>
    <w:rsid w:val="00E46B61"/>
    <w:rsid w:val="00E475C0"/>
    <w:rsid w:val="00E50226"/>
    <w:rsid w:val="00E5039C"/>
    <w:rsid w:val="00E5043F"/>
    <w:rsid w:val="00E504EA"/>
    <w:rsid w:val="00E5113A"/>
    <w:rsid w:val="00E513AA"/>
    <w:rsid w:val="00E51E71"/>
    <w:rsid w:val="00E522FC"/>
    <w:rsid w:val="00E533BD"/>
    <w:rsid w:val="00E535EE"/>
    <w:rsid w:val="00E53877"/>
    <w:rsid w:val="00E53D45"/>
    <w:rsid w:val="00E54003"/>
    <w:rsid w:val="00E54085"/>
    <w:rsid w:val="00E545AC"/>
    <w:rsid w:val="00E549E0"/>
    <w:rsid w:val="00E54DCF"/>
    <w:rsid w:val="00E553DE"/>
    <w:rsid w:val="00E5555A"/>
    <w:rsid w:val="00E55A16"/>
    <w:rsid w:val="00E55C02"/>
    <w:rsid w:val="00E56177"/>
    <w:rsid w:val="00E56AFA"/>
    <w:rsid w:val="00E56E8D"/>
    <w:rsid w:val="00E57CAC"/>
    <w:rsid w:val="00E57F32"/>
    <w:rsid w:val="00E57FC6"/>
    <w:rsid w:val="00E60E7E"/>
    <w:rsid w:val="00E6173C"/>
    <w:rsid w:val="00E618CF"/>
    <w:rsid w:val="00E61912"/>
    <w:rsid w:val="00E62364"/>
    <w:rsid w:val="00E6246F"/>
    <w:rsid w:val="00E62CB3"/>
    <w:rsid w:val="00E63873"/>
    <w:rsid w:val="00E63CD8"/>
    <w:rsid w:val="00E645A4"/>
    <w:rsid w:val="00E64A1E"/>
    <w:rsid w:val="00E651AA"/>
    <w:rsid w:val="00E658C9"/>
    <w:rsid w:val="00E65DF5"/>
    <w:rsid w:val="00E66703"/>
    <w:rsid w:val="00E672CB"/>
    <w:rsid w:val="00E67545"/>
    <w:rsid w:val="00E67C12"/>
    <w:rsid w:val="00E67EA6"/>
    <w:rsid w:val="00E70183"/>
    <w:rsid w:val="00E7032E"/>
    <w:rsid w:val="00E703C5"/>
    <w:rsid w:val="00E712E3"/>
    <w:rsid w:val="00E71395"/>
    <w:rsid w:val="00E71809"/>
    <w:rsid w:val="00E71985"/>
    <w:rsid w:val="00E71F5F"/>
    <w:rsid w:val="00E723DC"/>
    <w:rsid w:val="00E728B2"/>
    <w:rsid w:val="00E72EEE"/>
    <w:rsid w:val="00E730F1"/>
    <w:rsid w:val="00E745F3"/>
    <w:rsid w:val="00E74715"/>
    <w:rsid w:val="00E74C3E"/>
    <w:rsid w:val="00E75262"/>
    <w:rsid w:val="00E75678"/>
    <w:rsid w:val="00E7568A"/>
    <w:rsid w:val="00E7628E"/>
    <w:rsid w:val="00E766C1"/>
    <w:rsid w:val="00E76F96"/>
    <w:rsid w:val="00E7739E"/>
    <w:rsid w:val="00E77558"/>
    <w:rsid w:val="00E7778A"/>
    <w:rsid w:val="00E77878"/>
    <w:rsid w:val="00E80188"/>
    <w:rsid w:val="00E8033A"/>
    <w:rsid w:val="00E80435"/>
    <w:rsid w:val="00E80678"/>
    <w:rsid w:val="00E806AB"/>
    <w:rsid w:val="00E80BCA"/>
    <w:rsid w:val="00E80D6C"/>
    <w:rsid w:val="00E81580"/>
    <w:rsid w:val="00E81BDA"/>
    <w:rsid w:val="00E826B2"/>
    <w:rsid w:val="00E82AAE"/>
    <w:rsid w:val="00E82C51"/>
    <w:rsid w:val="00E82D79"/>
    <w:rsid w:val="00E84552"/>
    <w:rsid w:val="00E84CB1"/>
    <w:rsid w:val="00E856FA"/>
    <w:rsid w:val="00E858BB"/>
    <w:rsid w:val="00E85ED6"/>
    <w:rsid w:val="00E8647D"/>
    <w:rsid w:val="00E8723C"/>
    <w:rsid w:val="00E8741B"/>
    <w:rsid w:val="00E87BCF"/>
    <w:rsid w:val="00E87D8B"/>
    <w:rsid w:val="00E87DF4"/>
    <w:rsid w:val="00E87FC3"/>
    <w:rsid w:val="00E90665"/>
    <w:rsid w:val="00E907C8"/>
    <w:rsid w:val="00E9088D"/>
    <w:rsid w:val="00E90B92"/>
    <w:rsid w:val="00E914A6"/>
    <w:rsid w:val="00E92FB6"/>
    <w:rsid w:val="00E93569"/>
    <w:rsid w:val="00E93826"/>
    <w:rsid w:val="00E93AB7"/>
    <w:rsid w:val="00E940AD"/>
    <w:rsid w:val="00E94427"/>
    <w:rsid w:val="00E94919"/>
    <w:rsid w:val="00E96850"/>
    <w:rsid w:val="00E96C62"/>
    <w:rsid w:val="00E96D4A"/>
    <w:rsid w:val="00EA0474"/>
    <w:rsid w:val="00EA06FB"/>
    <w:rsid w:val="00EA10EA"/>
    <w:rsid w:val="00EA1A88"/>
    <w:rsid w:val="00EA1CB7"/>
    <w:rsid w:val="00EA20CC"/>
    <w:rsid w:val="00EA2717"/>
    <w:rsid w:val="00EA2B95"/>
    <w:rsid w:val="00EA332F"/>
    <w:rsid w:val="00EA3477"/>
    <w:rsid w:val="00EA3FF0"/>
    <w:rsid w:val="00EA4FB1"/>
    <w:rsid w:val="00EA5802"/>
    <w:rsid w:val="00EA58C6"/>
    <w:rsid w:val="00EA5C18"/>
    <w:rsid w:val="00EA645D"/>
    <w:rsid w:val="00EA6D4B"/>
    <w:rsid w:val="00EA6F7A"/>
    <w:rsid w:val="00EB02E0"/>
    <w:rsid w:val="00EB08D6"/>
    <w:rsid w:val="00EB0A18"/>
    <w:rsid w:val="00EB0E90"/>
    <w:rsid w:val="00EB13A1"/>
    <w:rsid w:val="00EB1E15"/>
    <w:rsid w:val="00EB1EC3"/>
    <w:rsid w:val="00EB2D97"/>
    <w:rsid w:val="00EB3279"/>
    <w:rsid w:val="00EB34B1"/>
    <w:rsid w:val="00EB4A1B"/>
    <w:rsid w:val="00EB4A3B"/>
    <w:rsid w:val="00EB5443"/>
    <w:rsid w:val="00EB545D"/>
    <w:rsid w:val="00EB5868"/>
    <w:rsid w:val="00EB5CC5"/>
    <w:rsid w:val="00EB5D9C"/>
    <w:rsid w:val="00EB6348"/>
    <w:rsid w:val="00EB6DA2"/>
    <w:rsid w:val="00EB72F7"/>
    <w:rsid w:val="00EB7516"/>
    <w:rsid w:val="00EC0398"/>
    <w:rsid w:val="00EC040C"/>
    <w:rsid w:val="00EC1405"/>
    <w:rsid w:val="00EC2533"/>
    <w:rsid w:val="00EC2806"/>
    <w:rsid w:val="00EC2996"/>
    <w:rsid w:val="00EC3149"/>
    <w:rsid w:val="00EC37B9"/>
    <w:rsid w:val="00EC3B01"/>
    <w:rsid w:val="00EC5AE6"/>
    <w:rsid w:val="00EC5EC9"/>
    <w:rsid w:val="00EC6246"/>
    <w:rsid w:val="00EC63E5"/>
    <w:rsid w:val="00EC676F"/>
    <w:rsid w:val="00EC6B9E"/>
    <w:rsid w:val="00EC6BC4"/>
    <w:rsid w:val="00EC77AD"/>
    <w:rsid w:val="00ED10F6"/>
    <w:rsid w:val="00ED145F"/>
    <w:rsid w:val="00ED189D"/>
    <w:rsid w:val="00ED1B92"/>
    <w:rsid w:val="00ED2FAB"/>
    <w:rsid w:val="00ED33C0"/>
    <w:rsid w:val="00ED3651"/>
    <w:rsid w:val="00ED37A1"/>
    <w:rsid w:val="00ED3F5F"/>
    <w:rsid w:val="00ED4354"/>
    <w:rsid w:val="00ED5517"/>
    <w:rsid w:val="00ED66FD"/>
    <w:rsid w:val="00ED67F2"/>
    <w:rsid w:val="00ED72D7"/>
    <w:rsid w:val="00ED7637"/>
    <w:rsid w:val="00ED7B97"/>
    <w:rsid w:val="00EE06E2"/>
    <w:rsid w:val="00EE0BF8"/>
    <w:rsid w:val="00EE1420"/>
    <w:rsid w:val="00EE19F8"/>
    <w:rsid w:val="00EE20D7"/>
    <w:rsid w:val="00EE2A8E"/>
    <w:rsid w:val="00EE2B65"/>
    <w:rsid w:val="00EE2B73"/>
    <w:rsid w:val="00EE34DB"/>
    <w:rsid w:val="00EE3885"/>
    <w:rsid w:val="00EE38B0"/>
    <w:rsid w:val="00EE41A8"/>
    <w:rsid w:val="00EE430F"/>
    <w:rsid w:val="00EE51B9"/>
    <w:rsid w:val="00EE5A44"/>
    <w:rsid w:val="00EE5D38"/>
    <w:rsid w:val="00EE6207"/>
    <w:rsid w:val="00EE7D4E"/>
    <w:rsid w:val="00EE7F68"/>
    <w:rsid w:val="00EF0611"/>
    <w:rsid w:val="00EF0D72"/>
    <w:rsid w:val="00EF1822"/>
    <w:rsid w:val="00EF19E7"/>
    <w:rsid w:val="00EF1EDD"/>
    <w:rsid w:val="00EF2F4A"/>
    <w:rsid w:val="00EF3A15"/>
    <w:rsid w:val="00EF3CA0"/>
    <w:rsid w:val="00EF3CD9"/>
    <w:rsid w:val="00EF3F18"/>
    <w:rsid w:val="00EF3FFC"/>
    <w:rsid w:val="00EF42F5"/>
    <w:rsid w:val="00EF4F4C"/>
    <w:rsid w:val="00EF5AD3"/>
    <w:rsid w:val="00EF5BBB"/>
    <w:rsid w:val="00EF5DAA"/>
    <w:rsid w:val="00EF613A"/>
    <w:rsid w:val="00EF615B"/>
    <w:rsid w:val="00EF6D40"/>
    <w:rsid w:val="00EF6EC0"/>
    <w:rsid w:val="00EF6F52"/>
    <w:rsid w:val="00F00193"/>
    <w:rsid w:val="00F00201"/>
    <w:rsid w:val="00F00410"/>
    <w:rsid w:val="00F005BF"/>
    <w:rsid w:val="00F00617"/>
    <w:rsid w:val="00F0100A"/>
    <w:rsid w:val="00F01939"/>
    <w:rsid w:val="00F02599"/>
    <w:rsid w:val="00F02752"/>
    <w:rsid w:val="00F02B78"/>
    <w:rsid w:val="00F02EB6"/>
    <w:rsid w:val="00F03925"/>
    <w:rsid w:val="00F04DC1"/>
    <w:rsid w:val="00F04FCE"/>
    <w:rsid w:val="00F053B0"/>
    <w:rsid w:val="00F05B29"/>
    <w:rsid w:val="00F05C2A"/>
    <w:rsid w:val="00F06070"/>
    <w:rsid w:val="00F065B3"/>
    <w:rsid w:val="00F06D35"/>
    <w:rsid w:val="00F07F21"/>
    <w:rsid w:val="00F10368"/>
    <w:rsid w:val="00F10F34"/>
    <w:rsid w:val="00F1155C"/>
    <w:rsid w:val="00F115A2"/>
    <w:rsid w:val="00F12A58"/>
    <w:rsid w:val="00F12A92"/>
    <w:rsid w:val="00F1372A"/>
    <w:rsid w:val="00F13A49"/>
    <w:rsid w:val="00F150C6"/>
    <w:rsid w:val="00F15D89"/>
    <w:rsid w:val="00F16644"/>
    <w:rsid w:val="00F16FE5"/>
    <w:rsid w:val="00F2036F"/>
    <w:rsid w:val="00F20700"/>
    <w:rsid w:val="00F20963"/>
    <w:rsid w:val="00F20A6C"/>
    <w:rsid w:val="00F21095"/>
    <w:rsid w:val="00F21D60"/>
    <w:rsid w:val="00F21FCA"/>
    <w:rsid w:val="00F22154"/>
    <w:rsid w:val="00F2249E"/>
    <w:rsid w:val="00F22BB0"/>
    <w:rsid w:val="00F22E7F"/>
    <w:rsid w:val="00F237BC"/>
    <w:rsid w:val="00F23F57"/>
    <w:rsid w:val="00F24DBB"/>
    <w:rsid w:val="00F25025"/>
    <w:rsid w:val="00F252C7"/>
    <w:rsid w:val="00F259F3"/>
    <w:rsid w:val="00F2629E"/>
    <w:rsid w:val="00F2680F"/>
    <w:rsid w:val="00F26827"/>
    <w:rsid w:val="00F2689C"/>
    <w:rsid w:val="00F2697A"/>
    <w:rsid w:val="00F275FD"/>
    <w:rsid w:val="00F276A7"/>
    <w:rsid w:val="00F27933"/>
    <w:rsid w:val="00F30859"/>
    <w:rsid w:val="00F310F8"/>
    <w:rsid w:val="00F31361"/>
    <w:rsid w:val="00F33653"/>
    <w:rsid w:val="00F342F1"/>
    <w:rsid w:val="00F3459C"/>
    <w:rsid w:val="00F346B4"/>
    <w:rsid w:val="00F34EAF"/>
    <w:rsid w:val="00F35BC2"/>
    <w:rsid w:val="00F365DE"/>
    <w:rsid w:val="00F37186"/>
    <w:rsid w:val="00F37689"/>
    <w:rsid w:val="00F37E3F"/>
    <w:rsid w:val="00F40437"/>
    <w:rsid w:val="00F40706"/>
    <w:rsid w:val="00F40CF5"/>
    <w:rsid w:val="00F41D00"/>
    <w:rsid w:val="00F42457"/>
    <w:rsid w:val="00F42CA1"/>
    <w:rsid w:val="00F44199"/>
    <w:rsid w:val="00F44DB8"/>
    <w:rsid w:val="00F4509C"/>
    <w:rsid w:val="00F45426"/>
    <w:rsid w:val="00F46473"/>
    <w:rsid w:val="00F46E95"/>
    <w:rsid w:val="00F47CA0"/>
    <w:rsid w:val="00F503E2"/>
    <w:rsid w:val="00F50972"/>
    <w:rsid w:val="00F50C19"/>
    <w:rsid w:val="00F50CA9"/>
    <w:rsid w:val="00F50DE5"/>
    <w:rsid w:val="00F50FB5"/>
    <w:rsid w:val="00F51068"/>
    <w:rsid w:val="00F513E2"/>
    <w:rsid w:val="00F5172D"/>
    <w:rsid w:val="00F5173C"/>
    <w:rsid w:val="00F51BCD"/>
    <w:rsid w:val="00F51F8B"/>
    <w:rsid w:val="00F51FE3"/>
    <w:rsid w:val="00F52488"/>
    <w:rsid w:val="00F529BA"/>
    <w:rsid w:val="00F53B0E"/>
    <w:rsid w:val="00F5455B"/>
    <w:rsid w:val="00F54664"/>
    <w:rsid w:val="00F54737"/>
    <w:rsid w:val="00F54BD3"/>
    <w:rsid w:val="00F55351"/>
    <w:rsid w:val="00F5564C"/>
    <w:rsid w:val="00F57990"/>
    <w:rsid w:val="00F57FFE"/>
    <w:rsid w:val="00F60188"/>
    <w:rsid w:val="00F60752"/>
    <w:rsid w:val="00F60C99"/>
    <w:rsid w:val="00F6115F"/>
    <w:rsid w:val="00F61267"/>
    <w:rsid w:val="00F613A2"/>
    <w:rsid w:val="00F61C86"/>
    <w:rsid w:val="00F61D9A"/>
    <w:rsid w:val="00F629C6"/>
    <w:rsid w:val="00F62D4D"/>
    <w:rsid w:val="00F63565"/>
    <w:rsid w:val="00F63658"/>
    <w:rsid w:val="00F63D0A"/>
    <w:rsid w:val="00F63FA8"/>
    <w:rsid w:val="00F644CE"/>
    <w:rsid w:val="00F64A83"/>
    <w:rsid w:val="00F64B63"/>
    <w:rsid w:val="00F64C17"/>
    <w:rsid w:val="00F6509D"/>
    <w:rsid w:val="00F6525F"/>
    <w:rsid w:val="00F653F9"/>
    <w:rsid w:val="00F6586D"/>
    <w:rsid w:val="00F658AC"/>
    <w:rsid w:val="00F65C2F"/>
    <w:rsid w:val="00F65F8D"/>
    <w:rsid w:val="00F66716"/>
    <w:rsid w:val="00F669D0"/>
    <w:rsid w:val="00F66B93"/>
    <w:rsid w:val="00F66D85"/>
    <w:rsid w:val="00F675A7"/>
    <w:rsid w:val="00F6763F"/>
    <w:rsid w:val="00F67648"/>
    <w:rsid w:val="00F71379"/>
    <w:rsid w:val="00F7165E"/>
    <w:rsid w:val="00F71F3D"/>
    <w:rsid w:val="00F72535"/>
    <w:rsid w:val="00F72563"/>
    <w:rsid w:val="00F72AF0"/>
    <w:rsid w:val="00F73AC4"/>
    <w:rsid w:val="00F73D4A"/>
    <w:rsid w:val="00F73E62"/>
    <w:rsid w:val="00F73F3A"/>
    <w:rsid w:val="00F742D6"/>
    <w:rsid w:val="00F74546"/>
    <w:rsid w:val="00F75A98"/>
    <w:rsid w:val="00F75CA1"/>
    <w:rsid w:val="00F75F01"/>
    <w:rsid w:val="00F76681"/>
    <w:rsid w:val="00F771A4"/>
    <w:rsid w:val="00F77E4B"/>
    <w:rsid w:val="00F80214"/>
    <w:rsid w:val="00F80524"/>
    <w:rsid w:val="00F805FC"/>
    <w:rsid w:val="00F80943"/>
    <w:rsid w:val="00F81406"/>
    <w:rsid w:val="00F81D49"/>
    <w:rsid w:val="00F8358B"/>
    <w:rsid w:val="00F83815"/>
    <w:rsid w:val="00F83CFD"/>
    <w:rsid w:val="00F85CC3"/>
    <w:rsid w:val="00F862F1"/>
    <w:rsid w:val="00F867BA"/>
    <w:rsid w:val="00F86B46"/>
    <w:rsid w:val="00F86F0F"/>
    <w:rsid w:val="00F8735A"/>
    <w:rsid w:val="00F873F6"/>
    <w:rsid w:val="00F876C8"/>
    <w:rsid w:val="00F90091"/>
    <w:rsid w:val="00F90198"/>
    <w:rsid w:val="00F90394"/>
    <w:rsid w:val="00F90626"/>
    <w:rsid w:val="00F9065F"/>
    <w:rsid w:val="00F9229E"/>
    <w:rsid w:val="00F93366"/>
    <w:rsid w:val="00F93623"/>
    <w:rsid w:val="00F9546B"/>
    <w:rsid w:val="00F96615"/>
    <w:rsid w:val="00F97E9A"/>
    <w:rsid w:val="00FA0429"/>
    <w:rsid w:val="00FA054A"/>
    <w:rsid w:val="00FA08EF"/>
    <w:rsid w:val="00FA0C95"/>
    <w:rsid w:val="00FA1113"/>
    <w:rsid w:val="00FA2074"/>
    <w:rsid w:val="00FA2C7A"/>
    <w:rsid w:val="00FA3148"/>
    <w:rsid w:val="00FA3DC9"/>
    <w:rsid w:val="00FA502D"/>
    <w:rsid w:val="00FA503B"/>
    <w:rsid w:val="00FA551A"/>
    <w:rsid w:val="00FA5C54"/>
    <w:rsid w:val="00FA6678"/>
    <w:rsid w:val="00FA6B57"/>
    <w:rsid w:val="00FA7042"/>
    <w:rsid w:val="00FA76B6"/>
    <w:rsid w:val="00FA7868"/>
    <w:rsid w:val="00FB0E62"/>
    <w:rsid w:val="00FB10BF"/>
    <w:rsid w:val="00FB1885"/>
    <w:rsid w:val="00FB1B42"/>
    <w:rsid w:val="00FB1EDC"/>
    <w:rsid w:val="00FB20DA"/>
    <w:rsid w:val="00FB2EE2"/>
    <w:rsid w:val="00FB329F"/>
    <w:rsid w:val="00FB3459"/>
    <w:rsid w:val="00FB3ADC"/>
    <w:rsid w:val="00FB4417"/>
    <w:rsid w:val="00FB4A80"/>
    <w:rsid w:val="00FB506D"/>
    <w:rsid w:val="00FB5A8D"/>
    <w:rsid w:val="00FB5D13"/>
    <w:rsid w:val="00FB6982"/>
    <w:rsid w:val="00FB6B36"/>
    <w:rsid w:val="00FB6EF7"/>
    <w:rsid w:val="00FB70EA"/>
    <w:rsid w:val="00FB7571"/>
    <w:rsid w:val="00FB7671"/>
    <w:rsid w:val="00FB7B4B"/>
    <w:rsid w:val="00FB7E5B"/>
    <w:rsid w:val="00FB7F23"/>
    <w:rsid w:val="00FC00C4"/>
    <w:rsid w:val="00FC069A"/>
    <w:rsid w:val="00FC06CE"/>
    <w:rsid w:val="00FC0A26"/>
    <w:rsid w:val="00FC11F3"/>
    <w:rsid w:val="00FC1809"/>
    <w:rsid w:val="00FC1E91"/>
    <w:rsid w:val="00FC3209"/>
    <w:rsid w:val="00FC4407"/>
    <w:rsid w:val="00FC44D7"/>
    <w:rsid w:val="00FC55AE"/>
    <w:rsid w:val="00FC5691"/>
    <w:rsid w:val="00FC5A2D"/>
    <w:rsid w:val="00FC613B"/>
    <w:rsid w:val="00FC6226"/>
    <w:rsid w:val="00FC69AC"/>
    <w:rsid w:val="00FC6B65"/>
    <w:rsid w:val="00FC6D8B"/>
    <w:rsid w:val="00FC7FFA"/>
    <w:rsid w:val="00FD0441"/>
    <w:rsid w:val="00FD08B3"/>
    <w:rsid w:val="00FD0BC8"/>
    <w:rsid w:val="00FD0D3C"/>
    <w:rsid w:val="00FD0DF1"/>
    <w:rsid w:val="00FD0E79"/>
    <w:rsid w:val="00FD19E0"/>
    <w:rsid w:val="00FD25D2"/>
    <w:rsid w:val="00FD276F"/>
    <w:rsid w:val="00FD28F8"/>
    <w:rsid w:val="00FD2ADA"/>
    <w:rsid w:val="00FD2C72"/>
    <w:rsid w:val="00FD33BB"/>
    <w:rsid w:val="00FD3FB3"/>
    <w:rsid w:val="00FD43F3"/>
    <w:rsid w:val="00FD49BB"/>
    <w:rsid w:val="00FD4BCA"/>
    <w:rsid w:val="00FD4D07"/>
    <w:rsid w:val="00FD4FE2"/>
    <w:rsid w:val="00FD57EB"/>
    <w:rsid w:val="00FD5C5E"/>
    <w:rsid w:val="00FD61D2"/>
    <w:rsid w:val="00FD61E8"/>
    <w:rsid w:val="00FD64A6"/>
    <w:rsid w:val="00FD66AB"/>
    <w:rsid w:val="00FD66BA"/>
    <w:rsid w:val="00FD67DF"/>
    <w:rsid w:val="00FD6A25"/>
    <w:rsid w:val="00FD6E93"/>
    <w:rsid w:val="00FD6F92"/>
    <w:rsid w:val="00FD6FE5"/>
    <w:rsid w:val="00FD7513"/>
    <w:rsid w:val="00FD7BCF"/>
    <w:rsid w:val="00FE0204"/>
    <w:rsid w:val="00FE0312"/>
    <w:rsid w:val="00FE06C3"/>
    <w:rsid w:val="00FE0825"/>
    <w:rsid w:val="00FE0A5D"/>
    <w:rsid w:val="00FE0AA1"/>
    <w:rsid w:val="00FE0E43"/>
    <w:rsid w:val="00FE15B3"/>
    <w:rsid w:val="00FE184A"/>
    <w:rsid w:val="00FE1958"/>
    <w:rsid w:val="00FE1A6E"/>
    <w:rsid w:val="00FE2422"/>
    <w:rsid w:val="00FE2687"/>
    <w:rsid w:val="00FE2979"/>
    <w:rsid w:val="00FE2A84"/>
    <w:rsid w:val="00FE2C02"/>
    <w:rsid w:val="00FE324A"/>
    <w:rsid w:val="00FE3AA4"/>
    <w:rsid w:val="00FE4143"/>
    <w:rsid w:val="00FE414B"/>
    <w:rsid w:val="00FE419C"/>
    <w:rsid w:val="00FE4644"/>
    <w:rsid w:val="00FE4D22"/>
    <w:rsid w:val="00FE4DEA"/>
    <w:rsid w:val="00FE5769"/>
    <w:rsid w:val="00FE6192"/>
    <w:rsid w:val="00FE6E60"/>
    <w:rsid w:val="00FE732A"/>
    <w:rsid w:val="00FE7919"/>
    <w:rsid w:val="00FF0962"/>
    <w:rsid w:val="00FF1676"/>
    <w:rsid w:val="00FF1CF9"/>
    <w:rsid w:val="00FF1D21"/>
    <w:rsid w:val="00FF20B2"/>
    <w:rsid w:val="00FF2A82"/>
    <w:rsid w:val="00FF2CE5"/>
    <w:rsid w:val="00FF31D5"/>
    <w:rsid w:val="00FF3460"/>
    <w:rsid w:val="00FF39EC"/>
    <w:rsid w:val="00FF4B76"/>
    <w:rsid w:val="00FF4F55"/>
    <w:rsid w:val="00FF5781"/>
    <w:rsid w:val="00FF5C35"/>
    <w:rsid w:val="00FF5E71"/>
    <w:rsid w:val="00FF5FF9"/>
    <w:rsid w:val="00FF617E"/>
    <w:rsid w:val="00FF71DE"/>
    <w:rsid w:val="00FF7665"/>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5A6B5"/>
  <w15:chartTrackingRefBased/>
  <w15:docId w15:val="{4DAF7392-03BB-724F-8873-722A82D68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da-DK"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D92"/>
    <w:pPr>
      <w:spacing w:before="120"/>
      <w:jc w:val="both"/>
    </w:pPr>
    <w:rPr>
      <w:lang w:val="en-GB"/>
    </w:rPr>
  </w:style>
  <w:style w:type="paragraph" w:styleId="Heading1">
    <w:name w:val="heading 1"/>
    <w:basedOn w:val="Normal"/>
    <w:next w:val="Normal"/>
    <w:link w:val="Heading1Char"/>
    <w:uiPriority w:val="9"/>
    <w:qFormat/>
    <w:rsid w:val="00651F74"/>
    <w:pPr>
      <w:keepNext/>
      <w:keepLines/>
      <w:pageBreakBefore/>
      <w:numPr>
        <w:numId w:val="11"/>
      </w:numPr>
      <w:suppressAutoHyphens/>
      <w:spacing w:before="0" w:after="454" w:line="440" w:lineRule="atLeast"/>
      <w:ind w:left="567" w:hanging="567"/>
      <w:jc w:val="left"/>
      <w:outlineLvl w:val="0"/>
    </w:pPr>
    <w:rPr>
      <w:rFonts w:asciiTheme="majorHAnsi" w:eastAsiaTheme="majorEastAsia" w:hAnsiTheme="majorHAnsi" w:cstheme="majorBidi"/>
      <w:b/>
      <w:color w:val="164194"/>
      <w:sz w:val="40"/>
      <w:szCs w:val="32"/>
    </w:rPr>
  </w:style>
  <w:style w:type="paragraph" w:styleId="Heading2">
    <w:name w:val="heading 2"/>
    <w:basedOn w:val="Normal"/>
    <w:next w:val="Normal"/>
    <w:link w:val="Heading2Char"/>
    <w:uiPriority w:val="9"/>
    <w:qFormat/>
    <w:rsid w:val="00651F74"/>
    <w:pPr>
      <w:keepNext/>
      <w:keepLines/>
      <w:numPr>
        <w:ilvl w:val="1"/>
        <w:numId w:val="11"/>
      </w:numPr>
      <w:tabs>
        <w:tab w:val="left" w:pos="737"/>
      </w:tabs>
      <w:suppressAutoHyphens/>
      <w:spacing w:before="240" w:after="120" w:line="300" w:lineRule="atLeast"/>
      <w:jc w:val="left"/>
      <w:outlineLvl w:val="1"/>
    </w:pPr>
    <w:rPr>
      <w:rFonts w:asciiTheme="majorHAnsi" w:eastAsiaTheme="majorEastAsia" w:hAnsiTheme="majorHAnsi" w:cstheme="majorBidi"/>
      <w:b/>
      <w:color w:val="164194"/>
      <w:sz w:val="26"/>
      <w:szCs w:val="26"/>
    </w:rPr>
  </w:style>
  <w:style w:type="paragraph" w:styleId="Heading3">
    <w:name w:val="heading 3"/>
    <w:basedOn w:val="Normal"/>
    <w:next w:val="Normal"/>
    <w:link w:val="Heading3Char"/>
    <w:uiPriority w:val="9"/>
    <w:qFormat/>
    <w:rsid w:val="00651F74"/>
    <w:pPr>
      <w:keepNext/>
      <w:keepLines/>
      <w:numPr>
        <w:ilvl w:val="2"/>
        <w:numId w:val="11"/>
      </w:numPr>
      <w:tabs>
        <w:tab w:val="left" w:pos="993"/>
      </w:tabs>
      <w:suppressAutoHyphens/>
      <w:spacing w:before="240" w:line="260" w:lineRule="atLeast"/>
      <w:ind w:left="993" w:hanging="993"/>
      <w:jc w:val="left"/>
      <w:outlineLvl w:val="2"/>
    </w:pPr>
    <w:rPr>
      <w:rFonts w:asciiTheme="majorHAnsi" w:eastAsiaTheme="majorEastAsia" w:hAnsiTheme="majorHAnsi" w:cstheme="majorBidi"/>
      <w:b/>
      <w:color w:val="164194"/>
      <w:sz w:val="21"/>
      <w:szCs w:val="24"/>
      <w:lang w:val="en-US"/>
    </w:rPr>
  </w:style>
  <w:style w:type="paragraph" w:styleId="Heading4">
    <w:name w:val="heading 4"/>
    <w:basedOn w:val="Normal"/>
    <w:next w:val="Normal"/>
    <w:link w:val="Heading4Char"/>
    <w:uiPriority w:val="9"/>
    <w:qFormat/>
    <w:rsid w:val="00651F74"/>
    <w:pPr>
      <w:keepNext/>
      <w:keepLines/>
      <w:numPr>
        <w:ilvl w:val="3"/>
        <w:numId w:val="11"/>
      </w:numPr>
      <w:tabs>
        <w:tab w:val="left" w:pos="1049"/>
      </w:tabs>
      <w:suppressAutoHyphens/>
      <w:spacing w:before="240" w:line="260" w:lineRule="atLeast"/>
      <w:ind w:left="1049" w:hanging="1049"/>
      <w:jc w:val="left"/>
      <w:outlineLvl w:val="3"/>
    </w:pPr>
    <w:rPr>
      <w:rFonts w:asciiTheme="majorHAnsi" w:eastAsiaTheme="majorEastAsia" w:hAnsiTheme="majorHAnsi" w:cstheme="majorBidi"/>
      <w:b/>
      <w:iCs/>
      <w:color w:val="164194"/>
      <w:lang w:val="en-US"/>
    </w:rPr>
  </w:style>
  <w:style w:type="paragraph" w:styleId="Heading5">
    <w:name w:val="heading 5"/>
    <w:basedOn w:val="Normal"/>
    <w:next w:val="Normal"/>
    <w:link w:val="Heading5Char"/>
    <w:uiPriority w:val="9"/>
    <w:semiHidden/>
    <w:rsid w:val="00DD0CF0"/>
    <w:pPr>
      <w:keepNext/>
      <w:keepLines/>
      <w:numPr>
        <w:ilvl w:val="4"/>
        <w:numId w:val="11"/>
      </w:numPr>
      <w:tabs>
        <w:tab w:val="num" w:pos="360"/>
      </w:tabs>
      <w:spacing w:before="40"/>
      <w:outlineLvl w:val="4"/>
    </w:pPr>
    <w:rPr>
      <w:rFonts w:asciiTheme="majorHAnsi" w:eastAsiaTheme="majorEastAsia" w:hAnsiTheme="majorHAnsi" w:cstheme="majorBidi"/>
      <w:color w:val="081130"/>
    </w:rPr>
  </w:style>
  <w:style w:type="paragraph" w:styleId="Heading6">
    <w:name w:val="heading 6"/>
    <w:basedOn w:val="Normal"/>
    <w:next w:val="Normal"/>
    <w:link w:val="Heading6Char"/>
    <w:uiPriority w:val="9"/>
    <w:semiHidden/>
    <w:rsid w:val="00DD0CF0"/>
    <w:pPr>
      <w:keepNext/>
      <w:keepLines/>
      <w:numPr>
        <w:ilvl w:val="5"/>
        <w:numId w:val="11"/>
      </w:numPr>
      <w:tabs>
        <w:tab w:val="num" w:pos="360"/>
      </w:tabs>
      <w:spacing w:before="40"/>
      <w:outlineLvl w:val="5"/>
    </w:pPr>
    <w:rPr>
      <w:rFonts w:asciiTheme="majorHAnsi" w:eastAsiaTheme="majorEastAsia" w:hAnsiTheme="majorHAnsi" w:cstheme="majorBidi"/>
      <w:color w:val="050B20"/>
    </w:rPr>
  </w:style>
  <w:style w:type="paragraph" w:styleId="Heading7">
    <w:name w:val="heading 7"/>
    <w:basedOn w:val="Normal"/>
    <w:next w:val="Normal"/>
    <w:link w:val="Heading7Char"/>
    <w:uiPriority w:val="9"/>
    <w:semiHidden/>
    <w:rsid w:val="00DD0CF0"/>
    <w:pPr>
      <w:keepNext/>
      <w:keepLines/>
      <w:numPr>
        <w:ilvl w:val="6"/>
        <w:numId w:val="11"/>
      </w:numPr>
      <w:tabs>
        <w:tab w:val="num" w:pos="360"/>
      </w:tabs>
      <w:spacing w:before="40"/>
      <w:outlineLvl w:val="6"/>
    </w:pPr>
    <w:rPr>
      <w:rFonts w:asciiTheme="majorHAnsi" w:eastAsiaTheme="majorEastAsia" w:hAnsiTheme="majorHAnsi" w:cstheme="majorBidi"/>
      <w:i/>
      <w:iCs/>
      <w:color w:val="050B20"/>
    </w:rPr>
  </w:style>
  <w:style w:type="paragraph" w:styleId="Heading8">
    <w:name w:val="heading 8"/>
    <w:basedOn w:val="Normal"/>
    <w:next w:val="Normal"/>
    <w:link w:val="Heading8Char"/>
    <w:uiPriority w:val="9"/>
    <w:semiHidden/>
    <w:rsid w:val="00DD0CF0"/>
    <w:pPr>
      <w:keepNext/>
      <w:keepLines/>
      <w:numPr>
        <w:ilvl w:val="7"/>
        <w:numId w:val="11"/>
      </w:numPr>
      <w:tabs>
        <w:tab w:val="num" w:pos="360"/>
      </w:tab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semiHidden/>
    <w:rsid w:val="00DD0CF0"/>
    <w:pPr>
      <w:keepNext/>
      <w:keepLines/>
      <w:numPr>
        <w:ilvl w:val="8"/>
        <w:numId w:val="11"/>
      </w:numPr>
      <w:tabs>
        <w:tab w:val="num" w:pos="360"/>
      </w:tab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1F74"/>
    <w:rPr>
      <w:rFonts w:asciiTheme="majorHAnsi" w:eastAsiaTheme="majorEastAsia" w:hAnsiTheme="majorHAnsi" w:cstheme="majorBidi"/>
      <w:b/>
      <w:color w:val="164194"/>
      <w:sz w:val="40"/>
      <w:szCs w:val="32"/>
      <w:lang w:val="en-GB"/>
    </w:rPr>
  </w:style>
  <w:style w:type="paragraph" w:styleId="BalloonText">
    <w:name w:val="Balloon Text"/>
    <w:basedOn w:val="Normal"/>
    <w:link w:val="BalloonTextChar"/>
    <w:uiPriority w:val="99"/>
    <w:semiHidden/>
    <w:rsid w:val="00DD0CF0"/>
    <w:pPr>
      <w:spacing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ED37A1"/>
    <w:rPr>
      <w:rFonts w:ascii="Segoe UI" w:hAnsi="Segoe UI" w:cs="Segoe UI"/>
      <w:lang w:val="en-GB"/>
    </w:rPr>
  </w:style>
  <w:style w:type="paragraph" w:styleId="Bibliography">
    <w:name w:val="Bibliography"/>
    <w:basedOn w:val="Normal"/>
    <w:next w:val="Normal"/>
    <w:uiPriority w:val="37"/>
    <w:rsid w:val="00AE1D92"/>
    <w:pPr>
      <w:jc w:val="left"/>
    </w:pPr>
  </w:style>
  <w:style w:type="paragraph" w:styleId="BlockText">
    <w:name w:val="Block Text"/>
    <w:basedOn w:val="Normal"/>
    <w:uiPriority w:val="99"/>
    <w:semiHidden/>
    <w:rsid w:val="00DD0CF0"/>
    <w:pPr>
      <w:pBdr>
        <w:top w:val="single" w:sz="2" w:space="10" w:color="0B1741"/>
        <w:left w:val="single" w:sz="2" w:space="10" w:color="0B1741"/>
        <w:bottom w:val="single" w:sz="2" w:space="10" w:color="0B1741"/>
        <w:right w:val="single" w:sz="2" w:space="10" w:color="0B1741"/>
      </w:pBdr>
      <w:ind w:left="1152" w:right="1152"/>
    </w:pPr>
    <w:rPr>
      <w:rFonts w:eastAsiaTheme="minorEastAsia"/>
      <w:i/>
      <w:iCs/>
      <w:color w:val="0B1741"/>
    </w:rPr>
  </w:style>
  <w:style w:type="paragraph" w:styleId="BodyText">
    <w:name w:val="Body Text"/>
    <w:basedOn w:val="Normal"/>
    <w:link w:val="BodyTextChar"/>
    <w:uiPriority w:val="99"/>
    <w:qFormat/>
    <w:rsid w:val="00DD0CF0"/>
    <w:pPr>
      <w:spacing w:after="120"/>
    </w:pPr>
  </w:style>
  <w:style w:type="character" w:customStyle="1" w:styleId="BodyTextChar">
    <w:name w:val="Body Text Char"/>
    <w:basedOn w:val="DefaultParagraphFont"/>
    <w:link w:val="BodyText"/>
    <w:uiPriority w:val="99"/>
    <w:rsid w:val="00ED37A1"/>
    <w:rPr>
      <w:lang w:val="en-GB"/>
    </w:rPr>
  </w:style>
  <w:style w:type="paragraph" w:styleId="BodyText2">
    <w:name w:val="Body Text 2"/>
    <w:basedOn w:val="Normal"/>
    <w:link w:val="BodyText2Char"/>
    <w:uiPriority w:val="99"/>
    <w:semiHidden/>
    <w:rsid w:val="00DD0CF0"/>
    <w:pPr>
      <w:spacing w:after="120" w:line="480" w:lineRule="auto"/>
    </w:pPr>
  </w:style>
  <w:style w:type="character" w:customStyle="1" w:styleId="BodyText2Char">
    <w:name w:val="Body Text 2 Char"/>
    <w:basedOn w:val="DefaultParagraphFont"/>
    <w:link w:val="BodyText2"/>
    <w:uiPriority w:val="99"/>
    <w:semiHidden/>
    <w:rsid w:val="00ED37A1"/>
    <w:rPr>
      <w:lang w:val="en-GB"/>
    </w:rPr>
  </w:style>
  <w:style w:type="paragraph" w:styleId="BodyText3">
    <w:name w:val="Body Text 3"/>
    <w:basedOn w:val="Normal"/>
    <w:link w:val="BodyText3Char"/>
    <w:uiPriority w:val="99"/>
    <w:semiHidden/>
    <w:rsid w:val="00DD0CF0"/>
    <w:pPr>
      <w:spacing w:after="120"/>
    </w:pPr>
    <w:rPr>
      <w:sz w:val="16"/>
      <w:szCs w:val="16"/>
    </w:rPr>
  </w:style>
  <w:style w:type="character" w:customStyle="1" w:styleId="BodyText3Char">
    <w:name w:val="Body Text 3 Char"/>
    <w:basedOn w:val="DefaultParagraphFont"/>
    <w:link w:val="BodyText3"/>
    <w:uiPriority w:val="99"/>
    <w:semiHidden/>
    <w:rsid w:val="00ED37A1"/>
    <w:rPr>
      <w:sz w:val="16"/>
      <w:szCs w:val="16"/>
      <w:lang w:val="en-GB"/>
    </w:rPr>
  </w:style>
  <w:style w:type="paragraph" w:styleId="BodyTextFirstIndent">
    <w:name w:val="Body Text First Indent"/>
    <w:basedOn w:val="BodyText"/>
    <w:link w:val="BodyTextFirstIndentChar"/>
    <w:uiPriority w:val="99"/>
    <w:semiHidden/>
    <w:rsid w:val="00DD0CF0"/>
    <w:pPr>
      <w:spacing w:after="0"/>
      <w:ind w:firstLine="360"/>
    </w:pPr>
  </w:style>
  <w:style w:type="character" w:customStyle="1" w:styleId="BodyTextFirstIndentChar">
    <w:name w:val="Body Text First Indent Char"/>
    <w:basedOn w:val="BodyTextChar"/>
    <w:link w:val="BodyTextFirstIndent"/>
    <w:uiPriority w:val="99"/>
    <w:semiHidden/>
    <w:rsid w:val="00ED37A1"/>
    <w:rPr>
      <w:lang w:val="en-GB"/>
    </w:rPr>
  </w:style>
  <w:style w:type="paragraph" w:styleId="BodyTextIndent">
    <w:name w:val="Body Text Indent"/>
    <w:basedOn w:val="Normal"/>
    <w:link w:val="BodyTextIndentChar"/>
    <w:uiPriority w:val="99"/>
    <w:semiHidden/>
    <w:rsid w:val="00DD0CF0"/>
    <w:pPr>
      <w:spacing w:after="120"/>
      <w:ind w:left="283"/>
    </w:pPr>
  </w:style>
  <w:style w:type="character" w:customStyle="1" w:styleId="BodyTextIndentChar">
    <w:name w:val="Body Text Indent Char"/>
    <w:basedOn w:val="DefaultParagraphFont"/>
    <w:link w:val="BodyTextIndent"/>
    <w:uiPriority w:val="99"/>
    <w:semiHidden/>
    <w:rsid w:val="00ED37A1"/>
    <w:rPr>
      <w:lang w:val="en-GB"/>
    </w:rPr>
  </w:style>
  <w:style w:type="paragraph" w:styleId="BodyTextFirstIndent2">
    <w:name w:val="Body Text First Indent 2"/>
    <w:basedOn w:val="BodyTextIndent"/>
    <w:link w:val="BodyTextFirstIndent2Char"/>
    <w:uiPriority w:val="99"/>
    <w:semiHidden/>
    <w:rsid w:val="00DD0CF0"/>
    <w:pPr>
      <w:spacing w:after="0"/>
      <w:ind w:left="360" w:firstLine="360"/>
    </w:pPr>
  </w:style>
  <w:style w:type="character" w:customStyle="1" w:styleId="BodyTextFirstIndent2Char">
    <w:name w:val="Body Text First Indent 2 Char"/>
    <w:basedOn w:val="BodyTextIndentChar"/>
    <w:link w:val="BodyTextFirstIndent2"/>
    <w:uiPriority w:val="99"/>
    <w:semiHidden/>
    <w:rsid w:val="00ED37A1"/>
    <w:rPr>
      <w:lang w:val="en-GB"/>
    </w:rPr>
  </w:style>
  <w:style w:type="paragraph" w:styleId="BodyTextIndent2">
    <w:name w:val="Body Text Indent 2"/>
    <w:basedOn w:val="Normal"/>
    <w:link w:val="BodyTextIndent2Char"/>
    <w:uiPriority w:val="99"/>
    <w:semiHidden/>
    <w:rsid w:val="00DD0CF0"/>
    <w:pPr>
      <w:spacing w:after="120" w:line="480" w:lineRule="auto"/>
      <w:ind w:left="283"/>
    </w:pPr>
  </w:style>
  <w:style w:type="character" w:customStyle="1" w:styleId="BodyTextIndent2Char">
    <w:name w:val="Body Text Indent 2 Char"/>
    <w:basedOn w:val="DefaultParagraphFont"/>
    <w:link w:val="BodyTextIndent2"/>
    <w:uiPriority w:val="99"/>
    <w:semiHidden/>
    <w:rsid w:val="00ED37A1"/>
    <w:rPr>
      <w:lang w:val="en-GB"/>
    </w:rPr>
  </w:style>
  <w:style w:type="paragraph" w:styleId="BodyTextIndent3">
    <w:name w:val="Body Text Indent 3"/>
    <w:basedOn w:val="Normal"/>
    <w:link w:val="BodyTextIndent3Char"/>
    <w:uiPriority w:val="99"/>
    <w:semiHidden/>
    <w:rsid w:val="00DD0CF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D37A1"/>
    <w:rPr>
      <w:sz w:val="16"/>
      <w:szCs w:val="16"/>
      <w:lang w:val="en-GB"/>
    </w:rPr>
  </w:style>
  <w:style w:type="character" w:styleId="BookTitle">
    <w:name w:val="Book Title"/>
    <w:basedOn w:val="DefaultParagraphFont"/>
    <w:uiPriority w:val="33"/>
    <w:semiHidden/>
    <w:rsid w:val="00DD0CF0"/>
    <w:rPr>
      <w:b/>
      <w:bCs/>
      <w:i/>
      <w:iCs/>
      <w:spacing w:val="5"/>
    </w:rPr>
  </w:style>
  <w:style w:type="paragraph" w:styleId="Caption">
    <w:name w:val="caption"/>
    <w:basedOn w:val="Normal"/>
    <w:next w:val="Normal"/>
    <w:link w:val="CaptionChar"/>
    <w:uiPriority w:val="35"/>
    <w:qFormat/>
    <w:rsid w:val="00980A03"/>
    <w:pPr>
      <w:keepNext/>
      <w:tabs>
        <w:tab w:val="left" w:pos="2268"/>
      </w:tabs>
      <w:suppressAutoHyphens/>
      <w:spacing w:before="0" w:after="227" w:line="260" w:lineRule="atLeast"/>
      <w:contextualSpacing/>
      <w:jc w:val="left"/>
    </w:pPr>
    <w:rPr>
      <w:b/>
      <w:iCs/>
      <w:color w:val="EE7D00"/>
      <w:sz w:val="21"/>
    </w:rPr>
  </w:style>
  <w:style w:type="paragraph" w:styleId="Closing">
    <w:name w:val="Closing"/>
    <w:basedOn w:val="Normal"/>
    <w:link w:val="ClosingChar"/>
    <w:uiPriority w:val="99"/>
    <w:semiHidden/>
    <w:rsid w:val="00DD0CF0"/>
    <w:pPr>
      <w:spacing w:line="240" w:lineRule="auto"/>
      <w:ind w:left="4252"/>
    </w:pPr>
  </w:style>
  <w:style w:type="character" w:customStyle="1" w:styleId="ClosingChar">
    <w:name w:val="Closing Char"/>
    <w:basedOn w:val="DefaultParagraphFont"/>
    <w:link w:val="Closing"/>
    <w:uiPriority w:val="99"/>
    <w:semiHidden/>
    <w:rsid w:val="00ED37A1"/>
    <w:rPr>
      <w:lang w:val="en-GB"/>
    </w:rPr>
  </w:style>
  <w:style w:type="character" w:styleId="CommentReference">
    <w:name w:val="annotation reference"/>
    <w:basedOn w:val="DefaultParagraphFont"/>
    <w:uiPriority w:val="99"/>
    <w:semiHidden/>
    <w:rsid w:val="00DD0CF0"/>
    <w:rPr>
      <w:sz w:val="16"/>
      <w:szCs w:val="16"/>
    </w:rPr>
  </w:style>
  <w:style w:type="paragraph" w:styleId="CommentText">
    <w:name w:val="annotation text"/>
    <w:basedOn w:val="Normal"/>
    <w:link w:val="CommentTextChar"/>
    <w:uiPriority w:val="99"/>
    <w:semiHidden/>
    <w:rsid w:val="00DD0CF0"/>
    <w:pPr>
      <w:spacing w:line="240" w:lineRule="auto"/>
    </w:pPr>
    <w:rPr>
      <w:sz w:val="20"/>
      <w:szCs w:val="20"/>
    </w:rPr>
  </w:style>
  <w:style w:type="character" w:customStyle="1" w:styleId="CommentTextChar">
    <w:name w:val="Comment Text Char"/>
    <w:basedOn w:val="DefaultParagraphFont"/>
    <w:link w:val="CommentText"/>
    <w:uiPriority w:val="99"/>
    <w:semiHidden/>
    <w:rsid w:val="004F1C51"/>
    <w:rPr>
      <w:sz w:val="20"/>
      <w:szCs w:val="20"/>
      <w:lang w:val="en-GB"/>
    </w:rPr>
  </w:style>
  <w:style w:type="paragraph" w:styleId="CommentSubject">
    <w:name w:val="annotation subject"/>
    <w:basedOn w:val="CommentText"/>
    <w:next w:val="CommentText"/>
    <w:link w:val="CommentSubjectChar"/>
    <w:uiPriority w:val="99"/>
    <w:semiHidden/>
    <w:rsid w:val="00DD0CF0"/>
    <w:rPr>
      <w:b/>
      <w:bCs/>
    </w:rPr>
  </w:style>
  <w:style w:type="character" w:customStyle="1" w:styleId="CommentSubjectChar">
    <w:name w:val="Comment Subject Char"/>
    <w:basedOn w:val="CommentTextChar"/>
    <w:link w:val="CommentSubject"/>
    <w:uiPriority w:val="99"/>
    <w:semiHidden/>
    <w:rsid w:val="004F1C51"/>
    <w:rPr>
      <w:b/>
      <w:bCs/>
      <w:sz w:val="20"/>
      <w:szCs w:val="20"/>
      <w:lang w:val="en-GB"/>
    </w:rPr>
  </w:style>
  <w:style w:type="paragraph" w:styleId="Date">
    <w:name w:val="Date"/>
    <w:basedOn w:val="Normal"/>
    <w:next w:val="Normal"/>
    <w:link w:val="DateChar"/>
    <w:uiPriority w:val="99"/>
    <w:semiHidden/>
    <w:rsid w:val="00DD0CF0"/>
  </w:style>
  <w:style w:type="character" w:customStyle="1" w:styleId="DateChar">
    <w:name w:val="Date Char"/>
    <w:basedOn w:val="DefaultParagraphFont"/>
    <w:link w:val="Date"/>
    <w:uiPriority w:val="99"/>
    <w:semiHidden/>
    <w:rsid w:val="004F1C51"/>
    <w:rPr>
      <w:lang w:val="en-GB"/>
    </w:rPr>
  </w:style>
  <w:style w:type="paragraph" w:styleId="DocumentMap">
    <w:name w:val="Document Map"/>
    <w:basedOn w:val="Normal"/>
    <w:link w:val="DocumentMapChar"/>
    <w:uiPriority w:val="99"/>
    <w:semiHidden/>
    <w:rsid w:val="00DD0CF0"/>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85F5D"/>
    <w:rPr>
      <w:rFonts w:ascii="Segoe UI" w:hAnsi="Segoe UI" w:cs="Segoe UI"/>
      <w:sz w:val="16"/>
      <w:szCs w:val="16"/>
      <w:lang w:val="en-GB"/>
    </w:rPr>
  </w:style>
  <w:style w:type="paragraph" w:styleId="EmailSignature">
    <w:name w:val="E-mail Signature"/>
    <w:basedOn w:val="Normal"/>
    <w:link w:val="EmailSignatureChar"/>
    <w:uiPriority w:val="99"/>
    <w:semiHidden/>
    <w:rsid w:val="00DD0CF0"/>
    <w:pPr>
      <w:spacing w:line="240" w:lineRule="auto"/>
    </w:pPr>
  </w:style>
  <w:style w:type="character" w:customStyle="1" w:styleId="EmailSignatureChar">
    <w:name w:val="Email Signature Char"/>
    <w:basedOn w:val="DefaultParagraphFont"/>
    <w:link w:val="EmailSignature"/>
    <w:uiPriority w:val="99"/>
    <w:semiHidden/>
    <w:rsid w:val="00ED37A1"/>
    <w:rPr>
      <w:lang w:val="en-GB"/>
    </w:rPr>
  </w:style>
  <w:style w:type="character" w:styleId="Emphasis">
    <w:name w:val="Emphasis"/>
    <w:basedOn w:val="DefaultParagraphFont"/>
    <w:uiPriority w:val="20"/>
    <w:semiHidden/>
    <w:rsid w:val="00DD0CF0"/>
    <w:rPr>
      <w:i/>
      <w:iCs/>
    </w:rPr>
  </w:style>
  <w:style w:type="character" w:styleId="EndnoteReference">
    <w:name w:val="endnote reference"/>
    <w:basedOn w:val="DefaultParagraphFont"/>
    <w:uiPriority w:val="99"/>
    <w:semiHidden/>
    <w:rsid w:val="00DD0CF0"/>
    <w:rPr>
      <w:vertAlign w:val="superscript"/>
    </w:rPr>
  </w:style>
  <w:style w:type="paragraph" w:styleId="EndnoteText">
    <w:name w:val="endnote text"/>
    <w:basedOn w:val="Normal"/>
    <w:link w:val="EndnoteTextChar"/>
    <w:uiPriority w:val="99"/>
    <w:semiHidden/>
    <w:rsid w:val="00DD0CF0"/>
    <w:pPr>
      <w:spacing w:line="240" w:lineRule="auto"/>
    </w:pPr>
    <w:rPr>
      <w:sz w:val="20"/>
      <w:szCs w:val="20"/>
    </w:rPr>
  </w:style>
  <w:style w:type="character" w:customStyle="1" w:styleId="EndnoteTextChar">
    <w:name w:val="Endnote Text Char"/>
    <w:basedOn w:val="DefaultParagraphFont"/>
    <w:link w:val="EndnoteText"/>
    <w:uiPriority w:val="99"/>
    <w:semiHidden/>
    <w:rsid w:val="004F1C51"/>
    <w:rPr>
      <w:sz w:val="20"/>
      <w:szCs w:val="20"/>
      <w:lang w:val="en-GB"/>
    </w:rPr>
  </w:style>
  <w:style w:type="paragraph" w:styleId="EnvelopeAddress">
    <w:name w:val="envelope address"/>
    <w:basedOn w:val="Normal"/>
    <w:uiPriority w:val="99"/>
    <w:semiHidden/>
    <w:rsid w:val="00DD0CF0"/>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DD0CF0"/>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DD0CF0"/>
    <w:rPr>
      <w:color w:val="954F72"/>
      <w:u w:val="single"/>
    </w:rPr>
  </w:style>
  <w:style w:type="paragraph" w:styleId="Footer">
    <w:name w:val="footer"/>
    <w:basedOn w:val="Normal"/>
    <w:link w:val="FooterChar"/>
    <w:uiPriority w:val="99"/>
    <w:semiHidden/>
    <w:rsid w:val="00DD0CF0"/>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B16C1A"/>
    <w:rPr>
      <w:lang w:val="en-GB"/>
    </w:rPr>
  </w:style>
  <w:style w:type="character" w:styleId="FootnoteReference">
    <w:name w:val="footnote reference"/>
    <w:aliases w:val="ESPON Footnote No,Footnote,Footnote symbol,Footnote reference number,Times 10 Point,Exposant 3 Point,EN Footnote Reference,note TESI,-E Fu§notenzeichen,SUPERS,Fussnota,Footnote Reference Number,-E Fußnotenzeichen,Char Char4"/>
    <w:basedOn w:val="DefaultParagraphFont"/>
    <w:uiPriority w:val="99"/>
    <w:unhideWhenUsed/>
    <w:rsid w:val="00782DFC"/>
    <w:rPr>
      <w:sz w:val="16"/>
      <w:vertAlign w:val="superscript"/>
    </w:rPr>
  </w:style>
  <w:style w:type="paragraph" w:styleId="FootnoteText">
    <w:name w:val="footnote text"/>
    <w:aliases w:val="Fußnotentextf,Fußnotentextr,stile 1,Footnote1,Footnote2,Footnote3,Footnote4,Footnote5,Footnote6,Footnote7,Footnote8,Footnote9,Footnote10,Footnote11,Footnote21,Footnote31,Footnote41,Footnote51,Footnote61,Footnote71"/>
    <w:basedOn w:val="Normal"/>
    <w:link w:val="FootnoteTextChar"/>
    <w:uiPriority w:val="99"/>
    <w:unhideWhenUsed/>
    <w:rsid w:val="00782DFC"/>
    <w:pPr>
      <w:spacing w:line="220" w:lineRule="atLeast"/>
    </w:pPr>
    <w:rPr>
      <w:sz w:val="16"/>
      <w:szCs w:val="20"/>
    </w:rPr>
  </w:style>
  <w:style w:type="character" w:customStyle="1" w:styleId="FootnoteTextChar">
    <w:name w:val="Footnote Text Char"/>
    <w:aliases w:val="Fußnotentextf Char,Fußnotentextr Char,stile 1 Char,Footnote1 Char,Footnote2 Char,Footnote3 Char,Footnote4 Char,Footnote5 Char,Footnote6 Char,Footnote7 Char,Footnote8 Char,Footnote9 Char,Footnote10 Char,Footnote11 Char,Footnote21 Char"/>
    <w:basedOn w:val="DefaultParagraphFont"/>
    <w:link w:val="FootnoteText"/>
    <w:uiPriority w:val="99"/>
    <w:rsid w:val="00B00C2F"/>
    <w:rPr>
      <w:sz w:val="16"/>
      <w:szCs w:val="20"/>
      <w:lang w:val="en-GB"/>
    </w:rPr>
  </w:style>
  <w:style w:type="character" w:styleId="Hashtag">
    <w:name w:val="Hashtag"/>
    <w:basedOn w:val="DefaultParagraphFont"/>
    <w:uiPriority w:val="99"/>
    <w:semiHidden/>
    <w:rsid w:val="00DD0CF0"/>
    <w:rPr>
      <w:color w:val="2B579A"/>
      <w:shd w:val="clear" w:color="auto" w:fill="E1DFDD"/>
    </w:rPr>
  </w:style>
  <w:style w:type="paragraph" w:styleId="Header">
    <w:name w:val="header"/>
    <w:basedOn w:val="Normal"/>
    <w:link w:val="HeaderChar"/>
    <w:uiPriority w:val="99"/>
    <w:rsid w:val="00251584"/>
    <w:pPr>
      <w:tabs>
        <w:tab w:val="left" w:pos="340"/>
        <w:tab w:val="center" w:pos="4513"/>
        <w:tab w:val="right" w:pos="9026"/>
      </w:tabs>
      <w:spacing w:before="0"/>
      <w:jc w:val="left"/>
    </w:pPr>
    <w:rPr>
      <w:caps/>
      <w:color w:val="164194"/>
      <w:sz w:val="15"/>
    </w:rPr>
  </w:style>
  <w:style w:type="character" w:customStyle="1" w:styleId="HeaderChar">
    <w:name w:val="Header Char"/>
    <w:basedOn w:val="DefaultParagraphFont"/>
    <w:link w:val="Header"/>
    <w:uiPriority w:val="99"/>
    <w:rsid w:val="00251584"/>
    <w:rPr>
      <w:caps/>
      <w:color w:val="164194"/>
      <w:sz w:val="15"/>
      <w:lang w:val="en-GB"/>
    </w:rPr>
  </w:style>
  <w:style w:type="character" w:customStyle="1" w:styleId="Heading2Char">
    <w:name w:val="Heading 2 Char"/>
    <w:basedOn w:val="DefaultParagraphFont"/>
    <w:link w:val="Heading2"/>
    <w:uiPriority w:val="9"/>
    <w:rsid w:val="00651F74"/>
    <w:rPr>
      <w:rFonts w:asciiTheme="majorHAnsi" w:eastAsiaTheme="majorEastAsia" w:hAnsiTheme="majorHAnsi" w:cstheme="majorBidi"/>
      <w:b/>
      <w:color w:val="164194"/>
      <w:sz w:val="26"/>
      <w:szCs w:val="26"/>
      <w:lang w:val="en-GB"/>
    </w:rPr>
  </w:style>
  <w:style w:type="character" w:customStyle="1" w:styleId="Heading3Char">
    <w:name w:val="Heading 3 Char"/>
    <w:basedOn w:val="DefaultParagraphFont"/>
    <w:link w:val="Heading3"/>
    <w:uiPriority w:val="9"/>
    <w:rsid w:val="00651F74"/>
    <w:rPr>
      <w:rFonts w:asciiTheme="majorHAnsi" w:eastAsiaTheme="majorEastAsia" w:hAnsiTheme="majorHAnsi" w:cstheme="majorBidi"/>
      <w:b/>
      <w:color w:val="164194"/>
      <w:sz w:val="21"/>
      <w:szCs w:val="24"/>
      <w:lang w:val="en-US"/>
    </w:rPr>
  </w:style>
  <w:style w:type="character" w:customStyle="1" w:styleId="Heading4Char">
    <w:name w:val="Heading 4 Char"/>
    <w:basedOn w:val="DefaultParagraphFont"/>
    <w:link w:val="Heading4"/>
    <w:uiPriority w:val="9"/>
    <w:rsid w:val="00651F74"/>
    <w:rPr>
      <w:rFonts w:asciiTheme="majorHAnsi" w:eastAsiaTheme="majorEastAsia" w:hAnsiTheme="majorHAnsi" w:cstheme="majorBidi"/>
      <w:b/>
      <w:iCs/>
      <w:color w:val="164194"/>
      <w:lang w:val="en-US"/>
    </w:rPr>
  </w:style>
  <w:style w:type="character" w:customStyle="1" w:styleId="Heading5Char">
    <w:name w:val="Heading 5 Char"/>
    <w:basedOn w:val="DefaultParagraphFont"/>
    <w:link w:val="Heading5"/>
    <w:uiPriority w:val="9"/>
    <w:semiHidden/>
    <w:rsid w:val="00D03E57"/>
    <w:rPr>
      <w:rFonts w:asciiTheme="majorHAnsi" w:eastAsiaTheme="majorEastAsia" w:hAnsiTheme="majorHAnsi" w:cstheme="majorBidi"/>
      <w:color w:val="081130"/>
      <w:lang w:val="en-GB"/>
    </w:rPr>
  </w:style>
  <w:style w:type="character" w:customStyle="1" w:styleId="Heading6Char">
    <w:name w:val="Heading 6 Char"/>
    <w:basedOn w:val="DefaultParagraphFont"/>
    <w:link w:val="Heading6"/>
    <w:uiPriority w:val="9"/>
    <w:semiHidden/>
    <w:rsid w:val="00D03E57"/>
    <w:rPr>
      <w:rFonts w:asciiTheme="majorHAnsi" w:eastAsiaTheme="majorEastAsia" w:hAnsiTheme="majorHAnsi" w:cstheme="majorBidi"/>
      <w:color w:val="050B20"/>
      <w:lang w:val="en-GB"/>
    </w:rPr>
  </w:style>
  <w:style w:type="character" w:customStyle="1" w:styleId="Heading7Char">
    <w:name w:val="Heading 7 Char"/>
    <w:basedOn w:val="DefaultParagraphFont"/>
    <w:link w:val="Heading7"/>
    <w:uiPriority w:val="9"/>
    <w:semiHidden/>
    <w:rsid w:val="00D03E57"/>
    <w:rPr>
      <w:rFonts w:asciiTheme="majorHAnsi" w:eastAsiaTheme="majorEastAsia" w:hAnsiTheme="majorHAnsi" w:cstheme="majorBidi"/>
      <w:i/>
      <w:iCs/>
      <w:color w:val="050B20"/>
      <w:lang w:val="en-GB"/>
    </w:rPr>
  </w:style>
  <w:style w:type="character" w:customStyle="1" w:styleId="Heading8Char">
    <w:name w:val="Heading 8 Char"/>
    <w:basedOn w:val="DefaultParagraphFont"/>
    <w:link w:val="Heading8"/>
    <w:uiPriority w:val="9"/>
    <w:semiHidden/>
    <w:rsid w:val="00D03E57"/>
    <w:rPr>
      <w:rFonts w:asciiTheme="majorHAnsi" w:eastAsiaTheme="majorEastAsia" w:hAnsiTheme="majorHAnsi" w:cstheme="majorBidi"/>
      <w:color w:val="272727"/>
      <w:sz w:val="21"/>
      <w:szCs w:val="21"/>
      <w:lang w:val="en-GB"/>
    </w:rPr>
  </w:style>
  <w:style w:type="character" w:customStyle="1" w:styleId="Heading9Char">
    <w:name w:val="Heading 9 Char"/>
    <w:basedOn w:val="DefaultParagraphFont"/>
    <w:link w:val="Heading9"/>
    <w:uiPriority w:val="9"/>
    <w:semiHidden/>
    <w:rsid w:val="00D03E57"/>
    <w:rPr>
      <w:rFonts w:asciiTheme="majorHAnsi" w:eastAsiaTheme="majorEastAsia" w:hAnsiTheme="majorHAnsi" w:cstheme="majorBidi"/>
      <w:i/>
      <w:iCs/>
      <w:color w:val="272727"/>
      <w:sz w:val="21"/>
      <w:szCs w:val="21"/>
      <w:lang w:val="en-GB"/>
    </w:rPr>
  </w:style>
  <w:style w:type="character" w:styleId="HTMLAcronym">
    <w:name w:val="HTML Acronym"/>
    <w:basedOn w:val="DefaultParagraphFont"/>
    <w:uiPriority w:val="99"/>
    <w:semiHidden/>
    <w:rsid w:val="00DD0CF0"/>
  </w:style>
  <w:style w:type="paragraph" w:styleId="HTMLAddress">
    <w:name w:val="HTML Address"/>
    <w:basedOn w:val="Normal"/>
    <w:link w:val="HTMLAddressChar"/>
    <w:uiPriority w:val="99"/>
    <w:semiHidden/>
    <w:rsid w:val="00DD0CF0"/>
    <w:pPr>
      <w:spacing w:line="240" w:lineRule="auto"/>
    </w:pPr>
    <w:rPr>
      <w:i/>
      <w:iCs/>
    </w:rPr>
  </w:style>
  <w:style w:type="character" w:customStyle="1" w:styleId="HTMLAddressChar">
    <w:name w:val="HTML Address Char"/>
    <w:basedOn w:val="DefaultParagraphFont"/>
    <w:link w:val="HTMLAddress"/>
    <w:uiPriority w:val="99"/>
    <w:semiHidden/>
    <w:rsid w:val="00ED37A1"/>
    <w:rPr>
      <w:i/>
      <w:iCs/>
      <w:lang w:val="en-GB"/>
    </w:rPr>
  </w:style>
  <w:style w:type="character" w:styleId="HTMLCite">
    <w:name w:val="HTML Cite"/>
    <w:basedOn w:val="DefaultParagraphFont"/>
    <w:uiPriority w:val="99"/>
    <w:semiHidden/>
    <w:rsid w:val="00DD0CF0"/>
    <w:rPr>
      <w:i/>
      <w:iCs/>
    </w:rPr>
  </w:style>
  <w:style w:type="character" w:styleId="HTMLCode">
    <w:name w:val="HTML Code"/>
    <w:basedOn w:val="DefaultParagraphFont"/>
    <w:uiPriority w:val="99"/>
    <w:semiHidden/>
    <w:rsid w:val="00DD0CF0"/>
    <w:rPr>
      <w:rFonts w:ascii="Consolas" w:hAnsi="Consolas"/>
      <w:sz w:val="20"/>
      <w:szCs w:val="20"/>
    </w:rPr>
  </w:style>
  <w:style w:type="character" w:styleId="HTMLDefinition">
    <w:name w:val="HTML Definition"/>
    <w:basedOn w:val="DefaultParagraphFont"/>
    <w:uiPriority w:val="99"/>
    <w:semiHidden/>
    <w:rsid w:val="00DD0CF0"/>
    <w:rPr>
      <w:i/>
      <w:iCs/>
    </w:rPr>
  </w:style>
  <w:style w:type="character" w:styleId="HTMLKeyboard">
    <w:name w:val="HTML Keyboard"/>
    <w:basedOn w:val="DefaultParagraphFont"/>
    <w:uiPriority w:val="99"/>
    <w:semiHidden/>
    <w:rsid w:val="00DD0CF0"/>
    <w:rPr>
      <w:rFonts w:ascii="Consolas" w:hAnsi="Consolas"/>
      <w:sz w:val="20"/>
      <w:szCs w:val="20"/>
    </w:rPr>
  </w:style>
  <w:style w:type="paragraph" w:styleId="HTMLPreformatted">
    <w:name w:val="HTML Preformatted"/>
    <w:basedOn w:val="Normal"/>
    <w:link w:val="HTMLPreformattedChar"/>
    <w:uiPriority w:val="99"/>
    <w:semiHidden/>
    <w:rsid w:val="00DD0CF0"/>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D37A1"/>
    <w:rPr>
      <w:rFonts w:ascii="Consolas" w:hAnsi="Consolas"/>
      <w:sz w:val="20"/>
      <w:szCs w:val="20"/>
      <w:lang w:val="en-GB"/>
    </w:rPr>
  </w:style>
  <w:style w:type="character" w:styleId="HTMLSample">
    <w:name w:val="HTML Sample"/>
    <w:basedOn w:val="DefaultParagraphFont"/>
    <w:uiPriority w:val="99"/>
    <w:semiHidden/>
    <w:rsid w:val="00DD0CF0"/>
    <w:rPr>
      <w:rFonts w:ascii="Consolas" w:hAnsi="Consolas"/>
      <w:sz w:val="24"/>
      <w:szCs w:val="24"/>
    </w:rPr>
  </w:style>
  <w:style w:type="character" w:styleId="HTMLTypewriter">
    <w:name w:val="HTML Typewriter"/>
    <w:basedOn w:val="DefaultParagraphFont"/>
    <w:uiPriority w:val="99"/>
    <w:semiHidden/>
    <w:rsid w:val="00DD0CF0"/>
    <w:rPr>
      <w:rFonts w:ascii="Consolas" w:hAnsi="Consolas"/>
      <w:sz w:val="20"/>
      <w:szCs w:val="20"/>
    </w:rPr>
  </w:style>
  <w:style w:type="character" w:styleId="HTMLVariable">
    <w:name w:val="HTML Variable"/>
    <w:basedOn w:val="DefaultParagraphFont"/>
    <w:uiPriority w:val="99"/>
    <w:semiHidden/>
    <w:rsid w:val="00DD0CF0"/>
    <w:rPr>
      <w:i/>
      <w:iCs/>
    </w:rPr>
  </w:style>
  <w:style w:type="character" w:styleId="Hyperlink">
    <w:name w:val="Hyperlink"/>
    <w:basedOn w:val="DefaultParagraphFont"/>
    <w:uiPriority w:val="99"/>
    <w:rsid w:val="00DD0CF0"/>
    <w:rPr>
      <w:color w:val="0563C1"/>
      <w:u w:val="single"/>
    </w:rPr>
  </w:style>
  <w:style w:type="paragraph" w:styleId="Index1">
    <w:name w:val="index 1"/>
    <w:basedOn w:val="Normal"/>
    <w:next w:val="Normal"/>
    <w:autoRedefine/>
    <w:uiPriority w:val="99"/>
    <w:semiHidden/>
    <w:rsid w:val="00DD0CF0"/>
    <w:pPr>
      <w:spacing w:line="240" w:lineRule="auto"/>
      <w:ind w:left="220" w:hanging="220"/>
    </w:pPr>
  </w:style>
  <w:style w:type="paragraph" w:styleId="Index2">
    <w:name w:val="index 2"/>
    <w:basedOn w:val="Normal"/>
    <w:next w:val="Normal"/>
    <w:autoRedefine/>
    <w:uiPriority w:val="99"/>
    <w:semiHidden/>
    <w:rsid w:val="00DD0CF0"/>
    <w:pPr>
      <w:spacing w:line="240" w:lineRule="auto"/>
      <w:ind w:left="440" w:hanging="220"/>
    </w:pPr>
  </w:style>
  <w:style w:type="paragraph" w:styleId="Index3">
    <w:name w:val="index 3"/>
    <w:basedOn w:val="Normal"/>
    <w:next w:val="Normal"/>
    <w:autoRedefine/>
    <w:uiPriority w:val="99"/>
    <w:semiHidden/>
    <w:rsid w:val="00DD0CF0"/>
    <w:pPr>
      <w:spacing w:line="240" w:lineRule="auto"/>
      <w:ind w:left="660" w:hanging="220"/>
    </w:pPr>
  </w:style>
  <w:style w:type="paragraph" w:styleId="Index4">
    <w:name w:val="index 4"/>
    <w:basedOn w:val="Normal"/>
    <w:next w:val="Normal"/>
    <w:autoRedefine/>
    <w:uiPriority w:val="99"/>
    <w:semiHidden/>
    <w:rsid w:val="00DD0CF0"/>
    <w:pPr>
      <w:spacing w:line="240" w:lineRule="auto"/>
      <w:ind w:left="880" w:hanging="220"/>
    </w:pPr>
  </w:style>
  <w:style w:type="paragraph" w:styleId="Index5">
    <w:name w:val="index 5"/>
    <w:basedOn w:val="Normal"/>
    <w:next w:val="Normal"/>
    <w:autoRedefine/>
    <w:uiPriority w:val="99"/>
    <w:semiHidden/>
    <w:rsid w:val="00DD0CF0"/>
    <w:pPr>
      <w:spacing w:line="240" w:lineRule="auto"/>
      <w:ind w:left="1100" w:hanging="220"/>
    </w:pPr>
  </w:style>
  <w:style w:type="paragraph" w:styleId="Index6">
    <w:name w:val="index 6"/>
    <w:basedOn w:val="Normal"/>
    <w:next w:val="Normal"/>
    <w:autoRedefine/>
    <w:uiPriority w:val="99"/>
    <w:semiHidden/>
    <w:rsid w:val="00DD0CF0"/>
    <w:pPr>
      <w:spacing w:line="240" w:lineRule="auto"/>
      <w:ind w:left="1320" w:hanging="220"/>
    </w:pPr>
  </w:style>
  <w:style w:type="paragraph" w:styleId="Index7">
    <w:name w:val="index 7"/>
    <w:basedOn w:val="Normal"/>
    <w:next w:val="Normal"/>
    <w:autoRedefine/>
    <w:uiPriority w:val="99"/>
    <w:semiHidden/>
    <w:rsid w:val="00DD0CF0"/>
    <w:pPr>
      <w:spacing w:line="240" w:lineRule="auto"/>
      <w:ind w:left="1540" w:hanging="220"/>
    </w:pPr>
  </w:style>
  <w:style w:type="paragraph" w:styleId="Index8">
    <w:name w:val="index 8"/>
    <w:basedOn w:val="Normal"/>
    <w:next w:val="Normal"/>
    <w:autoRedefine/>
    <w:uiPriority w:val="99"/>
    <w:semiHidden/>
    <w:rsid w:val="00DD0CF0"/>
    <w:pPr>
      <w:spacing w:line="240" w:lineRule="auto"/>
      <w:ind w:left="1760" w:hanging="220"/>
    </w:pPr>
  </w:style>
  <w:style w:type="paragraph" w:styleId="Index9">
    <w:name w:val="index 9"/>
    <w:basedOn w:val="Normal"/>
    <w:next w:val="Normal"/>
    <w:autoRedefine/>
    <w:uiPriority w:val="99"/>
    <w:semiHidden/>
    <w:rsid w:val="00DD0CF0"/>
    <w:pPr>
      <w:spacing w:line="240" w:lineRule="auto"/>
      <w:ind w:left="1980" w:hanging="220"/>
    </w:pPr>
  </w:style>
  <w:style w:type="paragraph" w:styleId="IndexHeading">
    <w:name w:val="index heading"/>
    <w:basedOn w:val="Normal"/>
    <w:next w:val="Index1"/>
    <w:uiPriority w:val="99"/>
    <w:semiHidden/>
    <w:rsid w:val="00DD0CF0"/>
    <w:rPr>
      <w:rFonts w:asciiTheme="majorHAnsi" w:eastAsiaTheme="majorEastAsia" w:hAnsiTheme="majorHAnsi" w:cstheme="majorBidi"/>
      <w:b/>
      <w:bCs/>
    </w:rPr>
  </w:style>
  <w:style w:type="character" w:styleId="IntenseEmphasis">
    <w:name w:val="Intense Emphasis"/>
    <w:basedOn w:val="DefaultParagraphFont"/>
    <w:uiPriority w:val="21"/>
    <w:semiHidden/>
    <w:rsid w:val="00DD0CF0"/>
    <w:rPr>
      <w:i/>
      <w:iCs/>
      <w:color w:val="0B1741"/>
    </w:rPr>
  </w:style>
  <w:style w:type="paragraph" w:styleId="IntenseQuote">
    <w:name w:val="Intense Quote"/>
    <w:basedOn w:val="Normal"/>
    <w:next w:val="Normal"/>
    <w:link w:val="IntenseQuoteChar"/>
    <w:uiPriority w:val="30"/>
    <w:semiHidden/>
    <w:rsid w:val="00DD0CF0"/>
    <w:pPr>
      <w:pBdr>
        <w:top w:val="single" w:sz="4" w:space="10" w:color="0B1741"/>
        <w:bottom w:val="single" w:sz="4" w:space="10" w:color="0B1741"/>
      </w:pBdr>
      <w:spacing w:before="360" w:after="360"/>
      <w:ind w:left="864" w:right="864"/>
      <w:jc w:val="center"/>
    </w:pPr>
    <w:rPr>
      <w:i/>
      <w:iCs/>
      <w:color w:val="0B1741"/>
    </w:rPr>
  </w:style>
  <w:style w:type="character" w:customStyle="1" w:styleId="IntenseQuoteChar">
    <w:name w:val="Intense Quote Char"/>
    <w:basedOn w:val="DefaultParagraphFont"/>
    <w:link w:val="IntenseQuote"/>
    <w:uiPriority w:val="30"/>
    <w:semiHidden/>
    <w:rsid w:val="00ED37A1"/>
    <w:rPr>
      <w:i/>
      <w:iCs/>
      <w:color w:val="0B1741"/>
      <w:lang w:val="en-GB"/>
    </w:rPr>
  </w:style>
  <w:style w:type="character" w:styleId="IntenseReference">
    <w:name w:val="Intense Reference"/>
    <w:basedOn w:val="DefaultParagraphFont"/>
    <w:uiPriority w:val="32"/>
    <w:semiHidden/>
    <w:rsid w:val="00DD0CF0"/>
    <w:rPr>
      <w:b/>
      <w:bCs/>
      <w:smallCaps/>
      <w:color w:val="0B1741"/>
      <w:spacing w:val="5"/>
    </w:rPr>
  </w:style>
  <w:style w:type="character" w:styleId="LineNumber">
    <w:name w:val="line number"/>
    <w:basedOn w:val="DefaultParagraphFont"/>
    <w:uiPriority w:val="99"/>
    <w:semiHidden/>
    <w:rsid w:val="00DD0CF0"/>
  </w:style>
  <w:style w:type="paragraph" w:styleId="List">
    <w:name w:val="List"/>
    <w:basedOn w:val="Normal"/>
    <w:uiPriority w:val="99"/>
    <w:semiHidden/>
    <w:rsid w:val="00DD0CF0"/>
    <w:pPr>
      <w:ind w:left="283" w:hanging="283"/>
      <w:contextualSpacing/>
    </w:pPr>
  </w:style>
  <w:style w:type="paragraph" w:styleId="List2">
    <w:name w:val="List 2"/>
    <w:basedOn w:val="Normal"/>
    <w:uiPriority w:val="99"/>
    <w:semiHidden/>
    <w:rsid w:val="00DD0CF0"/>
    <w:pPr>
      <w:ind w:left="566" w:hanging="283"/>
      <w:contextualSpacing/>
    </w:pPr>
  </w:style>
  <w:style w:type="paragraph" w:styleId="List3">
    <w:name w:val="List 3"/>
    <w:basedOn w:val="Normal"/>
    <w:uiPriority w:val="99"/>
    <w:semiHidden/>
    <w:rsid w:val="00DD0CF0"/>
    <w:pPr>
      <w:ind w:left="849" w:hanging="283"/>
      <w:contextualSpacing/>
    </w:pPr>
  </w:style>
  <w:style w:type="paragraph" w:styleId="List4">
    <w:name w:val="List 4"/>
    <w:basedOn w:val="Normal"/>
    <w:uiPriority w:val="99"/>
    <w:semiHidden/>
    <w:rsid w:val="00DD0CF0"/>
    <w:pPr>
      <w:ind w:left="1132" w:hanging="283"/>
      <w:contextualSpacing/>
    </w:pPr>
  </w:style>
  <w:style w:type="paragraph" w:styleId="List5">
    <w:name w:val="List 5"/>
    <w:basedOn w:val="Normal"/>
    <w:uiPriority w:val="99"/>
    <w:semiHidden/>
    <w:rsid w:val="00DD0CF0"/>
    <w:pPr>
      <w:ind w:left="1415" w:hanging="283"/>
      <w:contextualSpacing/>
    </w:pPr>
  </w:style>
  <w:style w:type="paragraph" w:styleId="ListBullet">
    <w:name w:val="List Bullet"/>
    <w:basedOn w:val="Normal"/>
    <w:uiPriority w:val="99"/>
    <w:semiHidden/>
    <w:rsid w:val="00DD0CF0"/>
    <w:pPr>
      <w:numPr>
        <w:numId w:val="1"/>
      </w:numPr>
      <w:contextualSpacing/>
    </w:pPr>
  </w:style>
  <w:style w:type="paragraph" w:styleId="ListBullet2">
    <w:name w:val="List Bullet 2"/>
    <w:basedOn w:val="Normal"/>
    <w:uiPriority w:val="99"/>
    <w:semiHidden/>
    <w:rsid w:val="00DD0CF0"/>
    <w:pPr>
      <w:numPr>
        <w:numId w:val="2"/>
      </w:numPr>
      <w:contextualSpacing/>
    </w:pPr>
  </w:style>
  <w:style w:type="paragraph" w:styleId="ListBullet3">
    <w:name w:val="List Bullet 3"/>
    <w:basedOn w:val="Normal"/>
    <w:uiPriority w:val="99"/>
    <w:semiHidden/>
    <w:rsid w:val="00DD0CF0"/>
    <w:pPr>
      <w:numPr>
        <w:numId w:val="3"/>
      </w:numPr>
      <w:contextualSpacing/>
    </w:pPr>
  </w:style>
  <w:style w:type="paragraph" w:styleId="ListBullet4">
    <w:name w:val="List Bullet 4"/>
    <w:basedOn w:val="Normal"/>
    <w:uiPriority w:val="99"/>
    <w:semiHidden/>
    <w:rsid w:val="00DD0CF0"/>
    <w:pPr>
      <w:numPr>
        <w:numId w:val="4"/>
      </w:numPr>
      <w:contextualSpacing/>
    </w:pPr>
  </w:style>
  <w:style w:type="paragraph" w:styleId="ListBullet5">
    <w:name w:val="List Bullet 5"/>
    <w:basedOn w:val="Normal"/>
    <w:uiPriority w:val="99"/>
    <w:semiHidden/>
    <w:rsid w:val="00DD0CF0"/>
    <w:pPr>
      <w:numPr>
        <w:numId w:val="5"/>
      </w:numPr>
      <w:contextualSpacing/>
    </w:pPr>
  </w:style>
  <w:style w:type="paragraph" w:styleId="ListContinue">
    <w:name w:val="List Continue"/>
    <w:basedOn w:val="Normal"/>
    <w:uiPriority w:val="99"/>
    <w:semiHidden/>
    <w:rsid w:val="00DD0CF0"/>
    <w:pPr>
      <w:spacing w:after="120"/>
      <w:ind w:left="283"/>
      <w:contextualSpacing/>
    </w:pPr>
  </w:style>
  <w:style w:type="paragraph" w:styleId="ListContinue2">
    <w:name w:val="List Continue 2"/>
    <w:basedOn w:val="Normal"/>
    <w:uiPriority w:val="99"/>
    <w:semiHidden/>
    <w:rsid w:val="00DD0CF0"/>
    <w:pPr>
      <w:spacing w:after="120"/>
      <w:ind w:left="566"/>
      <w:contextualSpacing/>
    </w:pPr>
  </w:style>
  <w:style w:type="paragraph" w:styleId="ListContinue3">
    <w:name w:val="List Continue 3"/>
    <w:basedOn w:val="Normal"/>
    <w:uiPriority w:val="99"/>
    <w:semiHidden/>
    <w:rsid w:val="00DD0CF0"/>
    <w:pPr>
      <w:spacing w:after="120"/>
      <w:ind w:left="849"/>
      <w:contextualSpacing/>
    </w:pPr>
  </w:style>
  <w:style w:type="paragraph" w:styleId="ListContinue4">
    <w:name w:val="List Continue 4"/>
    <w:basedOn w:val="Normal"/>
    <w:uiPriority w:val="99"/>
    <w:semiHidden/>
    <w:rsid w:val="00DD0CF0"/>
    <w:pPr>
      <w:spacing w:after="120"/>
      <w:ind w:left="1132"/>
      <w:contextualSpacing/>
    </w:pPr>
  </w:style>
  <w:style w:type="paragraph" w:styleId="ListContinue5">
    <w:name w:val="List Continue 5"/>
    <w:basedOn w:val="Normal"/>
    <w:uiPriority w:val="99"/>
    <w:semiHidden/>
    <w:rsid w:val="00DD0CF0"/>
    <w:pPr>
      <w:spacing w:after="120"/>
      <w:ind w:left="1415"/>
      <w:contextualSpacing/>
    </w:pPr>
  </w:style>
  <w:style w:type="paragraph" w:styleId="ListNumber">
    <w:name w:val="List Number"/>
    <w:basedOn w:val="Normal"/>
    <w:uiPriority w:val="99"/>
    <w:semiHidden/>
    <w:rsid w:val="00DD0CF0"/>
    <w:pPr>
      <w:numPr>
        <w:numId w:val="6"/>
      </w:numPr>
      <w:contextualSpacing/>
    </w:pPr>
  </w:style>
  <w:style w:type="paragraph" w:styleId="ListNumber2">
    <w:name w:val="List Number 2"/>
    <w:basedOn w:val="Normal"/>
    <w:uiPriority w:val="99"/>
    <w:semiHidden/>
    <w:rsid w:val="00DD0CF0"/>
    <w:pPr>
      <w:numPr>
        <w:numId w:val="7"/>
      </w:numPr>
      <w:contextualSpacing/>
    </w:pPr>
  </w:style>
  <w:style w:type="paragraph" w:styleId="ListNumber3">
    <w:name w:val="List Number 3"/>
    <w:basedOn w:val="Normal"/>
    <w:uiPriority w:val="99"/>
    <w:semiHidden/>
    <w:rsid w:val="00DD0CF0"/>
    <w:pPr>
      <w:numPr>
        <w:numId w:val="8"/>
      </w:numPr>
      <w:contextualSpacing/>
    </w:pPr>
  </w:style>
  <w:style w:type="paragraph" w:styleId="ListNumber4">
    <w:name w:val="List Number 4"/>
    <w:basedOn w:val="Normal"/>
    <w:uiPriority w:val="99"/>
    <w:semiHidden/>
    <w:rsid w:val="00DD0CF0"/>
    <w:pPr>
      <w:numPr>
        <w:numId w:val="9"/>
      </w:numPr>
      <w:contextualSpacing/>
    </w:pPr>
  </w:style>
  <w:style w:type="paragraph" w:styleId="ListNumber5">
    <w:name w:val="List Number 5"/>
    <w:basedOn w:val="Normal"/>
    <w:uiPriority w:val="99"/>
    <w:semiHidden/>
    <w:rsid w:val="00DD0CF0"/>
    <w:pPr>
      <w:numPr>
        <w:numId w:val="10"/>
      </w:numPr>
      <w:contextualSpacing/>
    </w:pPr>
  </w:style>
  <w:style w:type="paragraph" w:styleId="ListParagraph">
    <w:name w:val="List Paragraph"/>
    <w:basedOn w:val="Normal"/>
    <w:uiPriority w:val="34"/>
    <w:qFormat/>
    <w:rsid w:val="002479F1"/>
    <w:pPr>
      <w:ind w:left="720"/>
    </w:pPr>
  </w:style>
  <w:style w:type="paragraph" w:styleId="MacroText">
    <w:name w:val="macro"/>
    <w:link w:val="MacroTextChar"/>
    <w:uiPriority w:val="99"/>
    <w:semiHidden/>
    <w:rsid w:val="00DD0CF0"/>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ED37A1"/>
    <w:rPr>
      <w:rFonts w:ascii="Consolas" w:hAnsi="Consolas"/>
      <w:sz w:val="20"/>
      <w:szCs w:val="20"/>
    </w:rPr>
  </w:style>
  <w:style w:type="character" w:styleId="Mention">
    <w:name w:val="Mention"/>
    <w:basedOn w:val="DefaultParagraphFont"/>
    <w:uiPriority w:val="99"/>
    <w:semiHidden/>
    <w:rsid w:val="00DD0CF0"/>
    <w:rPr>
      <w:color w:val="2B579A"/>
      <w:shd w:val="clear" w:color="auto" w:fill="E1DFDD"/>
    </w:rPr>
  </w:style>
  <w:style w:type="paragraph" w:styleId="MessageHeader">
    <w:name w:val="Message Header"/>
    <w:basedOn w:val="Normal"/>
    <w:link w:val="MessageHeaderChar"/>
    <w:uiPriority w:val="99"/>
    <w:semiHidden/>
    <w:rsid w:val="00DD0CF0"/>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D37A1"/>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75494A"/>
    <w:rPr>
      <w:lang w:val="en-GB"/>
    </w:rPr>
  </w:style>
  <w:style w:type="paragraph" w:styleId="NormalWeb">
    <w:name w:val="Normal (Web)"/>
    <w:basedOn w:val="Normal"/>
    <w:uiPriority w:val="99"/>
    <w:semiHidden/>
    <w:rsid w:val="00DD0CF0"/>
    <w:rPr>
      <w:rFonts w:ascii="Times New Roman" w:hAnsi="Times New Roman" w:cs="Times New Roman"/>
      <w:sz w:val="24"/>
      <w:szCs w:val="24"/>
    </w:rPr>
  </w:style>
  <w:style w:type="paragraph" w:styleId="NormalIndent">
    <w:name w:val="Normal Indent"/>
    <w:basedOn w:val="Normal"/>
    <w:uiPriority w:val="99"/>
    <w:semiHidden/>
    <w:rsid w:val="00DD0CF0"/>
    <w:pPr>
      <w:ind w:left="1304"/>
    </w:pPr>
  </w:style>
  <w:style w:type="paragraph" w:styleId="NoteHeading">
    <w:name w:val="Note Heading"/>
    <w:basedOn w:val="Normal"/>
    <w:next w:val="Normal"/>
    <w:link w:val="NoteHeadingChar"/>
    <w:uiPriority w:val="99"/>
    <w:semiHidden/>
    <w:rsid w:val="00DD0CF0"/>
    <w:pPr>
      <w:spacing w:line="240" w:lineRule="auto"/>
    </w:pPr>
  </w:style>
  <w:style w:type="character" w:customStyle="1" w:styleId="NoteHeadingChar">
    <w:name w:val="Note Heading Char"/>
    <w:basedOn w:val="DefaultParagraphFont"/>
    <w:link w:val="NoteHeading"/>
    <w:uiPriority w:val="99"/>
    <w:semiHidden/>
    <w:rsid w:val="00ED37A1"/>
    <w:rPr>
      <w:lang w:val="en-GB"/>
    </w:rPr>
  </w:style>
  <w:style w:type="character" w:styleId="PageNumber">
    <w:name w:val="page number"/>
    <w:basedOn w:val="DefaultParagraphFont"/>
    <w:uiPriority w:val="99"/>
    <w:semiHidden/>
    <w:rsid w:val="00DD0CF0"/>
  </w:style>
  <w:style w:type="character" w:styleId="PlaceholderText">
    <w:name w:val="Placeholder Text"/>
    <w:basedOn w:val="DefaultParagraphFont"/>
    <w:uiPriority w:val="99"/>
    <w:semiHidden/>
    <w:rsid w:val="00DD0CF0"/>
    <w:rPr>
      <w:color w:val="808080"/>
    </w:rPr>
  </w:style>
  <w:style w:type="paragraph" w:styleId="PlainText">
    <w:name w:val="Plain Text"/>
    <w:basedOn w:val="Normal"/>
    <w:link w:val="PlainTextChar"/>
    <w:uiPriority w:val="99"/>
    <w:semiHidden/>
    <w:rsid w:val="00DD0CF0"/>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D37A1"/>
    <w:rPr>
      <w:rFonts w:ascii="Consolas" w:hAnsi="Consolas"/>
      <w:sz w:val="21"/>
      <w:szCs w:val="21"/>
      <w:lang w:val="en-GB"/>
    </w:rPr>
  </w:style>
  <w:style w:type="paragraph" w:styleId="Quote">
    <w:name w:val="Quote"/>
    <w:basedOn w:val="Normal"/>
    <w:next w:val="Normal"/>
    <w:link w:val="QuoteChar"/>
    <w:uiPriority w:val="29"/>
    <w:semiHidden/>
    <w:rsid w:val="00DD0CF0"/>
    <w:pPr>
      <w:spacing w:before="200" w:after="160"/>
      <w:ind w:left="864" w:right="864"/>
      <w:jc w:val="center"/>
    </w:pPr>
    <w:rPr>
      <w:i/>
      <w:iCs/>
      <w:color w:val="404040"/>
    </w:rPr>
  </w:style>
  <w:style w:type="character" w:customStyle="1" w:styleId="QuoteChar">
    <w:name w:val="Quote Char"/>
    <w:basedOn w:val="DefaultParagraphFont"/>
    <w:link w:val="Quote"/>
    <w:uiPriority w:val="29"/>
    <w:semiHidden/>
    <w:rsid w:val="00ED37A1"/>
    <w:rPr>
      <w:i/>
      <w:iCs/>
      <w:color w:val="404040"/>
      <w:lang w:val="en-GB"/>
    </w:rPr>
  </w:style>
  <w:style w:type="paragraph" w:styleId="Salutation">
    <w:name w:val="Salutation"/>
    <w:basedOn w:val="Normal"/>
    <w:next w:val="Normal"/>
    <w:link w:val="SalutationChar"/>
    <w:uiPriority w:val="99"/>
    <w:semiHidden/>
    <w:rsid w:val="00DD0CF0"/>
  </w:style>
  <w:style w:type="character" w:customStyle="1" w:styleId="SalutationChar">
    <w:name w:val="Salutation Char"/>
    <w:basedOn w:val="DefaultParagraphFont"/>
    <w:link w:val="Salutation"/>
    <w:uiPriority w:val="99"/>
    <w:semiHidden/>
    <w:rsid w:val="00ED37A1"/>
    <w:rPr>
      <w:lang w:val="en-GB"/>
    </w:rPr>
  </w:style>
  <w:style w:type="paragraph" w:styleId="Signature">
    <w:name w:val="Signature"/>
    <w:basedOn w:val="Normal"/>
    <w:link w:val="SignatureChar"/>
    <w:uiPriority w:val="99"/>
    <w:semiHidden/>
    <w:rsid w:val="00DD0CF0"/>
    <w:pPr>
      <w:spacing w:line="240" w:lineRule="auto"/>
      <w:ind w:left="4252"/>
    </w:pPr>
  </w:style>
  <w:style w:type="character" w:customStyle="1" w:styleId="SignatureChar">
    <w:name w:val="Signature Char"/>
    <w:basedOn w:val="DefaultParagraphFont"/>
    <w:link w:val="Signature"/>
    <w:uiPriority w:val="99"/>
    <w:semiHidden/>
    <w:rsid w:val="00ED37A1"/>
    <w:rPr>
      <w:lang w:val="en-GB"/>
    </w:rPr>
  </w:style>
  <w:style w:type="character" w:styleId="SmartHyperlink">
    <w:name w:val="Smart Hyperlink"/>
    <w:basedOn w:val="DefaultParagraphFont"/>
    <w:uiPriority w:val="99"/>
    <w:semiHidden/>
    <w:rsid w:val="00DD0CF0"/>
    <w:rPr>
      <w:u w:val="dotted"/>
    </w:rPr>
  </w:style>
  <w:style w:type="character" w:styleId="SmartLink">
    <w:name w:val="Smart Link"/>
    <w:basedOn w:val="DefaultParagraphFont"/>
    <w:uiPriority w:val="99"/>
    <w:semiHidden/>
    <w:rsid w:val="00DD0CF0"/>
    <w:rPr>
      <w:color w:val="0000FF"/>
      <w:u w:val="single"/>
      <w:shd w:val="clear" w:color="auto" w:fill="F3F2F1"/>
    </w:rPr>
  </w:style>
  <w:style w:type="character" w:styleId="Strong">
    <w:name w:val="Strong"/>
    <w:basedOn w:val="DefaultParagraphFont"/>
    <w:uiPriority w:val="22"/>
    <w:semiHidden/>
    <w:rsid w:val="00DD0CF0"/>
    <w:rPr>
      <w:b/>
      <w:bCs/>
    </w:rPr>
  </w:style>
  <w:style w:type="paragraph" w:styleId="Subtitle">
    <w:name w:val="Subtitle"/>
    <w:basedOn w:val="Normal"/>
    <w:next w:val="Reporttype"/>
    <w:link w:val="SubtitleChar"/>
    <w:uiPriority w:val="11"/>
    <w:rsid w:val="00D05148"/>
    <w:pPr>
      <w:numPr>
        <w:ilvl w:val="1"/>
      </w:numPr>
      <w:suppressAutoHyphens/>
      <w:spacing w:after="120" w:line="340" w:lineRule="exact"/>
      <w:ind w:left="567" w:right="851"/>
      <w:jc w:val="left"/>
    </w:pPr>
    <w:rPr>
      <w:rFonts w:eastAsiaTheme="minorEastAsia"/>
      <w:color w:val="5071AF"/>
      <w:sz w:val="30"/>
    </w:rPr>
  </w:style>
  <w:style w:type="character" w:customStyle="1" w:styleId="SubtitleChar">
    <w:name w:val="Subtitle Char"/>
    <w:basedOn w:val="DefaultParagraphFont"/>
    <w:link w:val="Subtitle"/>
    <w:uiPriority w:val="11"/>
    <w:rsid w:val="00D05148"/>
    <w:rPr>
      <w:rFonts w:eastAsiaTheme="minorEastAsia"/>
      <w:color w:val="5071AF"/>
      <w:sz w:val="30"/>
      <w:lang w:val="en-GB"/>
    </w:rPr>
  </w:style>
  <w:style w:type="character" w:styleId="SubtleEmphasis">
    <w:name w:val="Subtle Emphasis"/>
    <w:basedOn w:val="DefaultParagraphFont"/>
    <w:uiPriority w:val="19"/>
    <w:semiHidden/>
    <w:rsid w:val="00DD0CF0"/>
    <w:rPr>
      <w:i/>
      <w:iCs/>
      <w:color w:val="404040"/>
    </w:rPr>
  </w:style>
  <w:style w:type="character" w:styleId="SubtleReference">
    <w:name w:val="Subtle Reference"/>
    <w:basedOn w:val="DefaultParagraphFont"/>
    <w:uiPriority w:val="31"/>
    <w:semiHidden/>
    <w:rsid w:val="00DD0CF0"/>
    <w:rPr>
      <w:smallCaps/>
      <w:color w:val="5A5A5A"/>
    </w:rPr>
  </w:style>
  <w:style w:type="paragraph" w:styleId="TableofAuthorities">
    <w:name w:val="table of authorities"/>
    <w:basedOn w:val="Normal"/>
    <w:next w:val="Normal"/>
    <w:uiPriority w:val="99"/>
    <w:semiHidden/>
    <w:rsid w:val="00DD0CF0"/>
    <w:pPr>
      <w:ind w:left="220" w:hanging="220"/>
    </w:pPr>
  </w:style>
  <w:style w:type="paragraph" w:styleId="TableofFigures">
    <w:name w:val="table of figures"/>
    <w:basedOn w:val="Normal"/>
    <w:next w:val="Normal"/>
    <w:uiPriority w:val="99"/>
    <w:rsid w:val="00D05148"/>
    <w:pPr>
      <w:tabs>
        <w:tab w:val="right" w:leader="dot" w:pos="8494"/>
      </w:tabs>
      <w:spacing w:before="0" w:line="260" w:lineRule="atLeast"/>
      <w:ind w:left="1134" w:right="454" w:hanging="1134"/>
      <w:jc w:val="left"/>
    </w:pPr>
  </w:style>
  <w:style w:type="paragraph" w:styleId="Title">
    <w:name w:val="Title"/>
    <w:basedOn w:val="Normal"/>
    <w:next w:val="Subtitle"/>
    <w:link w:val="TitleChar"/>
    <w:uiPriority w:val="10"/>
    <w:rsid w:val="00041912"/>
    <w:pPr>
      <w:suppressAutoHyphens/>
      <w:spacing w:before="0" w:after="80" w:line="460" w:lineRule="exact"/>
      <w:ind w:left="567" w:right="851"/>
    </w:pPr>
    <w:rPr>
      <w:rFonts w:asciiTheme="majorHAnsi" w:eastAsiaTheme="majorEastAsia" w:hAnsiTheme="majorHAnsi" w:cstheme="majorBidi"/>
      <w:b/>
      <w:color w:val="0B1741"/>
      <w:sz w:val="42"/>
      <w:szCs w:val="56"/>
    </w:rPr>
  </w:style>
  <w:style w:type="character" w:customStyle="1" w:styleId="TitleChar">
    <w:name w:val="Title Char"/>
    <w:basedOn w:val="DefaultParagraphFont"/>
    <w:link w:val="Title"/>
    <w:uiPriority w:val="10"/>
    <w:rsid w:val="00041912"/>
    <w:rPr>
      <w:rFonts w:asciiTheme="majorHAnsi" w:eastAsiaTheme="majorEastAsia" w:hAnsiTheme="majorHAnsi" w:cstheme="majorBidi"/>
      <w:b/>
      <w:color w:val="0B1741"/>
      <w:sz w:val="42"/>
      <w:szCs w:val="56"/>
      <w:lang w:val="en-GB"/>
    </w:rPr>
  </w:style>
  <w:style w:type="paragraph" w:styleId="TOAHeading">
    <w:name w:val="toa heading"/>
    <w:basedOn w:val="Normal"/>
    <w:next w:val="Normal"/>
    <w:uiPriority w:val="99"/>
    <w:semiHidden/>
    <w:rsid w:val="00DD0CF0"/>
    <w:rPr>
      <w:rFonts w:asciiTheme="majorHAnsi" w:eastAsiaTheme="majorEastAsia" w:hAnsiTheme="majorHAnsi" w:cstheme="majorBidi"/>
      <w:b/>
      <w:bCs/>
      <w:sz w:val="24"/>
      <w:szCs w:val="24"/>
    </w:rPr>
  </w:style>
  <w:style w:type="paragraph" w:styleId="TOC1">
    <w:name w:val="toc 1"/>
    <w:basedOn w:val="Normal"/>
    <w:next w:val="Normal"/>
    <w:autoRedefine/>
    <w:uiPriority w:val="39"/>
    <w:rsid w:val="00D05148"/>
    <w:pPr>
      <w:tabs>
        <w:tab w:val="right" w:leader="dot" w:pos="8493"/>
      </w:tabs>
      <w:spacing w:line="260" w:lineRule="atLeast"/>
      <w:ind w:left="907" w:hanging="907"/>
      <w:jc w:val="left"/>
    </w:pPr>
    <w:rPr>
      <w:b/>
      <w:color w:val="164194"/>
      <w:sz w:val="19"/>
    </w:rPr>
  </w:style>
  <w:style w:type="paragraph" w:styleId="TOC2">
    <w:name w:val="toc 2"/>
    <w:basedOn w:val="Normal"/>
    <w:next w:val="Normal"/>
    <w:autoRedefine/>
    <w:uiPriority w:val="39"/>
    <w:rsid w:val="00D05148"/>
    <w:pPr>
      <w:tabs>
        <w:tab w:val="right" w:leader="dot" w:pos="8494"/>
      </w:tabs>
      <w:spacing w:before="0" w:line="260" w:lineRule="atLeast"/>
      <w:ind w:left="907" w:hanging="907"/>
      <w:jc w:val="left"/>
    </w:pPr>
  </w:style>
  <w:style w:type="paragraph" w:styleId="TOC3">
    <w:name w:val="toc 3"/>
    <w:basedOn w:val="TOC2"/>
    <w:next w:val="Normal"/>
    <w:autoRedefine/>
    <w:uiPriority w:val="39"/>
    <w:rsid w:val="00710589"/>
    <w:rPr>
      <w:noProof/>
    </w:rPr>
  </w:style>
  <w:style w:type="paragraph" w:styleId="TOC4">
    <w:name w:val="toc 4"/>
    <w:basedOn w:val="TableofFigures"/>
    <w:next w:val="Normal"/>
    <w:autoRedefine/>
    <w:uiPriority w:val="39"/>
    <w:rsid w:val="00710589"/>
    <w:pPr>
      <w:ind w:left="907" w:hanging="907"/>
    </w:pPr>
  </w:style>
  <w:style w:type="paragraph" w:styleId="TOC5">
    <w:name w:val="toc 5"/>
    <w:basedOn w:val="Normal"/>
    <w:next w:val="Normal"/>
    <w:autoRedefine/>
    <w:uiPriority w:val="39"/>
    <w:semiHidden/>
    <w:rsid w:val="00DD0CF0"/>
    <w:pPr>
      <w:spacing w:after="100"/>
      <w:ind w:left="880"/>
    </w:pPr>
  </w:style>
  <w:style w:type="paragraph" w:styleId="TOC6">
    <w:name w:val="toc 6"/>
    <w:basedOn w:val="Normal"/>
    <w:next w:val="Normal"/>
    <w:autoRedefine/>
    <w:uiPriority w:val="39"/>
    <w:semiHidden/>
    <w:rsid w:val="00DD0CF0"/>
    <w:pPr>
      <w:spacing w:after="100"/>
      <w:ind w:left="1100"/>
    </w:pPr>
  </w:style>
  <w:style w:type="paragraph" w:styleId="TOC7">
    <w:name w:val="toc 7"/>
    <w:basedOn w:val="Normal"/>
    <w:next w:val="Normal"/>
    <w:autoRedefine/>
    <w:uiPriority w:val="39"/>
    <w:semiHidden/>
    <w:rsid w:val="00DD0CF0"/>
    <w:pPr>
      <w:spacing w:after="100"/>
      <w:ind w:left="1320"/>
    </w:pPr>
  </w:style>
  <w:style w:type="paragraph" w:styleId="TOC8">
    <w:name w:val="toc 8"/>
    <w:basedOn w:val="Normal"/>
    <w:next w:val="Normal"/>
    <w:autoRedefine/>
    <w:uiPriority w:val="39"/>
    <w:semiHidden/>
    <w:rsid w:val="00DD0CF0"/>
    <w:pPr>
      <w:spacing w:after="100"/>
      <w:ind w:left="1540"/>
    </w:pPr>
  </w:style>
  <w:style w:type="paragraph" w:styleId="TOC9">
    <w:name w:val="toc 9"/>
    <w:basedOn w:val="Normal"/>
    <w:next w:val="Normal"/>
    <w:autoRedefine/>
    <w:uiPriority w:val="39"/>
    <w:semiHidden/>
    <w:rsid w:val="00DD0CF0"/>
    <w:pPr>
      <w:spacing w:after="100"/>
      <w:ind w:left="1760"/>
    </w:pPr>
  </w:style>
  <w:style w:type="paragraph" w:styleId="TOCHeading">
    <w:name w:val="TOC Heading"/>
    <w:basedOn w:val="Heading1"/>
    <w:next w:val="Normal"/>
    <w:uiPriority w:val="39"/>
    <w:rsid w:val="008F6C52"/>
    <w:pPr>
      <w:numPr>
        <w:numId w:val="0"/>
      </w:numPr>
      <w:outlineLvl w:val="9"/>
    </w:pPr>
  </w:style>
  <w:style w:type="character" w:styleId="UnresolvedMention">
    <w:name w:val="Unresolved Mention"/>
    <w:basedOn w:val="DefaultParagraphFont"/>
    <w:uiPriority w:val="99"/>
    <w:semiHidden/>
    <w:rsid w:val="00DD0CF0"/>
    <w:rPr>
      <w:color w:val="605E5C"/>
      <w:shd w:val="clear" w:color="auto" w:fill="E1DFDD"/>
    </w:rPr>
  </w:style>
  <w:style w:type="paragraph" w:customStyle="1" w:styleId="Heading1NoNumber">
    <w:name w:val="Heading 1 NoNumber"/>
    <w:basedOn w:val="Heading1"/>
    <w:next w:val="Normal"/>
    <w:uiPriority w:val="19"/>
    <w:qFormat/>
    <w:rsid w:val="00AE1D92"/>
    <w:pPr>
      <w:numPr>
        <w:numId w:val="0"/>
      </w:numPr>
    </w:pPr>
  </w:style>
  <w:style w:type="paragraph" w:customStyle="1" w:styleId="Imprintheading">
    <w:name w:val="Imprint heading"/>
    <w:basedOn w:val="Normal"/>
    <w:next w:val="Imprintbody"/>
    <w:uiPriority w:val="39"/>
    <w:qFormat/>
    <w:rsid w:val="0027522D"/>
    <w:pPr>
      <w:keepNext/>
      <w:suppressAutoHyphens/>
      <w:spacing w:before="0" w:line="220" w:lineRule="atLeast"/>
    </w:pPr>
    <w:rPr>
      <w:b/>
      <w:color w:val="0B1741"/>
      <w:sz w:val="16"/>
    </w:rPr>
  </w:style>
  <w:style w:type="paragraph" w:customStyle="1" w:styleId="Imprintbody">
    <w:name w:val="Imprint body"/>
    <w:basedOn w:val="Imprintheading"/>
    <w:uiPriority w:val="40"/>
    <w:qFormat/>
    <w:rsid w:val="00411959"/>
    <w:pPr>
      <w:keepNext w:val="0"/>
      <w:spacing w:after="220"/>
    </w:pPr>
    <w:rPr>
      <w:b w:val="0"/>
    </w:rPr>
  </w:style>
  <w:style w:type="paragraph" w:customStyle="1" w:styleId="Publicationtype">
    <w:name w:val="Publicationtype"/>
    <w:rsid w:val="008501EF"/>
    <w:pPr>
      <w:suppressAutoHyphens/>
      <w:spacing w:after="113" w:line="360" w:lineRule="atLeast"/>
      <w:ind w:left="567" w:right="851"/>
    </w:pPr>
    <w:rPr>
      <w:rFonts w:asciiTheme="majorHAnsi" w:hAnsiTheme="majorHAnsi"/>
      <w:b/>
      <w:caps/>
      <w:color w:val="EE7D00"/>
      <w:sz w:val="28"/>
    </w:rPr>
  </w:style>
  <w:style w:type="paragraph" w:customStyle="1" w:styleId="Reporttype">
    <w:name w:val="Reporttype"/>
    <w:basedOn w:val="Normal"/>
    <w:unhideWhenUsed/>
    <w:rsid w:val="00D05148"/>
    <w:pPr>
      <w:spacing w:before="0" w:line="300" w:lineRule="atLeast"/>
      <w:ind w:left="567" w:right="851"/>
      <w:jc w:val="left"/>
    </w:pPr>
    <w:rPr>
      <w:color w:val="5071AF"/>
      <w:sz w:val="24"/>
    </w:rPr>
  </w:style>
  <w:style w:type="table" w:styleId="TableGrid">
    <w:name w:val="Table Grid"/>
    <w:basedOn w:val="TableNormal"/>
    <w:uiPriority w:val="39"/>
    <w:rsid w:val="007A640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claimerbody">
    <w:name w:val="Disclaimer body"/>
    <w:basedOn w:val="Disclaimerheading"/>
    <w:rsid w:val="00237C07"/>
    <w:rPr>
      <w:b w:val="0"/>
    </w:rPr>
  </w:style>
  <w:style w:type="paragraph" w:customStyle="1" w:styleId="Disclaimerheading">
    <w:name w:val="Disclaimer heading"/>
    <w:basedOn w:val="Imprintheading"/>
    <w:next w:val="Disclaimerbody"/>
    <w:rsid w:val="00AE1D92"/>
    <w:pPr>
      <w:spacing w:before="110"/>
      <w:ind w:left="567" w:right="1928"/>
      <w:jc w:val="left"/>
    </w:pPr>
  </w:style>
  <w:style w:type="character" w:customStyle="1" w:styleId="HeaderFooterGrey">
    <w:name w:val="Header_Footer_Grey"/>
    <w:basedOn w:val="DefaultParagraphFont"/>
    <w:uiPriority w:val="1"/>
    <w:rsid w:val="00E120F3"/>
    <w:rPr>
      <w:caps w:val="0"/>
      <w:smallCaps w:val="0"/>
      <w:color w:val="777776"/>
    </w:rPr>
  </w:style>
  <w:style w:type="paragraph" w:customStyle="1" w:styleId="Picturetext">
    <w:name w:val="Picturetext"/>
    <w:basedOn w:val="Normal"/>
    <w:qFormat/>
    <w:rsid w:val="00356A94"/>
    <w:pPr>
      <w:suppressAutoHyphens/>
      <w:spacing w:before="113" w:after="397" w:line="220" w:lineRule="atLeast"/>
      <w:contextualSpacing/>
    </w:pPr>
    <w:rPr>
      <w:sz w:val="16"/>
    </w:rPr>
  </w:style>
  <w:style w:type="paragraph" w:customStyle="1" w:styleId="Heading2NoNumber">
    <w:name w:val="Heading 2 NoNumber"/>
    <w:basedOn w:val="Heading2"/>
    <w:next w:val="Normal"/>
    <w:uiPriority w:val="20"/>
    <w:qFormat/>
    <w:rsid w:val="00A263C9"/>
    <w:pPr>
      <w:numPr>
        <w:ilvl w:val="0"/>
        <w:numId w:val="0"/>
      </w:numPr>
      <w:outlineLvl w:val="9"/>
    </w:pPr>
    <w:rPr>
      <w:lang w:val="en-US"/>
    </w:rPr>
  </w:style>
  <w:style w:type="paragraph" w:customStyle="1" w:styleId="Heading3NoNumber">
    <w:name w:val="Heading 3 NoNumber"/>
    <w:basedOn w:val="Heading3"/>
    <w:next w:val="Normal"/>
    <w:uiPriority w:val="21"/>
    <w:qFormat/>
    <w:rsid w:val="00A263C9"/>
    <w:pPr>
      <w:numPr>
        <w:ilvl w:val="0"/>
        <w:numId w:val="0"/>
      </w:numPr>
      <w:outlineLvl w:val="9"/>
    </w:pPr>
  </w:style>
  <w:style w:type="paragraph" w:customStyle="1" w:styleId="Heading4NoNumber">
    <w:name w:val="Heading 4 NoNumber"/>
    <w:basedOn w:val="Heading4"/>
    <w:uiPriority w:val="22"/>
    <w:qFormat/>
    <w:rsid w:val="00A263C9"/>
    <w:pPr>
      <w:numPr>
        <w:ilvl w:val="0"/>
        <w:numId w:val="0"/>
      </w:numPr>
      <w:outlineLvl w:val="9"/>
    </w:pPr>
  </w:style>
  <w:style w:type="paragraph" w:customStyle="1" w:styleId="BigchapterNumber">
    <w:name w:val="Big chapter Number"/>
    <w:basedOn w:val="Normal"/>
    <w:rsid w:val="004E49DB"/>
    <w:pPr>
      <w:spacing w:before="268" w:line="1480" w:lineRule="atLeast"/>
      <w:jc w:val="center"/>
    </w:pPr>
    <w:rPr>
      <w:b/>
      <w:color w:val="EE7D00"/>
      <w:spacing w:val="-60"/>
      <w:sz w:val="140"/>
    </w:rPr>
  </w:style>
  <w:style w:type="paragraph" w:customStyle="1" w:styleId="Bigchapter">
    <w:name w:val="Big chapter"/>
    <w:basedOn w:val="Normal"/>
    <w:rsid w:val="00323BAA"/>
    <w:pPr>
      <w:suppressAutoHyphens/>
      <w:spacing w:before="0" w:line="800" w:lineRule="atLeast"/>
      <w:jc w:val="left"/>
    </w:pPr>
    <w:rPr>
      <w:b/>
      <w:color w:val="0B1741"/>
      <w:sz w:val="72"/>
    </w:rPr>
  </w:style>
  <w:style w:type="paragraph" w:customStyle="1" w:styleId="Iconpullquote">
    <w:name w:val="Icon/pullquote"/>
    <w:basedOn w:val="Normal"/>
    <w:rsid w:val="001D3C17"/>
    <w:pPr>
      <w:spacing w:before="113" w:after="120" w:line="270" w:lineRule="atLeast"/>
      <w:contextualSpacing/>
    </w:pPr>
    <w:rPr>
      <w:color w:val="164194"/>
      <w:sz w:val="21"/>
    </w:rPr>
  </w:style>
  <w:style w:type="paragraph" w:customStyle="1" w:styleId="Quotedperson">
    <w:name w:val="Quoted person"/>
    <w:basedOn w:val="Normal"/>
    <w:rsid w:val="00A9609F"/>
    <w:pPr>
      <w:suppressAutoHyphens/>
      <w:spacing w:line="270" w:lineRule="atLeast"/>
    </w:pPr>
    <w:rPr>
      <w:b/>
      <w:color w:val="164194"/>
      <w:sz w:val="17"/>
    </w:rPr>
  </w:style>
  <w:style w:type="paragraph" w:customStyle="1" w:styleId="Boxtop">
    <w:name w:val="Box top"/>
    <w:basedOn w:val="Normal"/>
    <w:semiHidden/>
    <w:rsid w:val="006B084A"/>
    <w:pPr>
      <w:spacing w:before="284" w:line="260" w:lineRule="atLeast"/>
      <w:ind w:left="340" w:right="340"/>
    </w:pPr>
    <w:rPr>
      <w:b/>
      <w:caps/>
      <w:color w:val="EE7D00"/>
    </w:rPr>
  </w:style>
  <w:style w:type="paragraph" w:customStyle="1" w:styleId="Boxheading">
    <w:name w:val="Box heading"/>
    <w:basedOn w:val="Normal"/>
    <w:semiHidden/>
    <w:rsid w:val="006B084A"/>
    <w:pPr>
      <w:suppressAutoHyphens/>
      <w:spacing w:before="0" w:after="250" w:line="340" w:lineRule="atLeast"/>
      <w:ind w:left="340" w:right="340"/>
      <w:jc w:val="left"/>
    </w:pPr>
    <w:rPr>
      <w:sz w:val="26"/>
    </w:rPr>
  </w:style>
  <w:style w:type="paragraph" w:customStyle="1" w:styleId="Boxtext">
    <w:name w:val="Box text"/>
    <w:basedOn w:val="Normal"/>
    <w:semiHidden/>
    <w:rsid w:val="006B084A"/>
    <w:pPr>
      <w:spacing w:before="0" w:after="397" w:line="250" w:lineRule="atLeast"/>
      <w:ind w:left="340" w:right="340"/>
      <w:contextualSpacing/>
    </w:pPr>
    <w:rPr>
      <w:sz w:val="19"/>
    </w:rPr>
  </w:style>
  <w:style w:type="paragraph" w:customStyle="1" w:styleId="Boxtextwhite">
    <w:name w:val="Box text white"/>
    <w:basedOn w:val="Boxtext"/>
    <w:rsid w:val="006B084A"/>
    <w:pPr>
      <w:ind w:left="0" w:right="0"/>
    </w:pPr>
  </w:style>
  <w:style w:type="paragraph" w:customStyle="1" w:styleId="Boxtextlightblue">
    <w:name w:val="Box text lightblue"/>
    <w:basedOn w:val="Boxtext"/>
    <w:rsid w:val="001D420A"/>
    <w:pPr>
      <w:ind w:left="0" w:right="0"/>
    </w:pPr>
  </w:style>
  <w:style w:type="paragraph" w:customStyle="1" w:styleId="Boxtextdarkblue">
    <w:name w:val="Box text darkblue"/>
    <w:basedOn w:val="Boxtext"/>
    <w:rsid w:val="001D420A"/>
    <w:pPr>
      <w:keepNext/>
      <w:ind w:left="0" w:right="0"/>
      <w:jc w:val="left"/>
    </w:pPr>
    <w:rPr>
      <w:color w:val="FFFFFF"/>
    </w:rPr>
  </w:style>
  <w:style w:type="paragraph" w:customStyle="1" w:styleId="Boxheadingwhite">
    <w:name w:val="Box heading white"/>
    <w:basedOn w:val="Boxheading"/>
    <w:next w:val="Boxtextwhite"/>
    <w:rsid w:val="00AE1D92"/>
    <w:pPr>
      <w:ind w:left="0" w:right="0"/>
    </w:pPr>
  </w:style>
  <w:style w:type="paragraph" w:customStyle="1" w:styleId="Boxheadinglightblue">
    <w:name w:val="Box heading lightblue"/>
    <w:basedOn w:val="Boxheading"/>
    <w:next w:val="Boxtextlightblue"/>
    <w:rsid w:val="001D420A"/>
    <w:pPr>
      <w:ind w:left="0" w:right="0"/>
    </w:pPr>
  </w:style>
  <w:style w:type="paragraph" w:customStyle="1" w:styleId="Boxheadingdarkblue">
    <w:name w:val="Box heading darkblue"/>
    <w:basedOn w:val="Boxheading"/>
    <w:next w:val="Boxtextdarkblue"/>
    <w:rsid w:val="001D420A"/>
    <w:pPr>
      <w:keepNext/>
      <w:ind w:left="0" w:right="0"/>
    </w:pPr>
    <w:rPr>
      <w:color w:val="FFFFFF"/>
    </w:rPr>
  </w:style>
  <w:style w:type="paragraph" w:customStyle="1" w:styleId="Boxtopwhite">
    <w:name w:val="Box top white"/>
    <w:basedOn w:val="Boxtop"/>
    <w:next w:val="Boxheadingwhite"/>
    <w:rsid w:val="006B084A"/>
    <w:pPr>
      <w:ind w:left="0" w:right="0"/>
    </w:pPr>
  </w:style>
  <w:style w:type="paragraph" w:customStyle="1" w:styleId="Boxtoplightblue">
    <w:name w:val="Box top lightblue"/>
    <w:basedOn w:val="Boxtop"/>
    <w:next w:val="Boxheadinglightblue"/>
    <w:rsid w:val="001D420A"/>
    <w:pPr>
      <w:ind w:left="0" w:right="0"/>
      <w:jc w:val="left"/>
    </w:pPr>
  </w:style>
  <w:style w:type="paragraph" w:customStyle="1" w:styleId="Boxtopdarkblue">
    <w:name w:val="Box top darkblue"/>
    <w:basedOn w:val="Boxtop"/>
    <w:next w:val="Boxheadingdarkblue"/>
    <w:rsid w:val="001D420A"/>
    <w:pPr>
      <w:keepNext/>
      <w:ind w:left="0" w:right="0"/>
      <w:jc w:val="left"/>
    </w:pPr>
  </w:style>
  <w:style w:type="paragraph" w:customStyle="1" w:styleId="Minipara">
    <w:name w:val="Minipara"/>
    <w:basedOn w:val="Normal"/>
    <w:next w:val="Normal"/>
    <w:semiHidden/>
    <w:rsid w:val="00174D34"/>
    <w:pPr>
      <w:spacing w:before="0" w:line="20" w:lineRule="exact"/>
    </w:pPr>
    <w:rPr>
      <w:sz w:val="4"/>
    </w:rPr>
  </w:style>
  <w:style w:type="paragraph" w:customStyle="1" w:styleId="SpaceBeforeBoxes">
    <w:name w:val="SpaceBeforeBoxes"/>
    <w:basedOn w:val="Normal"/>
    <w:qFormat/>
    <w:rsid w:val="00174D34"/>
    <w:pPr>
      <w:spacing w:before="329"/>
    </w:pPr>
  </w:style>
  <w:style w:type="character" w:customStyle="1" w:styleId="CaptionText">
    <w:name w:val="CaptionText"/>
    <w:uiPriority w:val="1"/>
    <w:rsid w:val="001A7BA3"/>
    <w:rPr>
      <w:color w:val="164194"/>
    </w:rPr>
  </w:style>
  <w:style w:type="paragraph" w:customStyle="1" w:styleId="TOCBold">
    <w:name w:val="TOC Bold"/>
    <w:basedOn w:val="Normal"/>
    <w:rsid w:val="00D05148"/>
    <w:pPr>
      <w:spacing w:line="260" w:lineRule="atLeast"/>
      <w:jc w:val="left"/>
    </w:pPr>
    <w:rPr>
      <w:b/>
      <w:color w:val="164194"/>
      <w:sz w:val="19"/>
    </w:rPr>
  </w:style>
  <w:style w:type="table" w:customStyle="1" w:styleId="ESPONtable">
    <w:name w:val="ESPON table"/>
    <w:basedOn w:val="TableNormal"/>
    <w:uiPriority w:val="99"/>
    <w:rsid w:val="00710C63"/>
    <w:pPr>
      <w:spacing w:before="60" w:after="80" w:line="220" w:lineRule="atLeast"/>
      <w:jc w:val="right"/>
    </w:pPr>
    <w:rPr>
      <w:sz w:val="17"/>
    </w:rPr>
    <w:tblPr>
      <w:tblBorders>
        <w:insideV w:val="single" w:sz="4" w:space="0" w:color="FFFFFF"/>
      </w:tblBorders>
    </w:tblPr>
    <w:trPr>
      <w:cantSplit/>
    </w:trPr>
    <w:tcPr>
      <w:shd w:val="clear" w:color="auto" w:fill="E5EBF8"/>
    </w:tcPr>
    <w:tblStylePr w:type="firstRow">
      <w:pPr>
        <w:wordWrap/>
        <w:spacing w:beforeLines="0" w:before="60" w:beforeAutospacing="0" w:afterLines="0" w:after="60" w:afterAutospacing="0"/>
      </w:pPr>
      <w:rPr>
        <w:b/>
        <w:color w:val="FFFFFF"/>
      </w:rPr>
      <w:tblPr/>
      <w:trPr>
        <w:cantSplit w:val="0"/>
        <w:tblHeader/>
      </w:trPr>
      <w:tcPr>
        <w:shd w:val="clear" w:color="auto" w:fill="0B1741"/>
      </w:tcPr>
    </w:tblStylePr>
    <w:tblStylePr w:type="firstCol">
      <w:pPr>
        <w:jc w:val="left"/>
      </w:pPr>
    </w:tblStylePr>
  </w:style>
  <w:style w:type="numbering" w:customStyle="1" w:styleId="ESPONNumbers">
    <w:name w:val="ESPON Numbers"/>
    <w:uiPriority w:val="99"/>
    <w:rsid w:val="000C229D"/>
    <w:pPr>
      <w:numPr>
        <w:numId w:val="12"/>
      </w:numPr>
    </w:pPr>
  </w:style>
  <w:style w:type="numbering" w:customStyle="1" w:styleId="ESPONLetters">
    <w:name w:val="ESPON Letters"/>
    <w:uiPriority w:val="99"/>
    <w:rsid w:val="000C229D"/>
    <w:pPr>
      <w:numPr>
        <w:numId w:val="13"/>
      </w:numPr>
    </w:pPr>
  </w:style>
  <w:style w:type="numbering" w:customStyle="1" w:styleId="ESPONBullets">
    <w:name w:val="ESPON Bullets"/>
    <w:uiPriority w:val="99"/>
    <w:rsid w:val="002479F1"/>
    <w:pPr>
      <w:numPr>
        <w:numId w:val="14"/>
      </w:numPr>
    </w:pPr>
  </w:style>
  <w:style w:type="paragraph" w:customStyle="1" w:styleId="Backcover">
    <w:name w:val="Backcover"/>
    <w:basedOn w:val="Normal"/>
    <w:rsid w:val="00A57A84"/>
    <w:pPr>
      <w:suppressAutoHyphens/>
      <w:spacing w:before="0" w:line="220" w:lineRule="atLeast"/>
      <w:ind w:right="1701"/>
    </w:pPr>
    <w:rPr>
      <w:sz w:val="17"/>
    </w:rPr>
  </w:style>
  <w:style w:type="paragraph" w:customStyle="1" w:styleId="Backcoverbold">
    <w:name w:val="Backcover bold"/>
    <w:basedOn w:val="Backcover"/>
    <w:next w:val="Backcover"/>
    <w:rsid w:val="003867A3"/>
    <w:pPr>
      <w:spacing w:after="220"/>
    </w:pPr>
    <w:rPr>
      <w:b/>
    </w:rPr>
  </w:style>
  <w:style w:type="paragraph" w:customStyle="1" w:styleId="1FBF4FCF2905483FABC50A767EC5C8B71">
    <w:name w:val="1FBF4FCF2905483FABC50A767EC5C8B71"/>
    <w:rsid w:val="0017495C"/>
    <w:pPr>
      <w:keepNext/>
      <w:keepLines/>
      <w:pageBreakBefore/>
      <w:tabs>
        <w:tab w:val="num" w:pos="567"/>
        <w:tab w:val="num" w:pos="720"/>
      </w:tabs>
      <w:suppressAutoHyphens/>
      <w:spacing w:after="454" w:line="440" w:lineRule="atLeast"/>
      <w:ind w:left="720" w:hanging="720"/>
      <w:outlineLvl w:val="0"/>
    </w:pPr>
    <w:rPr>
      <w:rFonts w:asciiTheme="majorHAnsi" w:eastAsiaTheme="majorEastAsia" w:hAnsiTheme="majorHAnsi" w:cstheme="majorBidi"/>
      <w:b/>
      <w:color w:val="164194"/>
      <w:sz w:val="40"/>
      <w:szCs w:val="32"/>
      <w:lang w:val="en-GB"/>
    </w:rPr>
  </w:style>
  <w:style w:type="paragraph" w:customStyle="1" w:styleId="1FBF4FCF2905483FABC50A767EC5C8B72">
    <w:name w:val="1FBF4FCF2905483FABC50A767EC5C8B72"/>
    <w:rsid w:val="0017495C"/>
    <w:pPr>
      <w:keepNext/>
      <w:keepLines/>
      <w:pageBreakBefore/>
      <w:tabs>
        <w:tab w:val="num" w:pos="567"/>
        <w:tab w:val="num" w:pos="720"/>
      </w:tabs>
      <w:suppressAutoHyphens/>
      <w:spacing w:after="454" w:line="440" w:lineRule="atLeast"/>
      <w:ind w:left="720" w:hanging="720"/>
      <w:outlineLvl w:val="0"/>
    </w:pPr>
    <w:rPr>
      <w:rFonts w:asciiTheme="majorHAnsi" w:eastAsiaTheme="majorEastAsia" w:hAnsiTheme="majorHAnsi" w:cstheme="majorBidi"/>
      <w:b/>
      <w:color w:val="164194"/>
      <w:sz w:val="40"/>
      <w:szCs w:val="32"/>
      <w:lang w:val="en-GB"/>
    </w:rPr>
  </w:style>
  <w:style w:type="paragraph" w:customStyle="1" w:styleId="1FBF4FCF2905483FABC50A767EC5C8B73">
    <w:name w:val="1FBF4FCF2905483FABC50A767EC5C8B73"/>
    <w:rsid w:val="0017495C"/>
    <w:pPr>
      <w:keepNext/>
      <w:keepLines/>
      <w:pageBreakBefore/>
      <w:numPr>
        <w:numId w:val="15"/>
      </w:numPr>
      <w:tabs>
        <w:tab w:val="num" w:pos="567"/>
      </w:tabs>
      <w:suppressAutoHyphens/>
      <w:spacing w:after="454" w:line="440" w:lineRule="atLeast"/>
      <w:outlineLvl w:val="0"/>
    </w:pPr>
    <w:rPr>
      <w:rFonts w:asciiTheme="majorHAnsi" w:eastAsiaTheme="majorEastAsia" w:hAnsiTheme="majorHAnsi" w:cstheme="majorBidi"/>
      <w:b/>
      <w:color w:val="164194"/>
      <w:sz w:val="40"/>
      <w:szCs w:val="32"/>
      <w:lang w:val="en-GB"/>
    </w:rPr>
  </w:style>
  <w:style w:type="table" w:customStyle="1" w:styleId="Abbreviations">
    <w:name w:val="Abbreviations"/>
    <w:basedOn w:val="TableNormal"/>
    <w:uiPriority w:val="99"/>
    <w:rsid w:val="00776D9E"/>
    <w:tblPr/>
    <w:tblStylePr w:type="firstCol">
      <w:rPr>
        <w:caps w:val="0"/>
        <w:smallCaps w:val="0"/>
      </w:rPr>
    </w:tblStylePr>
  </w:style>
  <w:style w:type="character" w:customStyle="1" w:styleId="CaptionChar">
    <w:name w:val="Caption Char"/>
    <w:link w:val="Caption"/>
    <w:uiPriority w:val="35"/>
    <w:rsid w:val="00D84503"/>
    <w:rPr>
      <w:b/>
      <w:iCs/>
      <w:color w:val="EE7D00"/>
      <w:sz w:val="21"/>
      <w:lang w:val="en-GB"/>
    </w:rPr>
  </w:style>
  <w:style w:type="paragraph" w:customStyle="1" w:styleId="Bulletpoints">
    <w:name w:val="Bullet_points"/>
    <w:basedOn w:val="Normal"/>
    <w:next w:val="Bulletpoints-end"/>
    <w:qFormat/>
    <w:rsid w:val="008308D0"/>
    <w:pPr>
      <w:numPr>
        <w:numId w:val="17"/>
      </w:numPr>
      <w:spacing w:before="0" w:line="280" w:lineRule="atLeast"/>
      <w:contextualSpacing/>
    </w:pPr>
    <w:rPr>
      <w:rFonts w:ascii="Arial" w:eastAsia="Times New Roman" w:hAnsi="Arial" w:cs="Times New Roman"/>
      <w:szCs w:val="24"/>
      <w:lang w:eastAsia="sv-SE"/>
    </w:rPr>
  </w:style>
  <w:style w:type="paragraph" w:customStyle="1" w:styleId="Bulletpoints-end">
    <w:name w:val="Bullet_points-end"/>
    <w:basedOn w:val="Bulletpoints"/>
    <w:next w:val="BodyText"/>
    <w:qFormat/>
    <w:rsid w:val="008308D0"/>
    <w:pPr>
      <w:spacing w:after="280"/>
    </w:pPr>
  </w:style>
  <w:style w:type="paragraph" w:customStyle="1" w:styleId="EText">
    <w:name w:val="E Text"/>
    <w:qFormat/>
    <w:rsid w:val="00532DC4"/>
    <w:pPr>
      <w:spacing w:after="120" w:line="360" w:lineRule="auto"/>
      <w:jc w:val="both"/>
    </w:pPr>
    <w:rPr>
      <w:rFonts w:ascii="Arial" w:eastAsia="Times New Roman" w:hAnsi="Arial" w:cs="Times New Roman"/>
      <w:sz w:val="20"/>
      <w:szCs w:val="20"/>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65879">
      <w:bodyDiv w:val="1"/>
      <w:marLeft w:val="0"/>
      <w:marRight w:val="0"/>
      <w:marTop w:val="0"/>
      <w:marBottom w:val="0"/>
      <w:divBdr>
        <w:top w:val="none" w:sz="0" w:space="0" w:color="auto"/>
        <w:left w:val="none" w:sz="0" w:space="0" w:color="auto"/>
        <w:bottom w:val="none" w:sz="0" w:space="0" w:color="auto"/>
        <w:right w:val="none" w:sz="0" w:space="0" w:color="auto"/>
      </w:divBdr>
    </w:div>
    <w:div w:id="34432473">
      <w:bodyDiv w:val="1"/>
      <w:marLeft w:val="0"/>
      <w:marRight w:val="0"/>
      <w:marTop w:val="0"/>
      <w:marBottom w:val="0"/>
      <w:divBdr>
        <w:top w:val="none" w:sz="0" w:space="0" w:color="auto"/>
        <w:left w:val="none" w:sz="0" w:space="0" w:color="auto"/>
        <w:bottom w:val="none" w:sz="0" w:space="0" w:color="auto"/>
        <w:right w:val="none" w:sz="0" w:space="0" w:color="auto"/>
      </w:divBdr>
    </w:div>
    <w:div w:id="66848153">
      <w:bodyDiv w:val="1"/>
      <w:marLeft w:val="0"/>
      <w:marRight w:val="0"/>
      <w:marTop w:val="0"/>
      <w:marBottom w:val="0"/>
      <w:divBdr>
        <w:top w:val="none" w:sz="0" w:space="0" w:color="auto"/>
        <w:left w:val="none" w:sz="0" w:space="0" w:color="auto"/>
        <w:bottom w:val="none" w:sz="0" w:space="0" w:color="auto"/>
        <w:right w:val="none" w:sz="0" w:space="0" w:color="auto"/>
      </w:divBdr>
      <w:divsChild>
        <w:div w:id="257640127">
          <w:marLeft w:val="446"/>
          <w:marRight w:val="0"/>
          <w:marTop w:val="0"/>
          <w:marBottom w:val="0"/>
          <w:divBdr>
            <w:top w:val="none" w:sz="0" w:space="0" w:color="auto"/>
            <w:left w:val="none" w:sz="0" w:space="0" w:color="auto"/>
            <w:bottom w:val="none" w:sz="0" w:space="0" w:color="auto"/>
            <w:right w:val="none" w:sz="0" w:space="0" w:color="auto"/>
          </w:divBdr>
        </w:div>
        <w:div w:id="1493985217">
          <w:marLeft w:val="446"/>
          <w:marRight w:val="0"/>
          <w:marTop w:val="0"/>
          <w:marBottom w:val="0"/>
          <w:divBdr>
            <w:top w:val="none" w:sz="0" w:space="0" w:color="auto"/>
            <w:left w:val="none" w:sz="0" w:space="0" w:color="auto"/>
            <w:bottom w:val="none" w:sz="0" w:space="0" w:color="auto"/>
            <w:right w:val="none" w:sz="0" w:space="0" w:color="auto"/>
          </w:divBdr>
        </w:div>
      </w:divsChild>
    </w:div>
    <w:div w:id="84687846">
      <w:bodyDiv w:val="1"/>
      <w:marLeft w:val="0"/>
      <w:marRight w:val="0"/>
      <w:marTop w:val="0"/>
      <w:marBottom w:val="0"/>
      <w:divBdr>
        <w:top w:val="none" w:sz="0" w:space="0" w:color="auto"/>
        <w:left w:val="none" w:sz="0" w:space="0" w:color="auto"/>
        <w:bottom w:val="none" w:sz="0" w:space="0" w:color="auto"/>
        <w:right w:val="none" w:sz="0" w:space="0" w:color="auto"/>
      </w:divBdr>
    </w:div>
    <w:div w:id="129636423">
      <w:bodyDiv w:val="1"/>
      <w:marLeft w:val="0"/>
      <w:marRight w:val="0"/>
      <w:marTop w:val="0"/>
      <w:marBottom w:val="0"/>
      <w:divBdr>
        <w:top w:val="none" w:sz="0" w:space="0" w:color="auto"/>
        <w:left w:val="none" w:sz="0" w:space="0" w:color="auto"/>
        <w:bottom w:val="none" w:sz="0" w:space="0" w:color="auto"/>
        <w:right w:val="none" w:sz="0" w:space="0" w:color="auto"/>
      </w:divBdr>
    </w:div>
    <w:div w:id="137191326">
      <w:bodyDiv w:val="1"/>
      <w:marLeft w:val="0"/>
      <w:marRight w:val="0"/>
      <w:marTop w:val="0"/>
      <w:marBottom w:val="0"/>
      <w:divBdr>
        <w:top w:val="none" w:sz="0" w:space="0" w:color="auto"/>
        <w:left w:val="none" w:sz="0" w:space="0" w:color="auto"/>
        <w:bottom w:val="none" w:sz="0" w:space="0" w:color="auto"/>
        <w:right w:val="none" w:sz="0" w:space="0" w:color="auto"/>
      </w:divBdr>
    </w:div>
    <w:div w:id="187451776">
      <w:bodyDiv w:val="1"/>
      <w:marLeft w:val="0"/>
      <w:marRight w:val="0"/>
      <w:marTop w:val="0"/>
      <w:marBottom w:val="0"/>
      <w:divBdr>
        <w:top w:val="none" w:sz="0" w:space="0" w:color="auto"/>
        <w:left w:val="none" w:sz="0" w:space="0" w:color="auto"/>
        <w:bottom w:val="none" w:sz="0" w:space="0" w:color="auto"/>
        <w:right w:val="none" w:sz="0" w:space="0" w:color="auto"/>
      </w:divBdr>
    </w:div>
    <w:div w:id="218981145">
      <w:bodyDiv w:val="1"/>
      <w:marLeft w:val="0"/>
      <w:marRight w:val="0"/>
      <w:marTop w:val="0"/>
      <w:marBottom w:val="0"/>
      <w:divBdr>
        <w:top w:val="none" w:sz="0" w:space="0" w:color="auto"/>
        <w:left w:val="none" w:sz="0" w:space="0" w:color="auto"/>
        <w:bottom w:val="none" w:sz="0" w:space="0" w:color="auto"/>
        <w:right w:val="none" w:sz="0" w:space="0" w:color="auto"/>
      </w:divBdr>
    </w:div>
    <w:div w:id="277026580">
      <w:bodyDiv w:val="1"/>
      <w:marLeft w:val="0"/>
      <w:marRight w:val="0"/>
      <w:marTop w:val="0"/>
      <w:marBottom w:val="0"/>
      <w:divBdr>
        <w:top w:val="none" w:sz="0" w:space="0" w:color="auto"/>
        <w:left w:val="none" w:sz="0" w:space="0" w:color="auto"/>
        <w:bottom w:val="none" w:sz="0" w:space="0" w:color="auto"/>
        <w:right w:val="none" w:sz="0" w:space="0" w:color="auto"/>
      </w:divBdr>
      <w:divsChild>
        <w:div w:id="1428309284">
          <w:marLeft w:val="360"/>
          <w:marRight w:val="0"/>
          <w:marTop w:val="200"/>
          <w:marBottom w:val="0"/>
          <w:divBdr>
            <w:top w:val="none" w:sz="0" w:space="0" w:color="auto"/>
            <w:left w:val="none" w:sz="0" w:space="0" w:color="auto"/>
            <w:bottom w:val="none" w:sz="0" w:space="0" w:color="auto"/>
            <w:right w:val="none" w:sz="0" w:space="0" w:color="auto"/>
          </w:divBdr>
        </w:div>
      </w:divsChild>
    </w:div>
    <w:div w:id="314182547">
      <w:bodyDiv w:val="1"/>
      <w:marLeft w:val="0"/>
      <w:marRight w:val="0"/>
      <w:marTop w:val="0"/>
      <w:marBottom w:val="0"/>
      <w:divBdr>
        <w:top w:val="none" w:sz="0" w:space="0" w:color="auto"/>
        <w:left w:val="none" w:sz="0" w:space="0" w:color="auto"/>
        <w:bottom w:val="none" w:sz="0" w:space="0" w:color="auto"/>
        <w:right w:val="none" w:sz="0" w:space="0" w:color="auto"/>
      </w:divBdr>
    </w:div>
    <w:div w:id="351566827">
      <w:bodyDiv w:val="1"/>
      <w:marLeft w:val="0"/>
      <w:marRight w:val="0"/>
      <w:marTop w:val="0"/>
      <w:marBottom w:val="0"/>
      <w:divBdr>
        <w:top w:val="none" w:sz="0" w:space="0" w:color="auto"/>
        <w:left w:val="none" w:sz="0" w:space="0" w:color="auto"/>
        <w:bottom w:val="none" w:sz="0" w:space="0" w:color="auto"/>
        <w:right w:val="none" w:sz="0" w:space="0" w:color="auto"/>
      </w:divBdr>
      <w:divsChild>
        <w:div w:id="350498877">
          <w:marLeft w:val="446"/>
          <w:marRight w:val="0"/>
          <w:marTop w:val="0"/>
          <w:marBottom w:val="0"/>
          <w:divBdr>
            <w:top w:val="none" w:sz="0" w:space="0" w:color="auto"/>
            <w:left w:val="none" w:sz="0" w:space="0" w:color="auto"/>
            <w:bottom w:val="none" w:sz="0" w:space="0" w:color="auto"/>
            <w:right w:val="none" w:sz="0" w:space="0" w:color="auto"/>
          </w:divBdr>
        </w:div>
        <w:div w:id="713694070">
          <w:marLeft w:val="446"/>
          <w:marRight w:val="0"/>
          <w:marTop w:val="0"/>
          <w:marBottom w:val="0"/>
          <w:divBdr>
            <w:top w:val="none" w:sz="0" w:space="0" w:color="auto"/>
            <w:left w:val="none" w:sz="0" w:space="0" w:color="auto"/>
            <w:bottom w:val="none" w:sz="0" w:space="0" w:color="auto"/>
            <w:right w:val="none" w:sz="0" w:space="0" w:color="auto"/>
          </w:divBdr>
        </w:div>
        <w:div w:id="1780834138">
          <w:marLeft w:val="446"/>
          <w:marRight w:val="0"/>
          <w:marTop w:val="0"/>
          <w:marBottom w:val="0"/>
          <w:divBdr>
            <w:top w:val="none" w:sz="0" w:space="0" w:color="auto"/>
            <w:left w:val="none" w:sz="0" w:space="0" w:color="auto"/>
            <w:bottom w:val="none" w:sz="0" w:space="0" w:color="auto"/>
            <w:right w:val="none" w:sz="0" w:space="0" w:color="auto"/>
          </w:divBdr>
        </w:div>
      </w:divsChild>
    </w:div>
    <w:div w:id="380521872">
      <w:bodyDiv w:val="1"/>
      <w:marLeft w:val="0"/>
      <w:marRight w:val="0"/>
      <w:marTop w:val="0"/>
      <w:marBottom w:val="0"/>
      <w:divBdr>
        <w:top w:val="none" w:sz="0" w:space="0" w:color="auto"/>
        <w:left w:val="none" w:sz="0" w:space="0" w:color="auto"/>
        <w:bottom w:val="none" w:sz="0" w:space="0" w:color="auto"/>
        <w:right w:val="none" w:sz="0" w:space="0" w:color="auto"/>
      </w:divBdr>
      <w:divsChild>
        <w:div w:id="568612013">
          <w:marLeft w:val="446"/>
          <w:marRight w:val="0"/>
          <w:marTop w:val="0"/>
          <w:marBottom w:val="0"/>
          <w:divBdr>
            <w:top w:val="none" w:sz="0" w:space="0" w:color="auto"/>
            <w:left w:val="none" w:sz="0" w:space="0" w:color="auto"/>
            <w:bottom w:val="none" w:sz="0" w:space="0" w:color="auto"/>
            <w:right w:val="none" w:sz="0" w:space="0" w:color="auto"/>
          </w:divBdr>
        </w:div>
        <w:div w:id="1225531699">
          <w:marLeft w:val="446"/>
          <w:marRight w:val="0"/>
          <w:marTop w:val="0"/>
          <w:marBottom w:val="0"/>
          <w:divBdr>
            <w:top w:val="none" w:sz="0" w:space="0" w:color="auto"/>
            <w:left w:val="none" w:sz="0" w:space="0" w:color="auto"/>
            <w:bottom w:val="none" w:sz="0" w:space="0" w:color="auto"/>
            <w:right w:val="none" w:sz="0" w:space="0" w:color="auto"/>
          </w:divBdr>
        </w:div>
      </w:divsChild>
    </w:div>
    <w:div w:id="406734365">
      <w:bodyDiv w:val="1"/>
      <w:marLeft w:val="0"/>
      <w:marRight w:val="0"/>
      <w:marTop w:val="0"/>
      <w:marBottom w:val="0"/>
      <w:divBdr>
        <w:top w:val="none" w:sz="0" w:space="0" w:color="auto"/>
        <w:left w:val="none" w:sz="0" w:space="0" w:color="auto"/>
        <w:bottom w:val="none" w:sz="0" w:space="0" w:color="auto"/>
        <w:right w:val="none" w:sz="0" w:space="0" w:color="auto"/>
      </w:divBdr>
    </w:div>
    <w:div w:id="515120589">
      <w:bodyDiv w:val="1"/>
      <w:marLeft w:val="0"/>
      <w:marRight w:val="0"/>
      <w:marTop w:val="0"/>
      <w:marBottom w:val="0"/>
      <w:divBdr>
        <w:top w:val="none" w:sz="0" w:space="0" w:color="auto"/>
        <w:left w:val="none" w:sz="0" w:space="0" w:color="auto"/>
        <w:bottom w:val="none" w:sz="0" w:space="0" w:color="auto"/>
        <w:right w:val="none" w:sz="0" w:space="0" w:color="auto"/>
      </w:divBdr>
      <w:divsChild>
        <w:div w:id="141587020">
          <w:marLeft w:val="1166"/>
          <w:marRight w:val="0"/>
          <w:marTop w:val="0"/>
          <w:marBottom w:val="0"/>
          <w:divBdr>
            <w:top w:val="none" w:sz="0" w:space="0" w:color="auto"/>
            <w:left w:val="none" w:sz="0" w:space="0" w:color="auto"/>
            <w:bottom w:val="none" w:sz="0" w:space="0" w:color="auto"/>
            <w:right w:val="none" w:sz="0" w:space="0" w:color="auto"/>
          </w:divBdr>
        </w:div>
        <w:div w:id="315425377">
          <w:marLeft w:val="1166"/>
          <w:marRight w:val="0"/>
          <w:marTop w:val="0"/>
          <w:marBottom w:val="0"/>
          <w:divBdr>
            <w:top w:val="none" w:sz="0" w:space="0" w:color="auto"/>
            <w:left w:val="none" w:sz="0" w:space="0" w:color="auto"/>
            <w:bottom w:val="none" w:sz="0" w:space="0" w:color="auto"/>
            <w:right w:val="none" w:sz="0" w:space="0" w:color="auto"/>
          </w:divBdr>
        </w:div>
        <w:div w:id="1745837981">
          <w:marLeft w:val="446"/>
          <w:marRight w:val="0"/>
          <w:marTop w:val="0"/>
          <w:marBottom w:val="0"/>
          <w:divBdr>
            <w:top w:val="none" w:sz="0" w:space="0" w:color="auto"/>
            <w:left w:val="none" w:sz="0" w:space="0" w:color="auto"/>
            <w:bottom w:val="none" w:sz="0" w:space="0" w:color="auto"/>
            <w:right w:val="none" w:sz="0" w:space="0" w:color="auto"/>
          </w:divBdr>
        </w:div>
        <w:div w:id="1791779844">
          <w:marLeft w:val="1166"/>
          <w:marRight w:val="0"/>
          <w:marTop w:val="0"/>
          <w:marBottom w:val="0"/>
          <w:divBdr>
            <w:top w:val="none" w:sz="0" w:space="0" w:color="auto"/>
            <w:left w:val="none" w:sz="0" w:space="0" w:color="auto"/>
            <w:bottom w:val="none" w:sz="0" w:space="0" w:color="auto"/>
            <w:right w:val="none" w:sz="0" w:space="0" w:color="auto"/>
          </w:divBdr>
        </w:div>
        <w:div w:id="2055082275">
          <w:marLeft w:val="446"/>
          <w:marRight w:val="0"/>
          <w:marTop w:val="0"/>
          <w:marBottom w:val="0"/>
          <w:divBdr>
            <w:top w:val="none" w:sz="0" w:space="0" w:color="auto"/>
            <w:left w:val="none" w:sz="0" w:space="0" w:color="auto"/>
            <w:bottom w:val="none" w:sz="0" w:space="0" w:color="auto"/>
            <w:right w:val="none" w:sz="0" w:space="0" w:color="auto"/>
          </w:divBdr>
        </w:div>
      </w:divsChild>
    </w:div>
    <w:div w:id="641235844">
      <w:bodyDiv w:val="1"/>
      <w:marLeft w:val="0"/>
      <w:marRight w:val="0"/>
      <w:marTop w:val="0"/>
      <w:marBottom w:val="0"/>
      <w:divBdr>
        <w:top w:val="none" w:sz="0" w:space="0" w:color="auto"/>
        <w:left w:val="none" w:sz="0" w:space="0" w:color="auto"/>
        <w:bottom w:val="none" w:sz="0" w:space="0" w:color="auto"/>
        <w:right w:val="none" w:sz="0" w:space="0" w:color="auto"/>
      </w:divBdr>
    </w:div>
    <w:div w:id="793138223">
      <w:bodyDiv w:val="1"/>
      <w:marLeft w:val="0"/>
      <w:marRight w:val="0"/>
      <w:marTop w:val="0"/>
      <w:marBottom w:val="0"/>
      <w:divBdr>
        <w:top w:val="none" w:sz="0" w:space="0" w:color="auto"/>
        <w:left w:val="none" w:sz="0" w:space="0" w:color="auto"/>
        <w:bottom w:val="none" w:sz="0" w:space="0" w:color="auto"/>
        <w:right w:val="none" w:sz="0" w:space="0" w:color="auto"/>
      </w:divBdr>
      <w:divsChild>
        <w:div w:id="104934788">
          <w:marLeft w:val="446"/>
          <w:marRight w:val="0"/>
          <w:marTop w:val="0"/>
          <w:marBottom w:val="0"/>
          <w:divBdr>
            <w:top w:val="none" w:sz="0" w:space="0" w:color="auto"/>
            <w:left w:val="none" w:sz="0" w:space="0" w:color="auto"/>
            <w:bottom w:val="none" w:sz="0" w:space="0" w:color="auto"/>
            <w:right w:val="none" w:sz="0" w:space="0" w:color="auto"/>
          </w:divBdr>
        </w:div>
        <w:div w:id="249896277">
          <w:marLeft w:val="446"/>
          <w:marRight w:val="0"/>
          <w:marTop w:val="0"/>
          <w:marBottom w:val="0"/>
          <w:divBdr>
            <w:top w:val="none" w:sz="0" w:space="0" w:color="auto"/>
            <w:left w:val="none" w:sz="0" w:space="0" w:color="auto"/>
            <w:bottom w:val="none" w:sz="0" w:space="0" w:color="auto"/>
            <w:right w:val="none" w:sz="0" w:space="0" w:color="auto"/>
          </w:divBdr>
        </w:div>
        <w:div w:id="621035189">
          <w:marLeft w:val="446"/>
          <w:marRight w:val="0"/>
          <w:marTop w:val="0"/>
          <w:marBottom w:val="0"/>
          <w:divBdr>
            <w:top w:val="none" w:sz="0" w:space="0" w:color="auto"/>
            <w:left w:val="none" w:sz="0" w:space="0" w:color="auto"/>
            <w:bottom w:val="none" w:sz="0" w:space="0" w:color="auto"/>
            <w:right w:val="none" w:sz="0" w:space="0" w:color="auto"/>
          </w:divBdr>
        </w:div>
      </w:divsChild>
    </w:div>
    <w:div w:id="811794829">
      <w:bodyDiv w:val="1"/>
      <w:marLeft w:val="0"/>
      <w:marRight w:val="0"/>
      <w:marTop w:val="0"/>
      <w:marBottom w:val="0"/>
      <w:divBdr>
        <w:top w:val="none" w:sz="0" w:space="0" w:color="auto"/>
        <w:left w:val="none" w:sz="0" w:space="0" w:color="auto"/>
        <w:bottom w:val="none" w:sz="0" w:space="0" w:color="auto"/>
        <w:right w:val="none" w:sz="0" w:space="0" w:color="auto"/>
      </w:divBdr>
      <w:divsChild>
        <w:div w:id="320961873">
          <w:marLeft w:val="446"/>
          <w:marRight w:val="0"/>
          <w:marTop w:val="0"/>
          <w:marBottom w:val="0"/>
          <w:divBdr>
            <w:top w:val="none" w:sz="0" w:space="0" w:color="auto"/>
            <w:left w:val="none" w:sz="0" w:space="0" w:color="auto"/>
            <w:bottom w:val="none" w:sz="0" w:space="0" w:color="auto"/>
            <w:right w:val="none" w:sz="0" w:space="0" w:color="auto"/>
          </w:divBdr>
        </w:div>
        <w:div w:id="534928807">
          <w:marLeft w:val="446"/>
          <w:marRight w:val="0"/>
          <w:marTop w:val="0"/>
          <w:marBottom w:val="0"/>
          <w:divBdr>
            <w:top w:val="none" w:sz="0" w:space="0" w:color="auto"/>
            <w:left w:val="none" w:sz="0" w:space="0" w:color="auto"/>
            <w:bottom w:val="none" w:sz="0" w:space="0" w:color="auto"/>
            <w:right w:val="none" w:sz="0" w:space="0" w:color="auto"/>
          </w:divBdr>
        </w:div>
        <w:div w:id="585501440">
          <w:marLeft w:val="446"/>
          <w:marRight w:val="0"/>
          <w:marTop w:val="0"/>
          <w:marBottom w:val="0"/>
          <w:divBdr>
            <w:top w:val="none" w:sz="0" w:space="0" w:color="auto"/>
            <w:left w:val="none" w:sz="0" w:space="0" w:color="auto"/>
            <w:bottom w:val="none" w:sz="0" w:space="0" w:color="auto"/>
            <w:right w:val="none" w:sz="0" w:space="0" w:color="auto"/>
          </w:divBdr>
        </w:div>
      </w:divsChild>
    </w:div>
    <w:div w:id="864633675">
      <w:bodyDiv w:val="1"/>
      <w:marLeft w:val="0"/>
      <w:marRight w:val="0"/>
      <w:marTop w:val="0"/>
      <w:marBottom w:val="0"/>
      <w:divBdr>
        <w:top w:val="none" w:sz="0" w:space="0" w:color="auto"/>
        <w:left w:val="none" w:sz="0" w:space="0" w:color="auto"/>
        <w:bottom w:val="none" w:sz="0" w:space="0" w:color="auto"/>
        <w:right w:val="none" w:sz="0" w:space="0" w:color="auto"/>
      </w:divBdr>
      <w:divsChild>
        <w:div w:id="475151829">
          <w:marLeft w:val="446"/>
          <w:marRight w:val="0"/>
          <w:marTop w:val="0"/>
          <w:marBottom w:val="0"/>
          <w:divBdr>
            <w:top w:val="none" w:sz="0" w:space="0" w:color="auto"/>
            <w:left w:val="none" w:sz="0" w:space="0" w:color="auto"/>
            <w:bottom w:val="none" w:sz="0" w:space="0" w:color="auto"/>
            <w:right w:val="none" w:sz="0" w:space="0" w:color="auto"/>
          </w:divBdr>
        </w:div>
        <w:div w:id="2030256760">
          <w:marLeft w:val="446"/>
          <w:marRight w:val="0"/>
          <w:marTop w:val="0"/>
          <w:marBottom w:val="0"/>
          <w:divBdr>
            <w:top w:val="none" w:sz="0" w:space="0" w:color="auto"/>
            <w:left w:val="none" w:sz="0" w:space="0" w:color="auto"/>
            <w:bottom w:val="none" w:sz="0" w:space="0" w:color="auto"/>
            <w:right w:val="none" w:sz="0" w:space="0" w:color="auto"/>
          </w:divBdr>
        </w:div>
        <w:div w:id="2033334919">
          <w:marLeft w:val="446"/>
          <w:marRight w:val="0"/>
          <w:marTop w:val="0"/>
          <w:marBottom w:val="0"/>
          <w:divBdr>
            <w:top w:val="none" w:sz="0" w:space="0" w:color="auto"/>
            <w:left w:val="none" w:sz="0" w:space="0" w:color="auto"/>
            <w:bottom w:val="none" w:sz="0" w:space="0" w:color="auto"/>
            <w:right w:val="none" w:sz="0" w:space="0" w:color="auto"/>
          </w:divBdr>
        </w:div>
        <w:div w:id="2111731002">
          <w:marLeft w:val="446"/>
          <w:marRight w:val="0"/>
          <w:marTop w:val="0"/>
          <w:marBottom w:val="0"/>
          <w:divBdr>
            <w:top w:val="none" w:sz="0" w:space="0" w:color="auto"/>
            <w:left w:val="none" w:sz="0" w:space="0" w:color="auto"/>
            <w:bottom w:val="none" w:sz="0" w:space="0" w:color="auto"/>
            <w:right w:val="none" w:sz="0" w:space="0" w:color="auto"/>
          </w:divBdr>
        </w:div>
      </w:divsChild>
    </w:div>
    <w:div w:id="923758679">
      <w:bodyDiv w:val="1"/>
      <w:marLeft w:val="0"/>
      <w:marRight w:val="0"/>
      <w:marTop w:val="0"/>
      <w:marBottom w:val="0"/>
      <w:divBdr>
        <w:top w:val="none" w:sz="0" w:space="0" w:color="auto"/>
        <w:left w:val="none" w:sz="0" w:space="0" w:color="auto"/>
        <w:bottom w:val="none" w:sz="0" w:space="0" w:color="auto"/>
        <w:right w:val="none" w:sz="0" w:space="0" w:color="auto"/>
      </w:divBdr>
    </w:div>
    <w:div w:id="973562313">
      <w:bodyDiv w:val="1"/>
      <w:marLeft w:val="0"/>
      <w:marRight w:val="0"/>
      <w:marTop w:val="0"/>
      <w:marBottom w:val="0"/>
      <w:divBdr>
        <w:top w:val="none" w:sz="0" w:space="0" w:color="auto"/>
        <w:left w:val="none" w:sz="0" w:space="0" w:color="auto"/>
        <w:bottom w:val="none" w:sz="0" w:space="0" w:color="auto"/>
        <w:right w:val="none" w:sz="0" w:space="0" w:color="auto"/>
      </w:divBdr>
    </w:div>
    <w:div w:id="1012491513">
      <w:bodyDiv w:val="1"/>
      <w:marLeft w:val="0"/>
      <w:marRight w:val="0"/>
      <w:marTop w:val="0"/>
      <w:marBottom w:val="0"/>
      <w:divBdr>
        <w:top w:val="none" w:sz="0" w:space="0" w:color="auto"/>
        <w:left w:val="none" w:sz="0" w:space="0" w:color="auto"/>
        <w:bottom w:val="none" w:sz="0" w:space="0" w:color="auto"/>
        <w:right w:val="none" w:sz="0" w:space="0" w:color="auto"/>
      </w:divBdr>
    </w:div>
    <w:div w:id="1084835264">
      <w:bodyDiv w:val="1"/>
      <w:marLeft w:val="0"/>
      <w:marRight w:val="0"/>
      <w:marTop w:val="0"/>
      <w:marBottom w:val="0"/>
      <w:divBdr>
        <w:top w:val="none" w:sz="0" w:space="0" w:color="auto"/>
        <w:left w:val="none" w:sz="0" w:space="0" w:color="auto"/>
        <w:bottom w:val="none" w:sz="0" w:space="0" w:color="auto"/>
        <w:right w:val="none" w:sz="0" w:space="0" w:color="auto"/>
      </w:divBdr>
    </w:div>
    <w:div w:id="1093819787">
      <w:bodyDiv w:val="1"/>
      <w:marLeft w:val="0"/>
      <w:marRight w:val="0"/>
      <w:marTop w:val="0"/>
      <w:marBottom w:val="0"/>
      <w:divBdr>
        <w:top w:val="none" w:sz="0" w:space="0" w:color="auto"/>
        <w:left w:val="none" w:sz="0" w:space="0" w:color="auto"/>
        <w:bottom w:val="none" w:sz="0" w:space="0" w:color="auto"/>
        <w:right w:val="none" w:sz="0" w:space="0" w:color="auto"/>
      </w:divBdr>
    </w:div>
    <w:div w:id="1168061594">
      <w:bodyDiv w:val="1"/>
      <w:marLeft w:val="0"/>
      <w:marRight w:val="0"/>
      <w:marTop w:val="0"/>
      <w:marBottom w:val="0"/>
      <w:divBdr>
        <w:top w:val="none" w:sz="0" w:space="0" w:color="auto"/>
        <w:left w:val="none" w:sz="0" w:space="0" w:color="auto"/>
        <w:bottom w:val="none" w:sz="0" w:space="0" w:color="auto"/>
        <w:right w:val="none" w:sz="0" w:space="0" w:color="auto"/>
      </w:divBdr>
    </w:div>
    <w:div w:id="1223760865">
      <w:bodyDiv w:val="1"/>
      <w:marLeft w:val="0"/>
      <w:marRight w:val="0"/>
      <w:marTop w:val="0"/>
      <w:marBottom w:val="0"/>
      <w:divBdr>
        <w:top w:val="none" w:sz="0" w:space="0" w:color="auto"/>
        <w:left w:val="none" w:sz="0" w:space="0" w:color="auto"/>
        <w:bottom w:val="none" w:sz="0" w:space="0" w:color="auto"/>
        <w:right w:val="none" w:sz="0" w:space="0" w:color="auto"/>
      </w:divBdr>
    </w:div>
    <w:div w:id="1311135869">
      <w:bodyDiv w:val="1"/>
      <w:marLeft w:val="0"/>
      <w:marRight w:val="0"/>
      <w:marTop w:val="0"/>
      <w:marBottom w:val="0"/>
      <w:divBdr>
        <w:top w:val="none" w:sz="0" w:space="0" w:color="auto"/>
        <w:left w:val="none" w:sz="0" w:space="0" w:color="auto"/>
        <w:bottom w:val="none" w:sz="0" w:space="0" w:color="auto"/>
        <w:right w:val="none" w:sz="0" w:space="0" w:color="auto"/>
      </w:divBdr>
    </w:div>
    <w:div w:id="1330675604">
      <w:bodyDiv w:val="1"/>
      <w:marLeft w:val="0"/>
      <w:marRight w:val="0"/>
      <w:marTop w:val="0"/>
      <w:marBottom w:val="0"/>
      <w:divBdr>
        <w:top w:val="none" w:sz="0" w:space="0" w:color="auto"/>
        <w:left w:val="none" w:sz="0" w:space="0" w:color="auto"/>
        <w:bottom w:val="none" w:sz="0" w:space="0" w:color="auto"/>
        <w:right w:val="none" w:sz="0" w:space="0" w:color="auto"/>
      </w:divBdr>
      <w:divsChild>
        <w:div w:id="42146002">
          <w:marLeft w:val="446"/>
          <w:marRight w:val="0"/>
          <w:marTop w:val="0"/>
          <w:marBottom w:val="0"/>
          <w:divBdr>
            <w:top w:val="none" w:sz="0" w:space="0" w:color="auto"/>
            <w:left w:val="none" w:sz="0" w:space="0" w:color="auto"/>
            <w:bottom w:val="none" w:sz="0" w:space="0" w:color="auto"/>
            <w:right w:val="none" w:sz="0" w:space="0" w:color="auto"/>
          </w:divBdr>
        </w:div>
        <w:div w:id="953824822">
          <w:marLeft w:val="446"/>
          <w:marRight w:val="0"/>
          <w:marTop w:val="0"/>
          <w:marBottom w:val="0"/>
          <w:divBdr>
            <w:top w:val="none" w:sz="0" w:space="0" w:color="auto"/>
            <w:left w:val="none" w:sz="0" w:space="0" w:color="auto"/>
            <w:bottom w:val="none" w:sz="0" w:space="0" w:color="auto"/>
            <w:right w:val="none" w:sz="0" w:space="0" w:color="auto"/>
          </w:divBdr>
        </w:div>
        <w:div w:id="1496340725">
          <w:marLeft w:val="446"/>
          <w:marRight w:val="0"/>
          <w:marTop w:val="0"/>
          <w:marBottom w:val="0"/>
          <w:divBdr>
            <w:top w:val="none" w:sz="0" w:space="0" w:color="auto"/>
            <w:left w:val="none" w:sz="0" w:space="0" w:color="auto"/>
            <w:bottom w:val="none" w:sz="0" w:space="0" w:color="auto"/>
            <w:right w:val="none" w:sz="0" w:space="0" w:color="auto"/>
          </w:divBdr>
        </w:div>
        <w:div w:id="1679844725">
          <w:marLeft w:val="446"/>
          <w:marRight w:val="0"/>
          <w:marTop w:val="0"/>
          <w:marBottom w:val="0"/>
          <w:divBdr>
            <w:top w:val="none" w:sz="0" w:space="0" w:color="auto"/>
            <w:left w:val="none" w:sz="0" w:space="0" w:color="auto"/>
            <w:bottom w:val="none" w:sz="0" w:space="0" w:color="auto"/>
            <w:right w:val="none" w:sz="0" w:space="0" w:color="auto"/>
          </w:divBdr>
        </w:div>
      </w:divsChild>
    </w:div>
    <w:div w:id="1358652608">
      <w:bodyDiv w:val="1"/>
      <w:marLeft w:val="0"/>
      <w:marRight w:val="0"/>
      <w:marTop w:val="0"/>
      <w:marBottom w:val="0"/>
      <w:divBdr>
        <w:top w:val="none" w:sz="0" w:space="0" w:color="auto"/>
        <w:left w:val="none" w:sz="0" w:space="0" w:color="auto"/>
        <w:bottom w:val="none" w:sz="0" w:space="0" w:color="auto"/>
        <w:right w:val="none" w:sz="0" w:space="0" w:color="auto"/>
      </w:divBdr>
    </w:div>
    <w:div w:id="1416056096">
      <w:bodyDiv w:val="1"/>
      <w:marLeft w:val="0"/>
      <w:marRight w:val="0"/>
      <w:marTop w:val="0"/>
      <w:marBottom w:val="0"/>
      <w:divBdr>
        <w:top w:val="none" w:sz="0" w:space="0" w:color="auto"/>
        <w:left w:val="none" w:sz="0" w:space="0" w:color="auto"/>
        <w:bottom w:val="none" w:sz="0" w:space="0" w:color="auto"/>
        <w:right w:val="none" w:sz="0" w:space="0" w:color="auto"/>
      </w:divBdr>
      <w:divsChild>
        <w:div w:id="670913996">
          <w:marLeft w:val="446"/>
          <w:marRight w:val="0"/>
          <w:marTop w:val="0"/>
          <w:marBottom w:val="0"/>
          <w:divBdr>
            <w:top w:val="none" w:sz="0" w:space="0" w:color="auto"/>
            <w:left w:val="none" w:sz="0" w:space="0" w:color="auto"/>
            <w:bottom w:val="none" w:sz="0" w:space="0" w:color="auto"/>
            <w:right w:val="none" w:sz="0" w:space="0" w:color="auto"/>
          </w:divBdr>
        </w:div>
        <w:div w:id="969167416">
          <w:marLeft w:val="446"/>
          <w:marRight w:val="0"/>
          <w:marTop w:val="0"/>
          <w:marBottom w:val="0"/>
          <w:divBdr>
            <w:top w:val="none" w:sz="0" w:space="0" w:color="auto"/>
            <w:left w:val="none" w:sz="0" w:space="0" w:color="auto"/>
            <w:bottom w:val="none" w:sz="0" w:space="0" w:color="auto"/>
            <w:right w:val="none" w:sz="0" w:space="0" w:color="auto"/>
          </w:divBdr>
        </w:div>
        <w:div w:id="1364139159">
          <w:marLeft w:val="446"/>
          <w:marRight w:val="0"/>
          <w:marTop w:val="0"/>
          <w:marBottom w:val="0"/>
          <w:divBdr>
            <w:top w:val="none" w:sz="0" w:space="0" w:color="auto"/>
            <w:left w:val="none" w:sz="0" w:space="0" w:color="auto"/>
            <w:bottom w:val="none" w:sz="0" w:space="0" w:color="auto"/>
            <w:right w:val="none" w:sz="0" w:space="0" w:color="auto"/>
          </w:divBdr>
        </w:div>
      </w:divsChild>
    </w:div>
    <w:div w:id="1511486644">
      <w:bodyDiv w:val="1"/>
      <w:marLeft w:val="0"/>
      <w:marRight w:val="0"/>
      <w:marTop w:val="0"/>
      <w:marBottom w:val="0"/>
      <w:divBdr>
        <w:top w:val="none" w:sz="0" w:space="0" w:color="auto"/>
        <w:left w:val="none" w:sz="0" w:space="0" w:color="auto"/>
        <w:bottom w:val="none" w:sz="0" w:space="0" w:color="auto"/>
        <w:right w:val="none" w:sz="0" w:space="0" w:color="auto"/>
      </w:divBdr>
    </w:div>
    <w:div w:id="1662000486">
      <w:bodyDiv w:val="1"/>
      <w:marLeft w:val="0"/>
      <w:marRight w:val="0"/>
      <w:marTop w:val="0"/>
      <w:marBottom w:val="0"/>
      <w:divBdr>
        <w:top w:val="none" w:sz="0" w:space="0" w:color="auto"/>
        <w:left w:val="none" w:sz="0" w:space="0" w:color="auto"/>
        <w:bottom w:val="none" w:sz="0" w:space="0" w:color="auto"/>
        <w:right w:val="none" w:sz="0" w:space="0" w:color="auto"/>
      </w:divBdr>
      <w:divsChild>
        <w:div w:id="1671788869">
          <w:marLeft w:val="446"/>
          <w:marRight w:val="0"/>
          <w:marTop w:val="0"/>
          <w:marBottom w:val="0"/>
          <w:divBdr>
            <w:top w:val="none" w:sz="0" w:space="0" w:color="auto"/>
            <w:left w:val="none" w:sz="0" w:space="0" w:color="auto"/>
            <w:bottom w:val="none" w:sz="0" w:space="0" w:color="auto"/>
            <w:right w:val="none" w:sz="0" w:space="0" w:color="auto"/>
          </w:divBdr>
        </w:div>
        <w:div w:id="1729497995">
          <w:marLeft w:val="446"/>
          <w:marRight w:val="0"/>
          <w:marTop w:val="0"/>
          <w:marBottom w:val="0"/>
          <w:divBdr>
            <w:top w:val="none" w:sz="0" w:space="0" w:color="auto"/>
            <w:left w:val="none" w:sz="0" w:space="0" w:color="auto"/>
            <w:bottom w:val="none" w:sz="0" w:space="0" w:color="auto"/>
            <w:right w:val="none" w:sz="0" w:space="0" w:color="auto"/>
          </w:divBdr>
        </w:div>
        <w:div w:id="1941256955">
          <w:marLeft w:val="446"/>
          <w:marRight w:val="0"/>
          <w:marTop w:val="0"/>
          <w:marBottom w:val="0"/>
          <w:divBdr>
            <w:top w:val="none" w:sz="0" w:space="0" w:color="auto"/>
            <w:left w:val="none" w:sz="0" w:space="0" w:color="auto"/>
            <w:bottom w:val="none" w:sz="0" w:space="0" w:color="auto"/>
            <w:right w:val="none" w:sz="0" w:space="0" w:color="auto"/>
          </w:divBdr>
        </w:div>
      </w:divsChild>
    </w:div>
    <w:div w:id="1706324606">
      <w:bodyDiv w:val="1"/>
      <w:marLeft w:val="0"/>
      <w:marRight w:val="0"/>
      <w:marTop w:val="0"/>
      <w:marBottom w:val="0"/>
      <w:divBdr>
        <w:top w:val="none" w:sz="0" w:space="0" w:color="auto"/>
        <w:left w:val="none" w:sz="0" w:space="0" w:color="auto"/>
        <w:bottom w:val="none" w:sz="0" w:space="0" w:color="auto"/>
        <w:right w:val="none" w:sz="0" w:space="0" w:color="auto"/>
      </w:divBdr>
    </w:div>
    <w:div w:id="1793591313">
      <w:bodyDiv w:val="1"/>
      <w:marLeft w:val="0"/>
      <w:marRight w:val="0"/>
      <w:marTop w:val="0"/>
      <w:marBottom w:val="0"/>
      <w:divBdr>
        <w:top w:val="none" w:sz="0" w:space="0" w:color="auto"/>
        <w:left w:val="none" w:sz="0" w:space="0" w:color="auto"/>
        <w:bottom w:val="none" w:sz="0" w:space="0" w:color="auto"/>
        <w:right w:val="none" w:sz="0" w:space="0" w:color="auto"/>
      </w:divBdr>
    </w:div>
    <w:div w:id="1856380179">
      <w:bodyDiv w:val="1"/>
      <w:marLeft w:val="0"/>
      <w:marRight w:val="0"/>
      <w:marTop w:val="0"/>
      <w:marBottom w:val="0"/>
      <w:divBdr>
        <w:top w:val="none" w:sz="0" w:space="0" w:color="auto"/>
        <w:left w:val="none" w:sz="0" w:space="0" w:color="auto"/>
        <w:bottom w:val="none" w:sz="0" w:space="0" w:color="auto"/>
        <w:right w:val="none" w:sz="0" w:space="0" w:color="auto"/>
      </w:divBdr>
    </w:div>
    <w:div w:id="1899171123">
      <w:bodyDiv w:val="1"/>
      <w:marLeft w:val="0"/>
      <w:marRight w:val="0"/>
      <w:marTop w:val="0"/>
      <w:marBottom w:val="0"/>
      <w:divBdr>
        <w:top w:val="none" w:sz="0" w:space="0" w:color="auto"/>
        <w:left w:val="none" w:sz="0" w:space="0" w:color="auto"/>
        <w:bottom w:val="none" w:sz="0" w:space="0" w:color="auto"/>
        <w:right w:val="none" w:sz="0" w:space="0" w:color="auto"/>
      </w:divBdr>
    </w:div>
    <w:div w:id="1943296723">
      <w:bodyDiv w:val="1"/>
      <w:marLeft w:val="0"/>
      <w:marRight w:val="0"/>
      <w:marTop w:val="0"/>
      <w:marBottom w:val="0"/>
      <w:divBdr>
        <w:top w:val="none" w:sz="0" w:space="0" w:color="auto"/>
        <w:left w:val="none" w:sz="0" w:space="0" w:color="auto"/>
        <w:bottom w:val="none" w:sz="0" w:space="0" w:color="auto"/>
        <w:right w:val="none" w:sz="0" w:space="0" w:color="auto"/>
      </w:divBdr>
    </w:div>
    <w:div w:id="2061201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espon.eu"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footer" Target="footer3.xml"/><Relationship Id="rId21" Type="http://schemas.openxmlformats.org/officeDocument/2006/relationships/image" Target="media/image6.emf"/><Relationship Id="rId34" Type="http://schemas.openxmlformats.org/officeDocument/2006/relationships/image" Target="media/image15.png"/><Relationship Id="rId42" Type="http://schemas.openxmlformats.org/officeDocument/2006/relationships/hyperlink" Target="mailto:info@espon.eu" TargetMode="External"/><Relationship Id="rId47" Type="http://schemas.openxmlformats.org/officeDocument/2006/relationships/footer" Target="footer5.xm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eader" Target="header5.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3.emf"/><Relationship Id="rId37" Type="http://schemas.openxmlformats.org/officeDocument/2006/relationships/header" Target="header6.xml"/><Relationship Id="rId40" Type="http://schemas.openxmlformats.org/officeDocument/2006/relationships/footer" Target="footer4.xml"/><Relationship Id="rId45" Type="http://schemas.openxmlformats.org/officeDocument/2006/relationships/hyperlink" Target="http://www.espon.eu"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svg"/><Relationship Id="rId28" Type="http://schemas.openxmlformats.org/officeDocument/2006/relationships/header" Target="header4.xml"/><Relationship Id="rId36" Type="http://schemas.openxmlformats.org/officeDocument/2006/relationships/image" Target="media/image17.emf"/><Relationship Id="rId49"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footer" Target="footer2.xml"/><Relationship Id="rId44" Type="http://schemas.openxmlformats.org/officeDocument/2006/relationships/hyperlink" Target="mailto:info@espon.eu"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1.xml"/><Relationship Id="rId35" Type="http://schemas.openxmlformats.org/officeDocument/2006/relationships/image" Target="media/image16.emf"/><Relationship Id="rId43" Type="http://schemas.openxmlformats.org/officeDocument/2006/relationships/hyperlink" Target="http://www.espon.eu" TargetMode="External"/><Relationship Id="rId48" Type="http://schemas.openxmlformats.org/officeDocument/2006/relationships/header" Target="header9.xml"/><Relationship Id="rId8" Type="http://schemas.openxmlformats.org/officeDocument/2006/relationships/settings" Target="settings.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10.svg"/><Relationship Id="rId33" Type="http://schemas.openxmlformats.org/officeDocument/2006/relationships/image" Target="media/image14.jpeg"/><Relationship Id="rId38" Type="http://schemas.openxmlformats.org/officeDocument/2006/relationships/header" Target="header7.xml"/><Relationship Id="rId46" Type="http://schemas.openxmlformats.org/officeDocument/2006/relationships/header" Target="header8.xml"/><Relationship Id="rId20" Type="http://schemas.openxmlformats.org/officeDocument/2006/relationships/image" Target="media/image5.jpe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s://www.iea.org/reports/a-10-point-plan-to-cut-oil-us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iatoptsidou/Spatial%2520Foresight/2021-217%2520ESPON%2520TEVI%25202050%2520-%2520Documents/_DROPBOX/5_Reports/ESPON%2520Templates_2020/Annex3_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62966A14E7AC94EB6ADB51DAE6D1BC9"/>
        <w:category>
          <w:name w:val="General"/>
          <w:gallery w:val="placeholder"/>
        </w:category>
        <w:types>
          <w:type w:val="bbPlcHdr"/>
        </w:types>
        <w:behaviors>
          <w:behavior w:val="content"/>
        </w:behaviors>
        <w:guid w:val="{42035F45-08C8-C847-96DC-66F64BAE8892}"/>
      </w:docPartPr>
      <w:docPartBody>
        <w:p w:rsidR="007A4C65" w:rsidRDefault="00567778">
          <w:pPr>
            <w:pStyle w:val="062966A14E7AC94EB6ADB51DAE6D1BC9"/>
          </w:pPr>
          <w:r>
            <w:rPr>
              <w:rStyle w:val="PlaceholderText"/>
            </w:rPr>
            <w:t>Type of publication</w:t>
          </w:r>
        </w:p>
      </w:docPartBody>
    </w:docPart>
    <w:docPart>
      <w:docPartPr>
        <w:name w:val="AEF4166D8B042B44B45EFF54C562F9FA"/>
        <w:category>
          <w:name w:val="General"/>
          <w:gallery w:val="placeholder"/>
        </w:category>
        <w:types>
          <w:type w:val="bbPlcHdr"/>
        </w:types>
        <w:behaviors>
          <w:behavior w:val="content"/>
        </w:behaviors>
        <w:guid w:val="{05E0ED1F-6B7B-334A-8E1A-917DCDBDE5BB}"/>
      </w:docPartPr>
      <w:docPartBody>
        <w:p w:rsidR="007A4C65" w:rsidRDefault="00567778">
          <w:pPr>
            <w:pStyle w:val="AEF4166D8B042B44B45EFF54C562F9FA"/>
          </w:pPr>
          <w:r w:rsidRPr="00EB34B1">
            <w:rPr>
              <w:rStyle w:val="PlaceholderText"/>
            </w:rPr>
            <w:t>Click or tap here to enter text.</w:t>
          </w:r>
        </w:p>
      </w:docPartBody>
    </w:docPart>
    <w:docPart>
      <w:docPartPr>
        <w:name w:val="FD5D4DF5964DDD40A3DE5EC13505C6B4"/>
        <w:category>
          <w:name w:val="General"/>
          <w:gallery w:val="placeholder"/>
        </w:category>
        <w:types>
          <w:type w:val="bbPlcHdr"/>
        </w:types>
        <w:behaviors>
          <w:behavior w:val="content"/>
        </w:behaviors>
        <w:guid w:val="{7AFCA143-6F16-4C4F-AFF5-F13876606C03}"/>
      </w:docPartPr>
      <w:docPartBody>
        <w:p w:rsidR="007A4C65" w:rsidRDefault="00567778">
          <w:pPr>
            <w:pStyle w:val="FD5D4DF5964DDD40A3DE5EC13505C6B4"/>
          </w:pPr>
          <w:r w:rsidRPr="00EB34B1">
            <w:rPr>
              <w:rStyle w:val="PlaceholderText"/>
            </w:rPr>
            <w:t>Click or tap here to enter text.</w:t>
          </w:r>
        </w:p>
      </w:docPartBody>
    </w:docPart>
    <w:docPart>
      <w:docPartPr>
        <w:name w:val="04C3FD4F8FFE7242968CE8649C9A9438"/>
        <w:category>
          <w:name w:val="General"/>
          <w:gallery w:val="placeholder"/>
        </w:category>
        <w:types>
          <w:type w:val="bbPlcHdr"/>
        </w:types>
        <w:behaviors>
          <w:behavior w:val="content"/>
        </w:behaviors>
        <w:guid w:val="{48F4E2E8-C6D1-9048-B4D5-8D8DB53AC59D}"/>
      </w:docPartPr>
      <w:docPartBody>
        <w:p w:rsidR="007A4C65" w:rsidRDefault="00567778">
          <w:pPr>
            <w:pStyle w:val="04C3FD4F8FFE7242968CE8649C9A9438"/>
          </w:pPr>
          <w:r w:rsidRPr="00EB34B1">
            <w:rPr>
              <w:lang w:val="en-GB"/>
            </w:rPr>
            <w:t>type of publication</w:t>
          </w:r>
        </w:p>
      </w:docPartBody>
    </w:docPart>
    <w:docPart>
      <w:docPartPr>
        <w:name w:val="D69785AC108FAB4DBAB96BCDEB29D37C"/>
        <w:category>
          <w:name w:val="General"/>
          <w:gallery w:val="placeholder"/>
        </w:category>
        <w:types>
          <w:type w:val="bbPlcHdr"/>
        </w:types>
        <w:behaviors>
          <w:behavior w:val="content"/>
        </w:behaviors>
        <w:guid w:val="{06F5054A-4245-6D40-B8D3-7224E857A1D9}"/>
      </w:docPartPr>
      <w:docPartBody>
        <w:p w:rsidR="007A4C65" w:rsidRDefault="00567778">
          <w:pPr>
            <w:pStyle w:val="D69785AC108FAB4DBAB96BCDEB29D37C"/>
          </w:pPr>
          <w:r w:rsidRPr="00EB34B1">
            <w:t>Title</w:t>
          </w:r>
        </w:p>
      </w:docPartBody>
    </w:docPart>
    <w:docPart>
      <w:docPartPr>
        <w:name w:val="716503AC85AEFC46AA5840CC0F9C4390"/>
        <w:category>
          <w:name w:val="General"/>
          <w:gallery w:val="placeholder"/>
        </w:category>
        <w:types>
          <w:type w:val="bbPlcHdr"/>
        </w:types>
        <w:behaviors>
          <w:behavior w:val="content"/>
        </w:behaviors>
        <w:guid w:val="{23CD28B4-EF05-2646-9A13-8D011558E6DC}"/>
      </w:docPartPr>
      <w:docPartBody>
        <w:p w:rsidR="007A4C65" w:rsidRDefault="00567778">
          <w:pPr>
            <w:pStyle w:val="716503AC85AEFC46AA5840CC0F9C4390"/>
          </w:pPr>
          <w:r w:rsidRPr="00EB34B1">
            <w:t>Subtitle</w:t>
          </w:r>
        </w:p>
      </w:docPartBody>
    </w:docPart>
    <w:docPart>
      <w:docPartPr>
        <w:name w:val="C9A7C9819E48714C996C6480E50396F5"/>
        <w:category>
          <w:name w:val="General"/>
          <w:gallery w:val="placeholder"/>
        </w:category>
        <w:types>
          <w:type w:val="bbPlcHdr"/>
        </w:types>
        <w:behaviors>
          <w:behavior w:val="content"/>
        </w:behaviors>
        <w:guid w:val="{E4180603-AAF5-4741-8445-EFDEBA048BAD}"/>
      </w:docPartPr>
      <w:docPartBody>
        <w:p w:rsidR="007A4C65" w:rsidRDefault="00567778">
          <w:pPr>
            <w:pStyle w:val="C9A7C9819E48714C996C6480E50396F5"/>
          </w:pPr>
          <w:r w:rsidRPr="00EB34B1">
            <w:t>Type of Report, Annex, etc.</w:t>
          </w:r>
        </w:p>
      </w:docPartBody>
    </w:docPart>
    <w:docPart>
      <w:docPartPr>
        <w:name w:val="89129A2E5270B14E94F9401F5333E95C"/>
        <w:category>
          <w:name w:val="General"/>
          <w:gallery w:val="placeholder"/>
        </w:category>
        <w:types>
          <w:type w:val="bbPlcHdr"/>
        </w:types>
        <w:behaviors>
          <w:behavior w:val="content"/>
        </w:behaviors>
        <w:guid w:val="{0EF85258-A5C8-EC47-9B56-8673231C1B83}"/>
      </w:docPartPr>
      <w:docPartBody>
        <w:p w:rsidR="007A4C65" w:rsidRDefault="00567778">
          <w:pPr>
            <w:pStyle w:val="89129A2E5270B14E94F9401F5333E95C"/>
          </w:pPr>
          <w:r w:rsidRPr="00EB34B1">
            <w:t>Month Year</w:t>
          </w:r>
        </w:p>
      </w:docPartBody>
    </w:docPart>
    <w:docPart>
      <w:docPartPr>
        <w:name w:val="A8DD16DD25FA2549AEB36E6CABC270A1"/>
        <w:category>
          <w:name w:val="General"/>
          <w:gallery w:val="placeholder"/>
        </w:category>
        <w:types>
          <w:type w:val="bbPlcHdr"/>
        </w:types>
        <w:behaviors>
          <w:behavior w:val="content"/>
        </w:behaviors>
        <w:guid w:val="{1242B3C2-3229-834C-9234-237EF83AB2EE}"/>
      </w:docPartPr>
      <w:docPartBody>
        <w:p w:rsidR="007A4C65" w:rsidRDefault="00567778">
          <w:pPr>
            <w:pStyle w:val="A8DD16DD25FA2549AEB36E6CABC270A1"/>
          </w:pPr>
          <w:r w:rsidRPr="00C93125">
            <w:rPr>
              <w:rStyle w:val="PlaceholderText"/>
            </w:rPr>
            <w:t>Choose an item.</w:t>
          </w:r>
        </w:p>
      </w:docPartBody>
    </w:docPart>
    <w:docPart>
      <w:docPartPr>
        <w:name w:val="EAA3B44C3571994B8C699F0177BF4327"/>
        <w:category>
          <w:name w:val="General"/>
          <w:gallery w:val="placeholder"/>
        </w:category>
        <w:types>
          <w:type w:val="bbPlcHdr"/>
        </w:types>
        <w:behaviors>
          <w:behavior w:val="content"/>
        </w:behaviors>
        <w:guid w:val="{51032757-0621-8445-BB90-AB77305331FA}"/>
      </w:docPartPr>
      <w:docPartBody>
        <w:p w:rsidR="007A4C65" w:rsidRDefault="00567778">
          <w:pPr>
            <w:pStyle w:val="EAA3B44C3571994B8C699F0177BF4327"/>
          </w:pPr>
          <w:r w:rsidRPr="001952A3">
            <w:t>Title</w:t>
          </w:r>
        </w:p>
      </w:docPartBody>
    </w:docPart>
    <w:docPart>
      <w:docPartPr>
        <w:name w:val="E4839C2DD4595041BF7F95C9FA6F004F"/>
        <w:category>
          <w:name w:val="General"/>
          <w:gallery w:val="placeholder"/>
        </w:category>
        <w:types>
          <w:type w:val="bbPlcHdr"/>
        </w:types>
        <w:behaviors>
          <w:behavior w:val="content"/>
        </w:behaviors>
        <w:guid w:val="{DE9ED989-7CF7-D541-8894-54E6A2009F52}"/>
      </w:docPartPr>
      <w:docPartBody>
        <w:p w:rsidR="007A4C65" w:rsidRDefault="00567778">
          <w:pPr>
            <w:pStyle w:val="E4839C2DD4595041BF7F95C9FA6F004F"/>
          </w:pPr>
          <w:r w:rsidRPr="001952A3">
            <w:t>Subtitle</w:t>
          </w:r>
        </w:p>
      </w:docPartBody>
    </w:docPart>
    <w:docPart>
      <w:docPartPr>
        <w:name w:val="B1E8066E4A97484DBFFFE7ED539029CD"/>
        <w:category>
          <w:name w:val="General"/>
          <w:gallery w:val="placeholder"/>
        </w:category>
        <w:types>
          <w:type w:val="bbPlcHdr"/>
        </w:types>
        <w:behaviors>
          <w:behavior w:val="content"/>
        </w:behaviors>
        <w:guid w:val="{F6FF54C7-BF66-3D46-900F-EEDC19F99C19}"/>
      </w:docPartPr>
      <w:docPartBody>
        <w:p w:rsidR="007A4C65" w:rsidRDefault="00567778">
          <w:pPr>
            <w:pStyle w:val="B1E8066E4A97484DBFFFE7ED539029CD"/>
          </w:pPr>
          <w:r w:rsidRPr="001952A3">
            <w:t>Month Year</w:t>
          </w:r>
        </w:p>
      </w:docPartBody>
    </w:docPart>
    <w:docPart>
      <w:docPartPr>
        <w:name w:val="1C96597ED83D8A448C1BD8C31F94FE60"/>
        <w:category>
          <w:name w:val="General"/>
          <w:gallery w:val="placeholder"/>
        </w:category>
        <w:types>
          <w:type w:val="bbPlcHdr"/>
        </w:types>
        <w:behaviors>
          <w:behavior w:val="content"/>
        </w:behaviors>
        <w:guid w:val="{07982FC0-0E08-8D4B-936A-5C9A5DBE2BEF}"/>
      </w:docPartPr>
      <w:docPartBody>
        <w:p w:rsidR="007A4C65" w:rsidRDefault="00567778">
          <w:pPr>
            <w:pStyle w:val="1C96597ED83D8A448C1BD8C31F94FE60"/>
          </w:pPr>
          <w:r w:rsidRPr="00397C07">
            <w:t>type of publication</w:t>
          </w:r>
        </w:p>
      </w:docPartBody>
    </w:docPart>
    <w:docPart>
      <w:docPartPr>
        <w:name w:val="9253BB8FC00F08488A98D8557FEFD52A"/>
        <w:category>
          <w:name w:val="General"/>
          <w:gallery w:val="placeholder"/>
        </w:category>
        <w:types>
          <w:type w:val="bbPlcHdr"/>
        </w:types>
        <w:behaviors>
          <w:behavior w:val="content"/>
        </w:behaviors>
        <w:guid w:val="{2AE9A91E-65EC-0047-8378-469025076EDC}"/>
      </w:docPartPr>
      <w:docPartBody>
        <w:p w:rsidR="007A4C65" w:rsidRDefault="00567778">
          <w:pPr>
            <w:pStyle w:val="9253BB8FC00F08488A98D8557FEFD52A"/>
          </w:pPr>
          <w:r w:rsidRPr="00397C07">
            <w:rPr>
              <w:rStyle w:val="HeaderFooterGrey"/>
            </w:rPr>
            <w:t>Title</w:t>
          </w:r>
        </w:p>
      </w:docPartBody>
    </w:docPart>
    <w:docPart>
      <w:docPartPr>
        <w:name w:val="00F3EEAF8898D14EA0E3D5884A16C8CB"/>
        <w:category>
          <w:name w:val="General"/>
          <w:gallery w:val="placeholder"/>
        </w:category>
        <w:types>
          <w:type w:val="bbPlcHdr"/>
        </w:types>
        <w:behaviors>
          <w:behavior w:val="content"/>
        </w:behaviors>
        <w:guid w:val="{D6416547-75FA-494C-AAEE-79C4F7338F63}"/>
      </w:docPartPr>
      <w:docPartBody>
        <w:p w:rsidR="007A4C65" w:rsidRDefault="00567778">
          <w:pPr>
            <w:pStyle w:val="00F3EEAF8898D14EA0E3D5884A16C8CB"/>
          </w:pPr>
          <w:r w:rsidRPr="00397C07">
            <w:t>type of publication</w:t>
          </w:r>
        </w:p>
      </w:docPartBody>
    </w:docPart>
    <w:docPart>
      <w:docPartPr>
        <w:name w:val="ACB21E3C39E4FA4290057C69F635E9E5"/>
        <w:category>
          <w:name w:val="General"/>
          <w:gallery w:val="placeholder"/>
        </w:category>
        <w:types>
          <w:type w:val="bbPlcHdr"/>
        </w:types>
        <w:behaviors>
          <w:behavior w:val="content"/>
        </w:behaviors>
        <w:guid w:val="{FF7C4E77-D778-0A48-B7B3-7D9128FE49E1}"/>
      </w:docPartPr>
      <w:docPartBody>
        <w:p w:rsidR="007A4C65" w:rsidRDefault="00567778">
          <w:pPr>
            <w:pStyle w:val="ACB21E3C39E4FA4290057C69F635E9E5"/>
          </w:pPr>
          <w:r w:rsidRPr="00397C07">
            <w:rPr>
              <w:rStyle w:val="HeaderFooterGrey"/>
            </w:rPr>
            <w:t>Title</w:t>
          </w:r>
        </w:p>
      </w:docPartBody>
    </w:docPart>
    <w:docPart>
      <w:docPartPr>
        <w:name w:val="8C422D926AB9DF489429759ABEBC188B"/>
        <w:category>
          <w:name w:val="General"/>
          <w:gallery w:val="placeholder"/>
        </w:category>
        <w:types>
          <w:type w:val="bbPlcHdr"/>
        </w:types>
        <w:behaviors>
          <w:behavior w:val="content"/>
        </w:behaviors>
        <w:guid w:val="{3A78AAC8-2C00-E743-84C0-403FDF93B651}"/>
      </w:docPartPr>
      <w:docPartBody>
        <w:p w:rsidR="00CE519B" w:rsidRDefault="00CC3B18" w:rsidP="00CC3B18">
          <w:pPr>
            <w:pStyle w:val="8C422D926AB9DF489429759ABEBC188B"/>
          </w:pPr>
          <w:r w:rsidRPr="001952A3">
            <w:t>Type of Report, Annex, etc.</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A1"/>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A1"/>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778"/>
    <w:rsid w:val="00002C04"/>
    <w:rsid w:val="00127684"/>
    <w:rsid w:val="00201676"/>
    <w:rsid w:val="00256EF2"/>
    <w:rsid w:val="00257701"/>
    <w:rsid w:val="00282EF2"/>
    <w:rsid w:val="00296CA2"/>
    <w:rsid w:val="00300CA5"/>
    <w:rsid w:val="00400FFB"/>
    <w:rsid w:val="00413E52"/>
    <w:rsid w:val="00435FDD"/>
    <w:rsid w:val="00535204"/>
    <w:rsid w:val="00552948"/>
    <w:rsid w:val="00567778"/>
    <w:rsid w:val="00584A8A"/>
    <w:rsid w:val="006651D9"/>
    <w:rsid w:val="00701AAA"/>
    <w:rsid w:val="007A1CBE"/>
    <w:rsid w:val="007A4C65"/>
    <w:rsid w:val="00843BED"/>
    <w:rsid w:val="008578DB"/>
    <w:rsid w:val="00884E69"/>
    <w:rsid w:val="00921664"/>
    <w:rsid w:val="00930241"/>
    <w:rsid w:val="00963DE9"/>
    <w:rsid w:val="009A567E"/>
    <w:rsid w:val="009F7A94"/>
    <w:rsid w:val="00A247B8"/>
    <w:rsid w:val="00A65597"/>
    <w:rsid w:val="00BB1366"/>
    <w:rsid w:val="00CC3B18"/>
    <w:rsid w:val="00CD7480"/>
    <w:rsid w:val="00CE519B"/>
    <w:rsid w:val="00D54352"/>
    <w:rsid w:val="00DB3A42"/>
    <w:rsid w:val="00E36E8F"/>
    <w:rsid w:val="00EE1B60"/>
    <w:rsid w:val="00EE3673"/>
    <w:rsid w:val="00EF266E"/>
    <w:rsid w:val="00F07191"/>
    <w:rsid w:val="00FC0D51"/>
    <w:rsid w:val="00FD4B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62966A14E7AC94EB6ADB51DAE6D1BC9">
    <w:name w:val="062966A14E7AC94EB6ADB51DAE6D1BC9"/>
  </w:style>
  <w:style w:type="paragraph" w:customStyle="1" w:styleId="AEF4166D8B042B44B45EFF54C562F9FA">
    <w:name w:val="AEF4166D8B042B44B45EFF54C562F9FA"/>
  </w:style>
  <w:style w:type="paragraph" w:customStyle="1" w:styleId="FD5D4DF5964DDD40A3DE5EC13505C6B4">
    <w:name w:val="FD5D4DF5964DDD40A3DE5EC13505C6B4"/>
  </w:style>
  <w:style w:type="paragraph" w:customStyle="1" w:styleId="04C3FD4F8FFE7242968CE8649C9A9438">
    <w:name w:val="04C3FD4F8FFE7242968CE8649C9A9438"/>
  </w:style>
  <w:style w:type="paragraph" w:customStyle="1" w:styleId="D69785AC108FAB4DBAB96BCDEB29D37C">
    <w:name w:val="D69785AC108FAB4DBAB96BCDEB29D37C"/>
  </w:style>
  <w:style w:type="paragraph" w:customStyle="1" w:styleId="716503AC85AEFC46AA5840CC0F9C4390">
    <w:name w:val="716503AC85AEFC46AA5840CC0F9C4390"/>
  </w:style>
  <w:style w:type="paragraph" w:customStyle="1" w:styleId="C9A7C9819E48714C996C6480E50396F5">
    <w:name w:val="C9A7C9819E48714C996C6480E50396F5"/>
  </w:style>
  <w:style w:type="paragraph" w:customStyle="1" w:styleId="89129A2E5270B14E94F9401F5333E95C">
    <w:name w:val="89129A2E5270B14E94F9401F5333E95C"/>
  </w:style>
  <w:style w:type="paragraph" w:customStyle="1" w:styleId="A8DD16DD25FA2549AEB36E6CABC270A1">
    <w:name w:val="A8DD16DD25FA2549AEB36E6CABC270A1"/>
  </w:style>
  <w:style w:type="paragraph" w:customStyle="1" w:styleId="8C422D926AB9DF489429759ABEBC188B">
    <w:name w:val="8C422D926AB9DF489429759ABEBC188B"/>
    <w:rsid w:val="00CC3B18"/>
    <w:rPr>
      <w:lang w:val="en-LU"/>
    </w:rPr>
  </w:style>
  <w:style w:type="paragraph" w:customStyle="1" w:styleId="EAA3B44C3571994B8C699F0177BF4327">
    <w:name w:val="EAA3B44C3571994B8C699F0177BF4327"/>
  </w:style>
  <w:style w:type="paragraph" w:customStyle="1" w:styleId="E4839C2DD4595041BF7F95C9FA6F004F">
    <w:name w:val="E4839C2DD4595041BF7F95C9FA6F004F"/>
  </w:style>
  <w:style w:type="paragraph" w:customStyle="1" w:styleId="B1E8066E4A97484DBFFFE7ED539029CD">
    <w:name w:val="B1E8066E4A97484DBFFFE7ED539029CD"/>
  </w:style>
  <w:style w:type="paragraph" w:customStyle="1" w:styleId="1C96597ED83D8A448C1BD8C31F94FE60">
    <w:name w:val="1C96597ED83D8A448C1BD8C31F94FE60"/>
  </w:style>
  <w:style w:type="character" w:customStyle="1" w:styleId="HeaderFooterGrey">
    <w:name w:val="Header_Footer_Grey"/>
    <w:basedOn w:val="DefaultParagraphFont"/>
    <w:uiPriority w:val="1"/>
    <w:rPr>
      <w:caps w:val="0"/>
      <w:smallCaps w:val="0"/>
      <w:color w:val="777776"/>
    </w:rPr>
  </w:style>
  <w:style w:type="paragraph" w:customStyle="1" w:styleId="9253BB8FC00F08488A98D8557FEFD52A">
    <w:name w:val="9253BB8FC00F08488A98D8557FEFD52A"/>
  </w:style>
  <w:style w:type="paragraph" w:customStyle="1" w:styleId="00F3EEAF8898D14EA0E3D5884A16C8CB">
    <w:name w:val="00F3EEAF8898D14EA0E3D5884A16C8CB"/>
  </w:style>
  <w:style w:type="paragraph" w:customStyle="1" w:styleId="ACB21E3C39E4FA4290057C69F635E9E5">
    <w:name w:val="ACB21E3C39E4FA4290057C69F635E9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optimizeForBrowser/>
  <w:allowPNG/>
</w:webSettings>
</file>

<file path=word/theme/theme1.xml><?xml version="1.0" encoding="utf-8"?>
<a:theme xmlns:a="http://schemas.openxmlformats.org/drawingml/2006/main" name="Office Theme">
  <a:themeElements>
    <a:clrScheme name="ESPON PowerPoint">
      <a:dk1>
        <a:sysClr val="windowText" lastClr="000000"/>
      </a:dk1>
      <a:lt1>
        <a:sysClr val="window" lastClr="FFFFFF"/>
      </a:lt1>
      <a:dk2>
        <a:srgbClr val="0B1741"/>
      </a:dk2>
      <a:lt2>
        <a:srgbClr val="D9D9D9"/>
      </a:lt2>
      <a:accent1>
        <a:srgbClr val="164193"/>
      </a:accent1>
      <a:accent2>
        <a:srgbClr val="EE7D00"/>
      </a:accent2>
      <a:accent3>
        <a:srgbClr val="4779B2"/>
      </a:accent3>
      <a:accent4>
        <a:srgbClr val="75B566"/>
      </a:accent4>
      <a:accent5>
        <a:srgbClr val="77BEDB"/>
      </a:accent5>
      <a:accent6>
        <a:srgbClr val="C85C54"/>
      </a:accent6>
      <a:hlink>
        <a:srgbClr val="308DAA"/>
      </a:hlink>
      <a:folHlink>
        <a:srgbClr val="783F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7C52382EAEA54D9390D8ACAED8808A" ma:contentTypeVersion="13" ma:contentTypeDescription="Create a new document." ma:contentTypeScope="" ma:versionID="7fdc15d593a5b472801279383b303caf">
  <xsd:schema xmlns:xsd="http://www.w3.org/2001/XMLSchema" xmlns:xs="http://www.w3.org/2001/XMLSchema" xmlns:p="http://schemas.microsoft.com/office/2006/metadata/properties" xmlns:ns2="b264460c-6b94-418e-95f3-3fdf4e9ab72c" xmlns:ns3="93ba97d9-6800-48fe-81bf-c413e55fe923" targetNamespace="http://schemas.microsoft.com/office/2006/metadata/properties" ma:root="true" ma:fieldsID="71f718e1479a39687945b0ca3ab0651d" ns2:_="" ns3:_="">
    <xsd:import namespace="b264460c-6b94-418e-95f3-3fdf4e9ab72c"/>
    <xsd:import namespace="93ba97d9-6800-48fe-81bf-c413e55fe9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4460c-6b94-418e-95f3-3fdf4e9ab7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3ba97d9-6800-48fe-81bf-c413e55fe92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ns:gsit_espon_report xmlns:ns="http://www.getsharp.dk/gsit_espon_report">
  <ns:publicationdata>
    <ns:publicationtype>ESPON targeted analysis</ns:publicationtype>
    <ns:reporttype>Final Report, PART II _ Possible territorial scenarios for the EUSDR //</ns:reporttype>
    <ns:reporttitle>TEVI 2050</ns:reporttitle>
    <ns:reportsubtitle>Territorial Scenarios for the Danube and Adriatic Ionian Macro-regions</ns:reportsubtitle>
    <ns:published>11 April 2022 </ns:published>
  </ns:publicationdata>
  <ns:boxelements>
    <ns:white>case study</ns:white>
    <ns:lightblue>methodology</ns:lightblue>
    <ns:darkblue>digression</ns:darkblue>
  </ns:boxelements>
  <ns:templatedata>
    <ns:version>4</ns:version>
  </ns:templatedata>
</ns:gsit_espon_report>
</file>

<file path=customXml/item5.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4E8C12F1-B5B0-4A18-B34A-758605533614}"/>
</file>

<file path=customXml/itemProps2.xml><?xml version="1.0" encoding="utf-8"?>
<ds:datastoreItem xmlns:ds="http://schemas.openxmlformats.org/officeDocument/2006/customXml" ds:itemID="{D22377F7-A7FE-43F1-96DF-002832AC82C0}">
  <ds:schemaRefs>
    <ds:schemaRef ds:uri="http://schemas.microsoft.com/sharepoint/v3/contenttype/forms"/>
  </ds:schemaRefs>
</ds:datastoreItem>
</file>

<file path=customXml/itemProps3.xml><?xml version="1.0" encoding="utf-8"?>
<ds:datastoreItem xmlns:ds="http://schemas.openxmlformats.org/officeDocument/2006/customXml" ds:itemID="{FBBD0065-F046-427E-8984-921577F1565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9FD399A-B783-48CD-9A92-4847D56C8A13}">
  <ds:schemaRefs>
    <ds:schemaRef ds:uri="http://www.getsharp.dk/gsit_espon_report"/>
  </ds:schemaRefs>
</ds:datastoreItem>
</file>

<file path=customXml/itemProps5.xml><?xml version="1.0" encoding="utf-8"?>
<ds:datastoreItem xmlns:ds="http://schemas.openxmlformats.org/officeDocument/2006/customXml" ds:itemID="{4F92E3C3-BF33-4AA5-9AD2-245D1C0D3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Annex3_ReportTemplate.dotx</Template>
  <TotalTime>4617</TotalTime>
  <Pages>51</Pages>
  <Words>51648</Words>
  <Characters>294395</Characters>
  <Application>Microsoft Office Word</Application>
  <DocSecurity>0</DocSecurity>
  <Lines>2453</Lines>
  <Paragraphs>690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345353</CharactersWithSpaces>
  <SharedDoc>false</SharedDoc>
  <HLinks>
    <vt:vector size="372" baseType="variant">
      <vt:variant>
        <vt:i4>1900593</vt:i4>
      </vt:variant>
      <vt:variant>
        <vt:i4>353</vt:i4>
      </vt:variant>
      <vt:variant>
        <vt:i4>0</vt:i4>
      </vt:variant>
      <vt:variant>
        <vt:i4>5</vt:i4>
      </vt:variant>
      <vt:variant>
        <vt:lpwstr/>
      </vt:variant>
      <vt:variant>
        <vt:lpwstr>_Toc97879399</vt:lpwstr>
      </vt:variant>
      <vt:variant>
        <vt:i4>1835057</vt:i4>
      </vt:variant>
      <vt:variant>
        <vt:i4>347</vt:i4>
      </vt:variant>
      <vt:variant>
        <vt:i4>0</vt:i4>
      </vt:variant>
      <vt:variant>
        <vt:i4>5</vt:i4>
      </vt:variant>
      <vt:variant>
        <vt:lpwstr/>
      </vt:variant>
      <vt:variant>
        <vt:lpwstr>_Toc97879398</vt:lpwstr>
      </vt:variant>
      <vt:variant>
        <vt:i4>1245233</vt:i4>
      </vt:variant>
      <vt:variant>
        <vt:i4>341</vt:i4>
      </vt:variant>
      <vt:variant>
        <vt:i4>0</vt:i4>
      </vt:variant>
      <vt:variant>
        <vt:i4>5</vt:i4>
      </vt:variant>
      <vt:variant>
        <vt:lpwstr/>
      </vt:variant>
      <vt:variant>
        <vt:lpwstr>_Toc97879397</vt:lpwstr>
      </vt:variant>
      <vt:variant>
        <vt:i4>1179697</vt:i4>
      </vt:variant>
      <vt:variant>
        <vt:i4>335</vt:i4>
      </vt:variant>
      <vt:variant>
        <vt:i4>0</vt:i4>
      </vt:variant>
      <vt:variant>
        <vt:i4>5</vt:i4>
      </vt:variant>
      <vt:variant>
        <vt:lpwstr/>
      </vt:variant>
      <vt:variant>
        <vt:lpwstr>_Toc97879396</vt:lpwstr>
      </vt:variant>
      <vt:variant>
        <vt:i4>1114161</vt:i4>
      </vt:variant>
      <vt:variant>
        <vt:i4>329</vt:i4>
      </vt:variant>
      <vt:variant>
        <vt:i4>0</vt:i4>
      </vt:variant>
      <vt:variant>
        <vt:i4>5</vt:i4>
      </vt:variant>
      <vt:variant>
        <vt:lpwstr/>
      </vt:variant>
      <vt:variant>
        <vt:lpwstr>_Toc97879395</vt:lpwstr>
      </vt:variant>
      <vt:variant>
        <vt:i4>1048625</vt:i4>
      </vt:variant>
      <vt:variant>
        <vt:i4>323</vt:i4>
      </vt:variant>
      <vt:variant>
        <vt:i4>0</vt:i4>
      </vt:variant>
      <vt:variant>
        <vt:i4>5</vt:i4>
      </vt:variant>
      <vt:variant>
        <vt:lpwstr/>
      </vt:variant>
      <vt:variant>
        <vt:lpwstr>_Toc97879394</vt:lpwstr>
      </vt:variant>
      <vt:variant>
        <vt:i4>1507377</vt:i4>
      </vt:variant>
      <vt:variant>
        <vt:i4>317</vt:i4>
      </vt:variant>
      <vt:variant>
        <vt:i4>0</vt:i4>
      </vt:variant>
      <vt:variant>
        <vt:i4>5</vt:i4>
      </vt:variant>
      <vt:variant>
        <vt:lpwstr/>
      </vt:variant>
      <vt:variant>
        <vt:lpwstr>_Toc97879393</vt:lpwstr>
      </vt:variant>
      <vt:variant>
        <vt:i4>1441841</vt:i4>
      </vt:variant>
      <vt:variant>
        <vt:i4>311</vt:i4>
      </vt:variant>
      <vt:variant>
        <vt:i4>0</vt:i4>
      </vt:variant>
      <vt:variant>
        <vt:i4>5</vt:i4>
      </vt:variant>
      <vt:variant>
        <vt:lpwstr/>
      </vt:variant>
      <vt:variant>
        <vt:lpwstr>_Toc97879392</vt:lpwstr>
      </vt:variant>
      <vt:variant>
        <vt:i4>1376305</vt:i4>
      </vt:variant>
      <vt:variant>
        <vt:i4>305</vt:i4>
      </vt:variant>
      <vt:variant>
        <vt:i4>0</vt:i4>
      </vt:variant>
      <vt:variant>
        <vt:i4>5</vt:i4>
      </vt:variant>
      <vt:variant>
        <vt:lpwstr/>
      </vt:variant>
      <vt:variant>
        <vt:lpwstr>_Toc97879391</vt:lpwstr>
      </vt:variant>
      <vt:variant>
        <vt:i4>1310769</vt:i4>
      </vt:variant>
      <vt:variant>
        <vt:i4>299</vt:i4>
      </vt:variant>
      <vt:variant>
        <vt:i4>0</vt:i4>
      </vt:variant>
      <vt:variant>
        <vt:i4>5</vt:i4>
      </vt:variant>
      <vt:variant>
        <vt:lpwstr/>
      </vt:variant>
      <vt:variant>
        <vt:lpwstr>_Toc97879390</vt:lpwstr>
      </vt:variant>
      <vt:variant>
        <vt:i4>1900592</vt:i4>
      </vt:variant>
      <vt:variant>
        <vt:i4>293</vt:i4>
      </vt:variant>
      <vt:variant>
        <vt:i4>0</vt:i4>
      </vt:variant>
      <vt:variant>
        <vt:i4>5</vt:i4>
      </vt:variant>
      <vt:variant>
        <vt:lpwstr/>
      </vt:variant>
      <vt:variant>
        <vt:lpwstr>_Toc97879389</vt:lpwstr>
      </vt:variant>
      <vt:variant>
        <vt:i4>1835056</vt:i4>
      </vt:variant>
      <vt:variant>
        <vt:i4>287</vt:i4>
      </vt:variant>
      <vt:variant>
        <vt:i4>0</vt:i4>
      </vt:variant>
      <vt:variant>
        <vt:i4>5</vt:i4>
      </vt:variant>
      <vt:variant>
        <vt:lpwstr/>
      </vt:variant>
      <vt:variant>
        <vt:lpwstr>_Toc97879388</vt:lpwstr>
      </vt:variant>
      <vt:variant>
        <vt:i4>1245232</vt:i4>
      </vt:variant>
      <vt:variant>
        <vt:i4>281</vt:i4>
      </vt:variant>
      <vt:variant>
        <vt:i4>0</vt:i4>
      </vt:variant>
      <vt:variant>
        <vt:i4>5</vt:i4>
      </vt:variant>
      <vt:variant>
        <vt:lpwstr/>
      </vt:variant>
      <vt:variant>
        <vt:lpwstr>_Toc97879387</vt:lpwstr>
      </vt:variant>
      <vt:variant>
        <vt:i4>1179696</vt:i4>
      </vt:variant>
      <vt:variant>
        <vt:i4>275</vt:i4>
      </vt:variant>
      <vt:variant>
        <vt:i4>0</vt:i4>
      </vt:variant>
      <vt:variant>
        <vt:i4>5</vt:i4>
      </vt:variant>
      <vt:variant>
        <vt:lpwstr/>
      </vt:variant>
      <vt:variant>
        <vt:lpwstr>_Toc97879386</vt:lpwstr>
      </vt:variant>
      <vt:variant>
        <vt:i4>1114160</vt:i4>
      </vt:variant>
      <vt:variant>
        <vt:i4>269</vt:i4>
      </vt:variant>
      <vt:variant>
        <vt:i4>0</vt:i4>
      </vt:variant>
      <vt:variant>
        <vt:i4>5</vt:i4>
      </vt:variant>
      <vt:variant>
        <vt:lpwstr/>
      </vt:variant>
      <vt:variant>
        <vt:lpwstr>_Toc97879385</vt:lpwstr>
      </vt:variant>
      <vt:variant>
        <vt:i4>1048624</vt:i4>
      </vt:variant>
      <vt:variant>
        <vt:i4>263</vt:i4>
      </vt:variant>
      <vt:variant>
        <vt:i4>0</vt:i4>
      </vt:variant>
      <vt:variant>
        <vt:i4>5</vt:i4>
      </vt:variant>
      <vt:variant>
        <vt:lpwstr/>
      </vt:variant>
      <vt:variant>
        <vt:lpwstr>_Toc97879384</vt:lpwstr>
      </vt:variant>
      <vt:variant>
        <vt:i4>1507376</vt:i4>
      </vt:variant>
      <vt:variant>
        <vt:i4>257</vt:i4>
      </vt:variant>
      <vt:variant>
        <vt:i4>0</vt:i4>
      </vt:variant>
      <vt:variant>
        <vt:i4>5</vt:i4>
      </vt:variant>
      <vt:variant>
        <vt:lpwstr/>
      </vt:variant>
      <vt:variant>
        <vt:lpwstr>_Toc97879383</vt:lpwstr>
      </vt:variant>
      <vt:variant>
        <vt:i4>1441840</vt:i4>
      </vt:variant>
      <vt:variant>
        <vt:i4>251</vt:i4>
      </vt:variant>
      <vt:variant>
        <vt:i4>0</vt:i4>
      </vt:variant>
      <vt:variant>
        <vt:i4>5</vt:i4>
      </vt:variant>
      <vt:variant>
        <vt:lpwstr/>
      </vt:variant>
      <vt:variant>
        <vt:lpwstr>_Toc97879382</vt:lpwstr>
      </vt:variant>
      <vt:variant>
        <vt:i4>1376304</vt:i4>
      </vt:variant>
      <vt:variant>
        <vt:i4>245</vt:i4>
      </vt:variant>
      <vt:variant>
        <vt:i4>0</vt:i4>
      </vt:variant>
      <vt:variant>
        <vt:i4>5</vt:i4>
      </vt:variant>
      <vt:variant>
        <vt:lpwstr/>
      </vt:variant>
      <vt:variant>
        <vt:lpwstr>_Toc97879381</vt:lpwstr>
      </vt:variant>
      <vt:variant>
        <vt:i4>1310768</vt:i4>
      </vt:variant>
      <vt:variant>
        <vt:i4>239</vt:i4>
      </vt:variant>
      <vt:variant>
        <vt:i4>0</vt:i4>
      </vt:variant>
      <vt:variant>
        <vt:i4>5</vt:i4>
      </vt:variant>
      <vt:variant>
        <vt:lpwstr/>
      </vt:variant>
      <vt:variant>
        <vt:lpwstr>_Toc97879380</vt:lpwstr>
      </vt:variant>
      <vt:variant>
        <vt:i4>1900607</vt:i4>
      </vt:variant>
      <vt:variant>
        <vt:i4>233</vt:i4>
      </vt:variant>
      <vt:variant>
        <vt:i4>0</vt:i4>
      </vt:variant>
      <vt:variant>
        <vt:i4>5</vt:i4>
      </vt:variant>
      <vt:variant>
        <vt:lpwstr/>
      </vt:variant>
      <vt:variant>
        <vt:lpwstr>_Toc97879379</vt:lpwstr>
      </vt:variant>
      <vt:variant>
        <vt:i4>1835071</vt:i4>
      </vt:variant>
      <vt:variant>
        <vt:i4>227</vt:i4>
      </vt:variant>
      <vt:variant>
        <vt:i4>0</vt:i4>
      </vt:variant>
      <vt:variant>
        <vt:i4>5</vt:i4>
      </vt:variant>
      <vt:variant>
        <vt:lpwstr/>
      </vt:variant>
      <vt:variant>
        <vt:lpwstr>_Toc97879378</vt:lpwstr>
      </vt:variant>
      <vt:variant>
        <vt:i4>1245247</vt:i4>
      </vt:variant>
      <vt:variant>
        <vt:i4>221</vt:i4>
      </vt:variant>
      <vt:variant>
        <vt:i4>0</vt:i4>
      </vt:variant>
      <vt:variant>
        <vt:i4>5</vt:i4>
      </vt:variant>
      <vt:variant>
        <vt:lpwstr/>
      </vt:variant>
      <vt:variant>
        <vt:lpwstr>_Toc97879377</vt:lpwstr>
      </vt:variant>
      <vt:variant>
        <vt:i4>1179711</vt:i4>
      </vt:variant>
      <vt:variant>
        <vt:i4>215</vt:i4>
      </vt:variant>
      <vt:variant>
        <vt:i4>0</vt:i4>
      </vt:variant>
      <vt:variant>
        <vt:i4>5</vt:i4>
      </vt:variant>
      <vt:variant>
        <vt:lpwstr/>
      </vt:variant>
      <vt:variant>
        <vt:lpwstr>_Toc97879376</vt:lpwstr>
      </vt:variant>
      <vt:variant>
        <vt:i4>1114175</vt:i4>
      </vt:variant>
      <vt:variant>
        <vt:i4>209</vt:i4>
      </vt:variant>
      <vt:variant>
        <vt:i4>0</vt:i4>
      </vt:variant>
      <vt:variant>
        <vt:i4>5</vt:i4>
      </vt:variant>
      <vt:variant>
        <vt:lpwstr/>
      </vt:variant>
      <vt:variant>
        <vt:lpwstr>_Toc97879375</vt:lpwstr>
      </vt:variant>
      <vt:variant>
        <vt:i4>1048639</vt:i4>
      </vt:variant>
      <vt:variant>
        <vt:i4>203</vt:i4>
      </vt:variant>
      <vt:variant>
        <vt:i4>0</vt:i4>
      </vt:variant>
      <vt:variant>
        <vt:i4>5</vt:i4>
      </vt:variant>
      <vt:variant>
        <vt:lpwstr/>
      </vt:variant>
      <vt:variant>
        <vt:lpwstr>_Toc97879374</vt:lpwstr>
      </vt:variant>
      <vt:variant>
        <vt:i4>1507391</vt:i4>
      </vt:variant>
      <vt:variant>
        <vt:i4>197</vt:i4>
      </vt:variant>
      <vt:variant>
        <vt:i4>0</vt:i4>
      </vt:variant>
      <vt:variant>
        <vt:i4>5</vt:i4>
      </vt:variant>
      <vt:variant>
        <vt:lpwstr/>
      </vt:variant>
      <vt:variant>
        <vt:lpwstr>_Toc97879373</vt:lpwstr>
      </vt:variant>
      <vt:variant>
        <vt:i4>1441855</vt:i4>
      </vt:variant>
      <vt:variant>
        <vt:i4>191</vt:i4>
      </vt:variant>
      <vt:variant>
        <vt:i4>0</vt:i4>
      </vt:variant>
      <vt:variant>
        <vt:i4>5</vt:i4>
      </vt:variant>
      <vt:variant>
        <vt:lpwstr/>
      </vt:variant>
      <vt:variant>
        <vt:lpwstr>_Toc97879372</vt:lpwstr>
      </vt:variant>
      <vt:variant>
        <vt:i4>1376319</vt:i4>
      </vt:variant>
      <vt:variant>
        <vt:i4>185</vt:i4>
      </vt:variant>
      <vt:variant>
        <vt:i4>0</vt:i4>
      </vt:variant>
      <vt:variant>
        <vt:i4>5</vt:i4>
      </vt:variant>
      <vt:variant>
        <vt:lpwstr/>
      </vt:variant>
      <vt:variant>
        <vt:lpwstr>_Toc97879371</vt:lpwstr>
      </vt:variant>
      <vt:variant>
        <vt:i4>1310783</vt:i4>
      </vt:variant>
      <vt:variant>
        <vt:i4>179</vt:i4>
      </vt:variant>
      <vt:variant>
        <vt:i4>0</vt:i4>
      </vt:variant>
      <vt:variant>
        <vt:i4>5</vt:i4>
      </vt:variant>
      <vt:variant>
        <vt:lpwstr/>
      </vt:variant>
      <vt:variant>
        <vt:lpwstr>_Toc97879370</vt:lpwstr>
      </vt:variant>
      <vt:variant>
        <vt:i4>1900606</vt:i4>
      </vt:variant>
      <vt:variant>
        <vt:i4>173</vt:i4>
      </vt:variant>
      <vt:variant>
        <vt:i4>0</vt:i4>
      </vt:variant>
      <vt:variant>
        <vt:i4>5</vt:i4>
      </vt:variant>
      <vt:variant>
        <vt:lpwstr/>
      </vt:variant>
      <vt:variant>
        <vt:lpwstr>_Toc97879369</vt:lpwstr>
      </vt:variant>
      <vt:variant>
        <vt:i4>1835070</vt:i4>
      </vt:variant>
      <vt:variant>
        <vt:i4>167</vt:i4>
      </vt:variant>
      <vt:variant>
        <vt:i4>0</vt:i4>
      </vt:variant>
      <vt:variant>
        <vt:i4>5</vt:i4>
      </vt:variant>
      <vt:variant>
        <vt:lpwstr/>
      </vt:variant>
      <vt:variant>
        <vt:lpwstr>_Toc97879368</vt:lpwstr>
      </vt:variant>
      <vt:variant>
        <vt:i4>1245246</vt:i4>
      </vt:variant>
      <vt:variant>
        <vt:i4>161</vt:i4>
      </vt:variant>
      <vt:variant>
        <vt:i4>0</vt:i4>
      </vt:variant>
      <vt:variant>
        <vt:i4>5</vt:i4>
      </vt:variant>
      <vt:variant>
        <vt:lpwstr/>
      </vt:variant>
      <vt:variant>
        <vt:lpwstr>_Toc97879367</vt:lpwstr>
      </vt:variant>
      <vt:variant>
        <vt:i4>1179710</vt:i4>
      </vt:variant>
      <vt:variant>
        <vt:i4>155</vt:i4>
      </vt:variant>
      <vt:variant>
        <vt:i4>0</vt:i4>
      </vt:variant>
      <vt:variant>
        <vt:i4>5</vt:i4>
      </vt:variant>
      <vt:variant>
        <vt:lpwstr/>
      </vt:variant>
      <vt:variant>
        <vt:lpwstr>_Toc97879366</vt:lpwstr>
      </vt:variant>
      <vt:variant>
        <vt:i4>1114174</vt:i4>
      </vt:variant>
      <vt:variant>
        <vt:i4>149</vt:i4>
      </vt:variant>
      <vt:variant>
        <vt:i4>0</vt:i4>
      </vt:variant>
      <vt:variant>
        <vt:i4>5</vt:i4>
      </vt:variant>
      <vt:variant>
        <vt:lpwstr/>
      </vt:variant>
      <vt:variant>
        <vt:lpwstr>_Toc97879365</vt:lpwstr>
      </vt:variant>
      <vt:variant>
        <vt:i4>1048638</vt:i4>
      </vt:variant>
      <vt:variant>
        <vt:i4>143</vt:i4>
      </vt:variant>
      <vt:variant>
        <vt:i4>0</vt:i4>
      </vt:variant>
      <vt:variant>
        <vt:i4>5</vt:i4>
      </vt:variant>
      <vt:variant>
        <vt:lpwstr/>
      </vt:variant>
      <vt:variant>
        <vt:lpwstr>_Toc97879364</vt:lpwstr>
      </vt:variant>
      <vt:variant>
        <vt:i4>1507390</vt:i4>
      </vt:variant>
      <vt:variant>
        <vt:i4>137</vt:i4>
      </vt:variant>
      <vt:variant>
        <vt:i4>0</vt:i4>
      </vt:variant>
      <vt:variant>
        <vt:i4>5</vt:i4>
      </vt:variant>
      <vt:variant>
        <vt:lpwstr/>
      </vt:variant>
      <vt:variant>
        <vt:lpwstr>_Toc97879363</vt:lpwstr>
      </vt:variant>
      <vt:variant>
        <vt:i4>1441854</vt:i4>
      </vt:variant>
      <vt:variant>
        <vt:i4>131</vt:i4>
      </vt:variant>
      <vt:variant>
        <vt:i4>0</vt:i4>
      </vt:variant>
      <vt:variant>
        <vt:i4>5</vt:i4>
      </vt:variant>
      <vt:variant>
        <vt:lpwstr/>
      </vt:variant>
      <vt:variant>
        <vt:lpwstr>_Toc97879362</vt:lpwstr>
      </vt:variant>
      <vt:variant>
        <vt:i4>1376318</vt:i4>
      </vt:variant>
      <vt:variant>
        <vt:i4>125</vt:i4>
      </vt:variant>
      <vt:variant>
        <vt:i4>0</vt:i4>
      </vt:variant>
      <vt:variant>
        <vt:i4>5</vt:i4>
      </vt:variant>
      <vt:variant>
        <vt:lpwstr/>
      </vt:variant>
      <vt:variant>
        <vt:lpwstr>_Toc97879361</vt:lpwstr>
      </vt:variant>
      <vt:variant>
        <vt:i4>1310782</vt:i4>
      </vt:variant>
      <vt:variant>
        <vt:i4>119</vt:i4>
      </vt:variant>
      <vt:variant>
        <vt:i4>0</vt:i4>
      </vt:variant>
      <vt:variant>
        <vt:i4>5</vt:i4>
      </vt:variant>
      <vt:variant>
        <vt:lpwstr/>
      </vt:variant>
      <vt:variant>
        <vt:lpwstr>_Toc97879360</vt:lpwstr>
      </vt:variant>
      <vt:variant>
        <vt:i4>1900605</vt:i4>
      </vt:variant>
      <vt:variant>
        <vt:i4>113</vt:i4>
      </vt:variant>
      <vt:variant>
        <vt:i4>0</vt:i4>
      </vt:variant>
      <vt:variant>
        <vt:i4>5</vt:i4>
      </vt:variant>
      <vt:variant>
        <vt:lpwstr/>
      </vt:variant>
      <vt:variant>
        <vt:lpwstr>_Toc97879359</vt:lpwstr>
      </vt:variant>
      <vt:variant>
        <vt:i4>1835069</vt:i4>
      </vt:variant>
      <vt:variant>
        <vt:i4>107</vt:i4>
      </vt:variant>
      <vt:variant>
        <vt:i4>0</vt:i4>
      </vt:variant>
      <vt:variant>
        <vt:i4>5</vt:i4>
      </vt:variant>
      <vt:variant>
        <vt:lpwstr/>
      </vt:variant>
      <vt:variant>
        <vt:lpwstr>_Toc97879358</vt:lpwstr>
      </vt:variant>
      <vt:variant>
        <vt:i4>1245245</vt:i4>
      </vt:variant>
      <vt:variant>
        <vt:i4>101</vt:i4>
      </vt:variant>
      <vt:variant>
        <vt:i4>0</vt:i4>
      </vt:variant>
      <vt:variant>
        <vt:i4>5</vt:i4>
      </vt:variant>
      <vt:variant>
        <vt:lpwstr/>
      </vt:variant>
      <vt:variant>
        <vt:lpwstr>_Toc97879357</vt:lpwstr>
      </vt:variant>
      <vt:variant>
        <vt:i4>1179709</vt:i4>
      </vt:variant>
      <vt:variant>
        <vt:i4>95</vt:i4>
      </vt:variant>
      <vt:variant>
        <vt:i4>0</vt:i4>
      </vt:variant>
      <vt:variant>
        <vt:i4>5</vt:i4>
      </vt:variant>
      <vt:variant>
        <vt:lpwstr/>
      </vt:variant>
      <vt:variant>
        <vt:lpwstr>_Toc97879356</vt:lpwstr>
      </vt:variant>
      <vt:variant>
        <vt:i4>1114173</vt:i4>
      </vt:variant>
      <vt:variant>
        <vt:i4>89</vt:i4>
      </vt:variant>
      <vt:variant>
        <vt:i4>0</vt:i4>
      </vt:variant>
      <vt:variant>
        <vt:i4>5</vt:i4>
      </vt:variant>
      <vt:variant>
        <vt:lpwstr/>
      </vt:variant>
      <vt:variant>
        <vt:lpwstr>_Toc97879355</vt:lpwstr>
      </vt:variant>
      <vt:variant>
        <vt:i4>1048637</vt:i4>
      </vt:variant>
      <vt:variant>
        <vt:i4>83</vt:i4>
      </vt:variant>
      <vt:variant>
        <vt:i4>0</vt:i4>
      </vt:variant>
      <vt:variant>
        <vt:i4>5</vt:i4>
      </vt:variant>
      <vt:variant>
        <vt:lpwstr/>
      </vt:variant>
      <vt:variant>
        <vt:lpwstr>_Toc97879354</vt:lpwstr>
      </vt:variant>
      <vt:variant>
        <vt:i4>1507389</vt:i4>
      </vt:variant>
      <vt:variant>
        <vt:i4>77</vt:i4>
      </vt:variant>
      <vt:variant>
        <vt:i4>0</vt:i4>
      </vt:variant>
      <vt:variant>
        <vt:i4>5</vt:i4>
      </vt:variant>
      <vt:variant>
        <vt:lpwstr/>
      </vt:variant>
      <vt:variant>
        <vt:lpwstr>_Toc97879353</vt:lpwstr>
      </vt:variant>
      <vt:variant>
        <vt:i4>1441853</vt:i4>
      </vt:variant>
      <vt:variant>
        <vt:i4>71</vt:i4>
      </vt:variant>
      <vt:variant>
        <vt:i4>0</vt:i4>
      </vt:variant>
      <vt:variant>
        <vt:i4>5</vt:i4>
      </vt:variant>
      <vt:variant>
        <vt:lpwstr/>
      </vt:variant>
      <vt:variant>
        <vt:lpwstr>_Toc97879352</vt:lpwstr>
      </vt:variant>
      <vt:variant>
        <vt:i4>1376317</vt:i4>
      </vt:variant>
      <vt:variant>
        <vt:i4>65</vt:i4>
      </vt:variant>
      <vt:variant>
        <vt:i4>0</vt:i4>
      </vt:variant>
      <vt:variant>
        <vt:i4>5</vt:i4>
      </vt:variant>
      <vt:variant>
        <vt:lpwstr/>
      </vt:variant>
      <vt:variant>
        <vt:lpwstr>_Toc97879351</vt:lpwstr>
      </vt:variant>
      <vt:variant>
        <vt:i4>1310781</vt:i4>
      </vt:variant>
      <vt:variant>
        <vt:i4>59</vt:i4>
      </vt:variant>
      <vt:variant>
        <vt:i4>0</vt:i4>
      </vt:variant>
      <vt:variant>
        <vt:i4>5</vt:i4>
      </vt:variant>
      <vt:variant>
        <vt:lpwstr/>
      </vt:variant>
      <vt:variant>
        <vt:lpwstr>_Toc97879350</vt:lpwstr>
      </vt:variant>
      <vt:variant>
        <vt:i4>1900604</vt:i4>
      </vt:variant>
      <vt:variant>
        <vt:i4>53</vt:i4>
      </vt:variant>
      <vt:variant>
        <vt:i4>0</vt:i4>
      </vt:variant>
      <vt:variant>
        <vt:i4>5</vt:i4>
      </vt:variant>
      <vt:variant>
        <vt:lpwstr/>
      </vt:variant>
      <vt:variant>
        <vt:lpwstr>_Toc97879349</vt:lpwstr>
      </vt:variant>
      <vt:variant>
        <vt:i4>1835068</vt:i4>
      </vt:variant>
      <vt:variant>
        <vt:i4>47</vt:i4>
      </vt:variant>
      <vt:variant>
        <vt:i4>0</vt:i4>
      </vt:variant>
      <vt:variant>
        <vt:i4>5</vt:i4>
      </vt:variant>
      <vt:variant>
        <vt:lpwstr/>
      </vt:variant>
      <vt:variant>
        <vt:lpwstr>_Toc97879348</vt:lpwstr>
      </vt:variant>
      <vt:variant>
        <vt:i4>1245244</vt:i4>
      </vt:variant>
      <vt:variant>
        <vt:i4>41</vt:i4>
      </vt:variant>
      <vt:variant>
        <vt:i4>0</vt:i4>
      </vt:variant>
      <vt:variant>
        <vt:i4>5</vt:i4>
      </vt:variant>
      <vt:variant>
        <vt:lpwstr/>
      </vt:variant>
      <vt:variant>
        <vt:lpwstr>_Toc97879347</vt:lpwstr>
      </vt:variant>
      <vt:variant>
        <vt:i4>1179708</vt:i4>
      </vt:variant>
      <vt:variant>
        <vt:i4>35</vt:i4>
      </vt:variant>
      <vt:variant>
        <vt:i4>0</vt:i4>
      </vt:variant>
      <vt:variant>
        <vt:i4>5</vt:i4>
      </vt:variant>
      <vt:variant>
        <vt:lpwstr/>
      </vt:variant>
      <vt:variant>
        <vt:lpwstr>_Toc97879346</vt:lpwstr>
      </vt:variant>
      <vt:variant>
        <vt:i4>1114172</vt:i4>
      </vt:variant>
      <vt:variant>
        <vt:i4>29</vt:i4>
      </vt:variant>
      <vt:variant>
        <vt:i4>0</vt:i4>
      </vt:variant>
      <vt:variant>
        <vt:i4>5</vt:i4>
      </vt:variant>
      <vt:variant>
        <vt:lpwstr/>
      </vt:variant>
      <vt:variant>
        <vt:lpwstr>_Toc97879345</vt:lpwstr>
      </vt:variant>
      <vt:variant>
        <vt:i4>1048636</vt:i4>
      </vt:variant>
      <vt:variant>
        <vt:i4>23</vt:i4>
      </vt:variant>
      <vt:variant>
        <vt:i4>0</vt:i4>
      </vt:variant>
      <vt:variant>
        <vt:i4>5</vt:i4>
      </vt:variant>
      <vt:variant>
        <vt:lpwstr/>
      </vt:variant>
      <vt:variant>
        <vt:lpwstr>_Toc97879344</vt:lpwstr>
      </vt:variant>
      <vt:variant>
        <vt:i4>1507388</vt:i4>
      </vt:variant>
      <vt:variant>
        <vt:i4>17</vt:i4>
      </vt:variant>
      <vt:variant>
        <vt:i4>0</vt:i4>
      </vt:variant>
      <vt:variant>
        <vt:i4>5</vt:i4>
      </vt:variant>
      <vt:variant>
        <vt:lpwstr/>
      </vt:variant>
      <vt:variant>
        <vt:lpwstr>_Toc97879343</vt:lpwstr>
      </vt:variant>
      <vt:variant>
        <vt:i4>1441852</vt:i4>
      </vt:variant>
      <vt:variant>
        <vt:i4>11</vt:i4>
      </vt:variant>
      <vt:variant>
        <vt:i4>0</vt:i4>
      </vt:variant>
      <vt:variant>
        <vt:i4>5</vt:i4>
      </vt:variant>
      <vt:variant>
        <vt:lpwstr/>
      </vt:variant>
      <vt:variant>
        <vt:lpwstr>_Toc97879342</vt:lpwstr>
      </vt:variant>
      <vt:variant>
        <vt:i4>1376316</vt:i4>
      </vt:variant>
      <vt:variant>
        <vt:i4>5</vt:i4>
      </vt:variant>
      <vt:variant>
        <vt:i4>0</vt:i4>
      </vt:variant>
      <vt:variant>
        <vt:i4>5</vt:i4>
      </vt:variant>
      <vt:variant>
        <vt:lpwstr/>
      </vt:variant>
      <vt:variant>
        <vt:lpwstr>_Toc97879341</vt:lpwstr>
      </vt:variant>
      <vt:variant>
        <vt:i4>6946901</vt:i4>
      </vt:variant>
      <vt:variant>
        <vt:i4>0</vt:i4>
      </vt:variant>
      <vt:variant>
        <vt:i4>0</vt:i4>
      </vt:variant>
      <vt:variant>
        <vt:i4>5</vt:i4>
      </vt:variant>
      <vt:variant>
        <vt:lpwstr>mailto:info@espon.eu</vt:lpwstr>
      </vt:variant>
      <vt:variant>
        <vt:lpwstr/>
      </vt:variant>
      <vt:variant>
        <vt:i4>1703959</vt:i4>
      </vt:variant>
      <vt:variant>
        <vt:i4>3</vt:i4>
      </vt:variant>
      <vt:variant>
        <vt:i4>0</vt:i4>
      </vt:variant>
      <vt:variant>
        <vt:i4>5</vt:i4>
      </vt:variant>
      <vt:variant>
        <vt:lpwstr>http://www.espon.eu/</vt:lpwstr>
      </vt:variant>
      <vt:variant>
        <vt:lpwstr/>
      </vt:variant>
      <vt:variant>
        <vt:i4>6946901</vt:i4>
      </vt:variant>
      <vt:variant>
        <vt:i4>0</vt:i4>
      </vt:variant>
      <vt:variant>
        <vt:i4>0</vt:i4>
      </vt:variant>
      <vt:variant>
        <vt:i4>5</vt:i4>
      </vt:variant>
      <vt:variant>
        <vt:lpwstr>mailto:info@espon.eu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Maria Toptsidou</cp:lastModifiedBy>
  <cp:revision>4718</cp:revision>
  <cp:lastPrinted>2022-04-11T14:29:00Z</cp:lastPrinted>
  <dcterms:created xsi:type="dcterms:W3CDTF">2022-02-15T14:16:00Z</dcterms:created>
  <dcterms:modified xsi:type="dcterms:W3CDTF">2022-04-11T14:30:00Z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0x0101004F7C52382EAEA54D9390D8ACAED8808A</vt:lpwstr>
  </property>
  <property fmtid="{D5CDD505-2E9C-101B-9397-08002B2CF9AE}" pid="3" name="ZOTERO_PREF_1">
    <vt:lpwstr>&lt;data data-version="3" zotero-version="6.0.4"&gt;&lt;session id="dRfTzFBz"/&gt;&lt;style id="http://www.zotero.org/styles/spf" locale="en-GB" hasBibliography="1" bibliographyStyleHasBeenSet="1"/&gt;&lt;prefs&gt;&lt;pref name="fieldType" value="Field"/&gt;&lt;pref name="automaticJourna</vt:lpwstr>
  </property>
  <property fmtid="{D5CDD505-2E9C-101B-9397-08002B2CF9AE}" pid="4" name="ZOTERO_PREF_2">
    <vt:lpwstr>lAbbreviations" value="true"/&gt;&lt;pref name="delayCitationUpdates" value="true"/&gt;&lt;pref name="dontAskDelayCitationUpdates" value="true"/&gt;&lt;/prefs&gt;&lt;/data&gt;</vt:lpwstr>
  </property>
</Properties>
</file>